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Arial" w:hAnsi="Arial" w:eastAsia="黑体"/>
          <w:b/>
          <w:color w:val="142864"/>
          <w:sz w:val="28"/>
        </w:rPr>
        <w:t>附件四：风险评估自查清单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本清单列出了法务评估此类数据采集方案时通常需要关注的问题项，并标注了本方案的当前状态，供法务团队快速定位评估重点。</w:t>
      </w: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646464"/>
          <w:sz w:val="20"/>
        </w:rPr>
        <w:t>图例：✅ 已满足/无风险    ⚠ 需进一步评估    ❌ 存在风险/尚未处理</w:t>
      </w:r>
    </w:p>
    <w:p/>
    <w:p>
      <w:pPr>
        <w:spacing w:before="280" w:after="120"/>
      </w:pPr>
      <w:r>
        <w:rPr>
          <w:rFonts w:ascii="Arial" w:hAnsi="Arial" w:eastAsia="黑体"/>
          <w:b/>
          <w:color w:val="142864"/>
          <w:sz w:val="24"/>
        </w:rPr>
        <w:t>A. 数据来源合法性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评估问题</w:t>
            </w:r>
          </w:p>
        </w:tc>
        <w:tc>
          <w:tcPr>
            <w:tcW w:type="dxa" w:w="425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本方案当前情况</w:t>
            </w:r>
          </w:p>
        </w:tc>
        <w:tc>
          <w:tcPr>
            <w:tcW w:type="dxa" w:w="141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法务意见（请填写）</w:t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采集的内容是否均为平台公开可见内容？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是，所有内容均通过正常浏览器访问公开网页获取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是否使用了平台官方网页入口（非私有 API）？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是，使用标准 Chrome 浏览器访问官方网页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使用的账号是否严格遵守平台用户注册协议？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使用员工个人账号，建议法务确认账号协议是否允许程序化访问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是否有自动停止机制（遇验证码立即停止）？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是，程序遇到验证码或访问限制后立即终止采集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是否评估过平台 robots.txt 中的限制路径声明？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尚待法务确认 robots.txt 条款的法律约束力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</w:tbl>
    <w:p/>
    <w:p>
      <w:pPr>
        <w:spacing w:before="280" w:after="120"/>
      </w:pPr>
      <w:r>
        <w:rPr>
          <w:rFonts w:ascii="Arial" w:hAnsi="Arial" w:eastAsia="黑体"/>
          <w:b/>
          <w:color w:val="142864"/>
          <w:sz w:val="24"/>
        </w:rPr>
        <w:t>B. 个人信息保护（个保法）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评估问题</w:t>
            </w:r>
          </w:p>
        </w:tc>
        <w:tc>
          <w:tcPr>
            <w:tcW w:type="dxa" w:w="425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本方案当前情况</w:t>
            </w:r>
          </w:p>
        </w:tc>
        <w:tc>
          <w:tcPr>
            <w:tcW w:type="dxa" w:w="141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法务意见（请填写）</w:t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是否采集了手机号、真实姓名、身份证等直接标识信息？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否，明确不采集上述信息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是否采集了精确地理位置信息？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否，不采集地理位置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作者昵称是否构成个保法中的个人信息？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昵称非真实姓名，但部分昵称可能用于识别个人，建议法务评估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数据是否经过脱敏处理？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是，已对昵称、正文中手机号等进行脱敏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是否建立了数据保存期限与删除机制？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是，原始数据 6 个月清除，详见附件二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</w:tbl>
    <w:p/>
    <w:p>
      <w:pPr>
        <w:spacing w:before="280" w:after="120"/>
      </w:pPr>
      <w:r>
        <w:rPr>
          <w:rFonts w:ascii="Arial" w:hAnsi="Arial" w:eastAsia="黑体"/>
          <w:b/>
          <w:color w:val="142864"/>
          <w:sz w:val="24"/>
        </w:rPr>
        <w:t>C. 数据安全管控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评估问题</w:t>
            </w:r>
          </w:p>
        </w:tc>
        <w:tc>
          <w:tcPr>
            <w:tcW w:type="dxa" w:w="425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本方案当前情况</w:t>
            </w:r>
          </w:p>
        </w:tc>
        <w:tc>
          <w:tcPr>
            <w:tcW w:type="dxa" w:w="141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法务意见（请填写）</w:t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数据是否仅存储于企业内部，不对外传输？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是，数据存于内网服务器，不上传第三方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数据库是否有访问权限控制？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是，仅内部数据分析团队可访问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是否有访问日志记录？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是，所有访问有日志，保存 90 天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登录账号的 Cookie 等凭证信息是否有安全管理机制？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Cookie 仅存本地，建议明确 Cookie 文件的权限管控规范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原始数据是否有销毁流程？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是，到期执行物理删除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</w:tbl>
    <w:p/>
    <w:p>
      <w:pPr>
        <w:spacing w:before="280" w:after="120"/>
      </w:pPr>
      <w:r>
        <w:rPr>
          <w:rFonts w:ascii="Arial" w:hAnsi="Arial" w:eastAsia="黑体"/>
          <w:b/>
          <w:color w:val="142864"/>
          <w:sz w:val="24"/>
        </w:rPr>
        <w:t>D. 内容版权与平台利益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评估问题</w:t>
            </w:r>
          </w:p>
        </w:tc>
        <w:tc>
          <w:tcPr>
            <w:tcW w:type="dxa" w:w="425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本方案当前情况</w:t>
            </w:r>
          </w:p>
        </w:tc>
        <w:tc>
          <w:tcPr>
            <w:tcW w:type="dxa" w:w="141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法务意见（请填写）</w:t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是否全文复制并对外发布了他人内容？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否，内部使用，仅提取元数据，不全文复制正文对外发布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正文内容的内部采集使用是否受合理使用原则保护？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需法务评估内部分析场景下的合理使用边界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采集行为是否对平台造成异常流量或干扰正常运营？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否，有访问限速，不造成异常流量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00963C"/>
                <w:sz w:val="22"/>
              </w:rPr>
              <w:t>✅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采集结果是否用于与平台竞争的商业目的？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否，用于企业内部产品分析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</w:tbl>
    <w:p/>
    <w:p>
      <w:pPr>
        <w:spacing w:before="280" w:after="120"/>
      </w:pPr>
      <w:r>
        <w:rPr>
          <w:rFonts w:ascii="Arial" w:hAnsi="Arial" w:eastAsia="黑体"/>
          <w:b/>
          <w:color w:val="142864"/>
          <w:sz w:val="24"/>
        </w:rPr>
        <w:t>E. 合规建议事项（建议法务重点关注）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评估问题</w:t>
            </w:r>
          </w:p>
        </w:tc>
        <w:tc>
          <w:tcPr>
            <w:tcW w:type="dxa" w:w="4252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本方案当前情况</w:t>
            </w:r>
          </w:p>
        </w:tc>
        <w:tc>
          <w:tcPr>
            <w:tcW w:type="dxa" w:w="141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法务意见（请填写）</w:t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建议：向平台方申请数据合作或商业数据授权，从根本上消除法律风险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—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建议：明确采集行为是否需要向监管部门进行数据活动申报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—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8F9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建议：制定并归档数据采集合规操作规程，留存合规证据</w:t>
            </w:r>
          </w:p>
        </w:tc>
        <w:tc>
          <w:tcPr>
            <w:tcW w:type="dxa" w:w="4252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—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color w:val="B46400"/>
                <w:sz w:val="22"/>
              </w:rPr>
              <w:t>⚠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  <w:t>建议：每季度对平台协议更新进行复查，及时调整采集范围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505050"/>
                <w:sz w:val="18"/>
              </w:rPr>
              <w:t>—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18"/>
              </w:rPr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本清单由技术团队完成初步自查，所有标注为「需评估」的项均需法务团队进一步评估并在第四列填写明确意见。</w:t>
      </w:r>
    </w:p>
    <w:sectPr w:rsidR="00FC693F" w:rsidRPr="0006063C" w:rsidSect="00034616">
      <w:head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969696"/>
        <w:sz w:val="18"/>
      </w:rPr>
      <w:t>附件四：风险评估自查清单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