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7"/>
          <w:footerReference w:type="default" r:id="rId8"/>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9"/>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07A380E6" w:rsidR="00C60F72" w:rsidRDefault="0066291D" w:rsidP="00FC153A">
      <w:pPr>
        <w:pStyle w:val="NoSpacing"/>
        <w:jc w:val="both"/>
      </w:pPr>
      <w:r w:rsidRPr="0066291D">
        <w:rPr>
          <w:b/>
          <w:bCs/>
          <w:i/>
          <w:iCs/>
        </w:rPr>
        <w:t>Appropriate</w:t>
      </w:r>
      <w:r>
        <w:t xml:space="preserve"> a</w:t>
      </w:r>
      <w:r w:rsidR="002E1875">
        <w:t xml:space="preserve">ccounting supplies the anchor that the investor seeks to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B97B8F">
        <w:t>When it comes to valuation t</w:t>
      </w:r>
      <w:r w:rsidR="00C469C4">
        <w:t>his is especially problematic</w:t>
      </w:r>
      <w:r w:rsidR="00B97B8F">
        <w:t>.</w:t>
      </w:r>
      <w:r w:rsidR="001D5655">
        <w:t xml:space="preserve"> Valuation is </w:t>
      </w:r>
      <w:r w:rsidR="00B97B8F">
        <w:t xml:space="preserve">riddled with </w:t>
      </w:r>
      <w:r w:rsidR="001D5655">
        <w:t>uncertain</w:t>
      </w:r>
      <w:r w:rsidR="00B97B8F">
        <w:t>ty</w:t>
      </w:r>
      <w:r w:rsidR="001D5655">
        <w:t xml:space="preserve"> and assuming growth rates and apply</w:t>
      </w:r>
      <w:r w:rsidR="00E41389">
        <w:t>ing CAPM to plug in discount rates</w:t>
      </w:r>
      <w:r w:rsidR="00062169">
        <w:t xml:space="preserve"> exacerbates that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940"/>
                    </a:xfrm>
                    <a:prstGeom prst="rect">
                      <a:avLst/>
                    </a:prstGeom>
                  </pic:spPr>
                </pic:pic>
              </a:graphicData>
            </a:graphic>
          </wp:inline>
        </w:drawing>
      </w:r>
    </w:p>
    <w:p w14:paraId="322FFD5F" w14:textId="0B3D6ED4" w:rsidR="00E713AD" w:rsidRDefault="00E713AD" w:rsidP="00BA57C4">
      <w:pPr>
        <w:jc w:val="both"/>
      </w:pPr>
      <w:r>
        <w:t xml:space="preserve">The savings account in Figure 2.1 </w:t>
      </w:r>
      <w:r w:rsidR="00D8792C">
        <w:t xml:space="preserve">has properties </w:t>
      </w:r>
      <w:r w:rsidR="009E679B">
        <w:t xml:space="preserve">related to </w:t>
      </w:r>
      <w:r w:rsidR="00D24E6A">
        <w:t xml:space="preserve">corporations </w:t>
      </w:r>
      <w:r w:rsidR="00D743CF">
        <w:t>that we are trying to value</w:t>
      </w:r>
      <w:r>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t xml:space="preserve">the payout rate </w:t>
      </w:r>
      <w:r w:rsidR="00DF48EC">
        <w:t xml:space="preserve">determines </w:t>
      </w:r>
      <w:r w:rsidR="00705557">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615F3BFE" w:rsidR="00771A63" w:rsidRDefault="00771A63" w:rsidP="00BA57C4">
      <w:pPr>
        <w:jc w:val="both"/>
      </w:pPr>
      <w:r>
        <w:t>In Figure 2.1 the</w:t>
      </w:r>
      <w:r w:rsidR="007761F1">
        <w:t xml:space="preserve"> pro forma </w:t>
      </w:r>
      <w:r w:rsidR="00C26EE3">
        <w:t>are certain</w:t>
      </w:r>
      <w:r w:rsidR="00FC7446">
        <w:t xml:space="preserve"> (riskless)</w:t>
      </w:r>
      <w:r w:rsidR="005812F2">
        <w:t>. The required r</w:t>
      </w:r>
      <w:r w:rsidR="00560D5F">
        <w:t>ate-of-return for the investme</w:t>
      </w:r>
      <w:r w:rsidR="00AA2EFB">
        <w:t>nt (discount rate)</w:t>
      </w:r>
      <w:r w:rsidR="0091688D">
        <w:t xml:space="preserve"> is the risk-free rate</w:t>
      </w:r>
      <w:r w:rsidR="000B00CF">
        <w:t xml:space="preserve">. </w:t>
      </w:r>
      <w:r w:rsidR="00A57EB5">
        <w:t>In this situation, the rate-of-</w:t>
      </w:r>
      <w:r w:rsidR="00FB4034">
        <w:t>return on book value and the required rate-of-return</w:t>
      </w:r>
      <w:r w:rsidR="0010122B">
        <w:t xml:space="preserve"> are equivalent.</w:t>
      </w:r>
    </w:p>
    <w:p w14:paraId="1D8D71D7" w14:textId="61BD8D81" w:rsidR="00C35B42" w:rsidRDefault="00C35B42" w:rsidP="00BA57C4">
      <w:pPr>
        <w:jc w:val="both"/>
      </w:pPr>
      <w:r>
        <w:t>The current value of the savings account, $100, is the price at which it should trade if a market for savings accounts were efficient. Next we’ll develop a valuation approach that arrives at that value.</w:t>
      </w:r>
    </w:p>
    <w:p w14:paraId="3FEA806E" w14:textId="21868E66"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of applying this approach to the basic savings account in Figure 2.1 is that in the short and medium term there are no cash flows since dividends are zero. If we stick firmly to assessing expected future cash flows, then we </w:t>
      </w:r>
      <w:r w:rsidR="00B97B8F">
        <w:t>must</w:t>
      </w:r>
      <w:r>
        <w:t xml:space="preserve"> forecast long 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anchor on what we know rather than on speculation</w:t>
      </w:r>
      <w:r w:rsidR="00B97B8F">
        <w:t xml:space="preserve"> (fundamentalist principle)?</w:t>
      </w:r>
    </w:p>
    <w:p w14:paraId="3F8F0993" w14:textId="1762191B" w:rsidR="00470B3D" w:rsidRPr="00470B3D" w:rsidRDefault="00470B3D" w:rsidP="00470B3D">
      <w:pPr>
        <w:jc w:val="both"/>
      </w:pPr>
      <w:r>
        <w:t>In Figure 2.2 all earnings are paid out as dividends – that is a saving account with 100% payout. In this account, expected cash flows are paid out in the short term and hence we do not need to speculate. Notice</w:t>
      </w:r>
      <w:r w:rsidR="00B97B8F">
        <w:t xml:space="preserve"> </w:t>
      </w:r>
      <w:r>
        <w:t>that the book value today of both the 0% and 100% payout saving accounts i</w:t>
      </w:r>
      <w:r w:rsidR="00B97B8F">
        <w:t>s</w:t>
      </w:r>
      <w:r>
        <w:t xml:space="preserve"> identical. This illustrates another principle of modern finance – </w:t>
      </w:r>
      <w:r w:rsidRPr="00470B3D">
        <w:rPr>
          <w:b/>
          <w:bCs/>
          <w:i/>
          <w:iCs/>
        </w:rPr>
        <w:t>value does not depend on 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9480"/>
                    </a:xfrm>
                    <a:prstGeom prst="rect">
                      <a:avLst/>
                    </a:prstGeom>
                  </pic:spPr>
                </pic:pic>
              </a:graphicData>
            </a:graphic>
          </wp:inline>
        </w:drawing>
      </w:r>
    </w:p>
    <w:p w14:paraId="1E80D7D5" w14:textId="4FF9CB0D" w:rsidR="00470B3D" w:rsidRDefault="00470B3D" w:rsidP="006B1BC5">
      <w:pPr>
        <w:jc w:val="both"/>
      </w:pPr>
      <w:r>
        <w:t>Value in both accounts is still based on expected cash flows over the life of the account but the timing of the payout is not relevant</w:t>
      </w:r>
      <w:r w:rsidR="006B1BC5">
        <w:t xml:space="preserve"> (cash flow is either paid in the form of dividends earlier on or extracted from the book value in the long term). This is the basic concept underlying Miller and Modigliani’s dividend irrelevance principle</w:t>
      </w:r>
      <w:r w:rsidR="00B97B8F">
        <w:t>.</w:t>
      </w:r>
      <w:r w:rsidR="006B1BC5">
        <w:t xml:space="preserve"> </w:t>
      </w:r>
      <w:r w:rsidR="00B97B8F">
        <w:t>H</w:t>
      </w:r>
      <w:r w:rsidR="006B1BC5">
        <w:t xml:space="preserve">owever, </w:t>
      </w:r>
      <w:r w:rsidR="00B97B8F">
        <w:t>this in turn g</w:t>
      </w:r>
      <w:r w:rsidR="006B1BC5">
        <w:t>ives rise to the dividend conundrum – value is based on expected dividends but forecasting dividends typically does not give us much of a handle on the value.</w:t>
      </w:r>
    </w:p>
    <w:p w14:paraId="3CEF9E98" w14:textId="7D369892" w:rsidR="00B97B8F" w:rsidRDefault="00B97B8F" w:rsidP="006B1BC5">
      <w:pPr>
        <w:jc w:val="both"/>
      </w:pPr>
      <w:r>
        <w:t>In the short term when there are</w:t>
      </w:r>
      <w:r w:rsidR="00E717A0">
        <w:t xml:space="preserve"> no dividends, what other metrics can we assess in order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20D258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 term consumption is increased through dividends, this compensation is charged against future book value. This dynamic is captured in Equation 2.1 below:</w:t>
      </w:r>
    </w:p>
    <w:p w14:paraId="4096418F" w14:textId="707C938F" w:rsidR="009C4306" w:rsidRPr="00AD2659" w:rsidRDefault="005C4386"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5C4386"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5C4386"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254CEE34"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r w:rsidR="0063584C">
        <w:rPr>
          <w:rFonts w:eastAsiaTheme="minorEastAsia"/>
          <w:iCs/>
        </w:rPr>
        <w:t xml:space="preserve"> This infers insights from Valuation Principle #2 below:</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5C4386"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64F13CEC" w:rsidR="00EA44A3" w:rsidRDefault="00EA44A3" w:rsidP="00EA44A3">
      <w:pPr>
        <w:jc w:val="both"/>
        <w:rPr>
          <w:rFonts w:eastAsiaTheme="minorEastAsia"/>
          <w:iCs/>
        </w:rPr>
      </w:pPr>
      <w:r>
        <w:rPr>
          <w:rFonts w:eastAsiaTheme="minorEastAsia"/>
          <w:iCs/>
        </w:rPr>
        <w:t>Discounted cash flow (DCF) analysis focuses on free cash flows.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free cash flows (FCF):</w:t>
      </w:r>
    </w:p>
    <w:p w14:paraId="27D7547A" w14:textId="223A6646" w:rsidR="00EA44A3" w:rsidRPr="00344CE7" w:rsidRDefault="005C4386"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18"/>
                  <w:szCs w:val="18"/>
                </w:rPr>
              </m:ctrlPr>
            </m:sSubPr>
            <m:e>
              <m:r>
                <m:rPr>
                  <m:sty m:val="b"/>
                </m:rPr>
                <w:rPr>
                  <w:rFonts w:ascii="Cambria Math" w:eastAsiaTheme="minorEastAsia" w:hAnsi="Cambria Math"/>
                  <w:sz w:val="18"/>
                  <w:szCs w:val="18"/>
                </w:rPr>
                <m:t>Equation 2.5</m:t>
              </m:r>
              <m:r>
                <m:rPr>
                  <m:sty m:val="p"/>
                </m:rPr>
                <w:rPr>
                  <w:rFonts w:ascii="Cambria Math" w:eastAsiaTheme="minorEastAsia" w:hAnsi="Cambria Math"/>
                  <w:sz w:val="18"/>
                  <w:szCs w:val="18"/>
                </w:rPr>
                <m:t xml:space="preserve">          Value of equity</m:t>
              </m:r>
            </m:e>
            <m:sub>
              <m:r>
                <w:rPr>
                  <w:rFonts w:ascii="Cambria Math" w:eastAsiaTheme="minorEastAsia" w:hAnsi="Cambria Math"/>
                  <w:sz w:val="18"/>
                  <w:szCs w:val="18"/>
                </w:rPr>
                <m:t>0</m:t>
              </m:r>
            </m:sub>
          </m:sSub>
          <m:r>
            <w:rPr>
              <w:rFonts w:ascii="Cambria Math" w:eastAsiaTheme="minorEastAsia" w:hAnsi="Cambria Math"/>
              <w:sz w:val="18"/>
              <w:szCs w:val="18"/>
            </w:rPr>
            <m:t>=</m:t>
          </m:r>
          <m:f>
            <m:fPr>
              <m:ctrlPr>
                <w:rPr>
                  <w:rFonts w:ascii="Cambria Math" w:eastAsiaTheme="minorEastAsia" w:hAnsi="Cambria Math"/>
                  <w:i/>
                  <w:iCs/>
                  <w:sz w:val="18"/>
                  <w:szCs w:val="18"/>
                </w:rPr>
              </m:ctrlPr>
            </m:fPr>
            <m:num>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FCF</m:t>
                  </m:r>
                </m:e>
                <m:sub>
                  <m:r>
                    <w:rPr>
                      <w:rFonts w:ascii="Cambria Math" w:eastAsiaTheme="minorEastAsia" w:hAnsi="Cambria Math"/>
                      <w:sz w:val="18"/>
                      <w:szCs w:val="18"/>
                    </w:rPr>
                    <m:t>1</m:t>
                  </m:r>
                </m:sub>
              </m:sSub>
            </m:num>
            <m:den>
              <m:r>
                <w:rPr>
                  <w:rFonts w:ascii="Cambria Math" w:eastAsiaTheme="minorEastAsia" w:hAnsi="Cambria Math"/>
                  <w:sz w:val="18"/>
                  <w:szCs w:val="18"/>
                </w:rPr>
                <m:t>1+</m:t>
              </m:r>
              <m:r>
                <m:rPr>
                  <m:sty m:val="p"/>
                </m:rPr>
                <w:rPr>
                  <w:rFonts w:ascii="Cambria Math" w:eastAsiaTheme="minorEastAsia" w:hAnsi="Cambria Math"/>
                  <w:sz w:val="18"/>
                  <w:szCs w:val="18"/>
                </w:rPr>
                <m:t>r</m:t>
              </m:r>
            </m:den>
          </m:f>
          <m:r>
            <w:rPr>
              <w:rFonts w:ascii="Cambria Math" w:eastAsiaTheme="minorEastAsia" w:hAnsi="Cambria Math"/>
              <w:sz w:val="18"/>
              <w:szCs w:val="18"/>
            </w:rPr>
            <m:t xml:space="preserve"> + </m:t>
          </m:r>
          <m:f>
            <m:fPr>
              <m:ctrlPr>
                <w:rPr>
                  <w:rFonts w:ascii="Cambria Math" w:eastAsiaTheme="minorEastAsia" w:hAnsi="Cambria Math"/>
                  <w:i/>
                  <w:iCs/>
                  <w:sz w:val="18"/>
                  <w:szCs w:val="18"/>
                </w:rPr>
              </m:ctrlPr>
            </m:fPr>
            <m:num>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FCF</m:t>
                  </m:r>
                </m:e>
                <m:sub>
                  <m:r>
                    <w:rPr>
                      <w:rFonts w:ascii="Cambria Math" w:eastAsiaTheme="minorEastAsia" w:hAnsi="Cambria Math"/>
                      <w:sz w:val="18"/>
                      <w:szCs w:val="18"/>
                    </w:rPr>
                    <m:t>2</m:t>
                  </m:r>
                </m:sub>
              </m:sSub>
            </m:num>
            <m:den>
              <m:sSup>
                <m:sSupPr>
                  <m:ctrlPr>
                    <w:rPr>
                      <w:rFonts w:ascii="Cambria Math" w:eastAsiaTheme="minorEastAsia" w:hAnsi="Cambria Math"/>
                      <w:i/>
                      <w:iCs/>
                      <w:sz w:val="18"/>
                      <w:szCs w:val="18"/>
                    </w:rPr>
                  </m:ctrlPr>
                </m:sSupPr>
                <m:e>
                  <m:d>
                    <m:dPr>
                      <m:ctrlPr>
                        <w:rPr>
                          <w:rFonts w:ascii="Cambria Math" w:eastAsiaTheme="minorEastAsia" w:hAnsi="Cambria Math"/>
                          <w:i/>
                          <w:iCs/>
                          <w:sz w:val="18"/>
                          <w:szCs w:val="18"/>
                        </w:rPr>
                      </m:ctrlPr>
                    </m:dPr>
                    <m:e>
                      <m:r>
                        <w:rPr>
                          <w:rFonts w:ascii="Cambria Math" w:eastAsiaTheme="minorEastAsia" w:hAnsi="Cambria Math"/>
                          <w:sz w:val="18"/>
                          <w:szCs w:val="18"/>
                        </w:rPr>
                        <m:t>1+</m:t>
                      </m:r>
                      <m:r>
                        <m:rPr>
                          <m:sty m:val="p"/>
                        </m:rPr>
                        <w:rPr>
                          <w:rFonts w:ascii="Cambria Math" w:eastAsiaTheme="minorEastAsia" w:hAnsi="Cambria Math"/>
                          <w:sz w:val="18"/>
                          <w:szCs w:val="18"/>
                        </w:rPr>
                        <m:t>r</m:t>
                      </m:r>
                    </m:e>
                  </m:d>
                </m:e>
                <m:sup>
                  <m:r>
                    <w:rPr>
                      <w:rFonts w:ascii="Cambria Math" w:eastAsiaTheme="minorEastAsia" w:hAnsi="Cambria Math"/>
                      <w:sz w:val="18"/>
                      <w:szCs w:val="18"/>
                    </w:rPr>
                    <m:t>2</m:t>
                  </m:r>
                </m:sup>
              </m:sSup>
            </m:den>
          </m:f>
          <m:r>
            <w:rPr>
              <w:rFonts w:ascii="Cambria Math" w:eastAsiaTheme="minorEastAsia" w:hAnsi="Cambria Math"/>
              <w:sz w:val="18"/>
              <w:szCs w:val="18"/>
            </w:rPr>
            <m:t xml:space="preserve">  +… + </m:t>
          </m:r>
          <m:f>
            <m:fPr>
              <m:ctrlPr>
                <w:rPr>
                  <w:rFonts w:ascii="Cambria Math" w:eastAsiaTheme="minorEastAsia" w:hAnsi="Cambria Math"/>
                  <w:i/>
                  <w:iCs/>
                  <w:sz w:val="18"/>
                  <w:szCs w:val="18"/>
                </w:rPr>
              </m:ctrlPr>
            </m:fPr>
            <m:num>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FCF</m:t>
                  </m:r>
                </m:e>
                <m:sub>
                  <m:r>
                    <w:rPr>
                      <w:rFonts w:ascii="Cambria Math" w:eastAsiaTheme="minorEastAsia" w:hAnsi="Cambria Math"/>
                      <w:sz w:val="18"/>
                      <w:szCs w:val="18"/>
                    </w:rPr>
                    <m:t>t</m:t>
                  </m:r>
                </m:sub>
              </m:sSub>
            </m:num>
            <m:den>
              <m:sSup>
                <m:sSupPr>
                  <m:ctrlPr>
                    <w:rPr>
                      <w:rFonts w:ascii="Cambria Math" w:eastAsiaTheme="minorEastAsia" w:hAnsi="Cambria Math"/>
                      <w:i/>
                      <w:iCs/>
                      <w:sz w:val="18"/>
                      <w:szCs w:val="18"/>
                    </w:rPr>
                  </m:ctrlPr>
                </m:sSupPr>
                <m:e>
                  <m:d>
                    <m:dPr>
                      <m:ctrlPr>
                        <w:rPr>
                          <w:rFonts w:ascii="Cambria Math" w:eastAsiaTheme="minorEastAsia" w:hAnsi="Cambria Math"/>
                          <w:i/>
                          <w:iCs/>
                          <w:sz w:val="18"/>
                          <w:szCs w:val="18"/>
                        </w:rPr>
                      </m:ctrlPr>
                    </m:dPr>
                    <m:e>
                      <m:r>
                        <w:rPr>
                          <w:rFonts w:ascii="Cambria Math" w:eastAsiaTheme="minorEastAsia" w:hAnsi="Cambria Math"/>
                          <w:sz w:val="18"/>
                          <w:szCs w:val="18"/>
                        </w:rPr>
                        <m:t>1+</m:t>
                      </m:r>
                      <m:r>
                        <m:rPr>
                          <m:sty m:val="p"/>
                        </m:rPr>
                        <w:rPr>
                          <w:rFonts w:ascii="Cambria Math" w:eastAsiaTheme="minorEastAsia" w:hAnsi="Cambria Math"/>
                          <w:sz w:val="18"/>
                          <w:szCs w:val="18"/>
                        </w:rPr>
                        <m:t>r</m:t>
                      </m:r>
                    </m:e>
                  </m:d>
                </m:e>
                <m:sup>
                  <m:r>
                    <w:rPr>
                      <w:rFonts w:ascii="Cambria Math" w:eastAsiaTheme="minorEastAsia" w:hAnsi="Cambria Math"/>
                      <w:sz w:val="18"/>
                      <w:szCs w:val="18"/>
                    </w:rPr>
                    <m:t>t</m:t>
                  </m:r>
                </m:sup>
              </m:sSup>
            </m:den>
          </m:f>
          <m:r>
            <w:rPr>
              <w:rFonts w:ascii="Cambria Math" w:eastAsiaTheme="minorEastAsia" w:hAnsi="Cambria Math"/>
              <w:sz w:val="18"/>
              <w:szCs w:val="18"/>
            </w:rPr>
            <m:t xml:space="preserve"> +  </m:t>
          </m:r>
          <m:f>
            <m:fPr>
              <m:ctrlPr>
                <w:rPr>
                  <w:rFonts w:ascii="Cambria Math" w:eastAsiaTheme="minorEastAsia" w:hAnsi="Cambria Math"/>
                  <w:i/>
                  <w:iCs/>
                  <w:sz w:val="18"/>
                  <w:szCs w:val="18"/>
                </w:rPr>
              </m:ctrlPr>
            </m:fPr>
            <m:num>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FCF</m:t>
                  </m:r>
                </m:e>
                <m:sub>
                  <m:r>
                    <w:rPr>
                      <w:rFonts w:ascii="Cambria Math" w:eastAsiaTheme="minorEastAsia" w:hAnsi="Cambria Math"/>
                      <w:sz w:val="18"/>
                      <w:szCs w:val="18"/>
                    </w:rPr>
                    <m:t>t+1</m:t>
                  </m:r>
                </m:sub>
              </m:sSub>
            </m:num>
            <m:den>
              <m:sSup>
                <m:sSupPr>
                  <m:ctrlPr>
                    <w:rPr>
                      <w:rFonts w:ascii="Cambria Math" w:eastAsiaTheme="minorEastAsia" w:hAnsi="Cambria Math"/>
                      <w:i/>
                      <w:iCs/>
                      <w:sz w:val="18"/>
                      <w:szCs w:val="18"/>
                    </w:rPr>
                  </m:ctrlPr>
                </m:sSupPr>
                <m:e>
                  <m:d>
                    <m:dPr>
                      <m:ctrlPr>
                        <w:rPr>
                          <w:rFonts w:ascii="Cambria Math" w:eastAsiaTheme="minorEastAsia" w:hAnsi="Cambria Math"/>
                          <w:i/>
                          <w:iCs/>
                          <w:sz w:val="18"/>
                          <w:szCs w:val="18"/>
                        </w:rPr>
                      </m:ctrlPr>
                    </m:dPr>
                    <m:e>
                      <m:r>
                        <w:rPr>
                          <w:rFonts w:ascii="Cambria Math" w:eastAsiaTheme="minorEastAsia" w:hAnsi="Cambria Math"/>
                          <w:sz w:val="18"/>
                          <w:szCs w:val="18"/>
                        </w:rPr>
                        <m:t>1+</m:t>
                      </m:r>
                      <m:r>
                        <m:rPr>
                          <m:sty m:val="p"/>
                        </m:rPr>
                        <w:rPr>
                          <w:rFonts w:ascii="Cambria Math" w:eastAsiaTheme="minorEastAsia" w:hAnsi="Cambria Math"/>
                          <w:sz w:val="18"/>
                          <w:szCs w:val="18"/>
                        </w:rPr>
                        <m:t>r</m:t>
                      </m:r>
                    </m:e>
                  </m:d>
                </m:e>
                <m:sup>
                  <m:r>
                    <w:rPr>
                      <w:rFonts w:ascii="Cambria Math" w:eastAsiaTheme="minorEastAsia" w:hAnsi="Cambria Math"/>
                      <w:sz w:val="18"/>
                      <w:szCs w:val="18"/>
                    </w:rPr>
                    <m:t>t</m:t>
                  </m:r>
                </m:sup>
              </m:sSup>
              <m:d>
                <m:dPr>
                  <m:ctrlPr>
                    <w:rPr>
                      <w:rFonts w:ascii="Cambria Math" w:eastAsiaTheme="minorEastAsia" w:hAnsi="Cambria Math"/>
                      <w:i/>
                      <w:iCs/>
                      <w:sz w:val="18"/>
                      <w:szCs w:val="18"/>
                    </w:rPr>
                  </m:ctrlPr>
                </m:dPr>
                <m:e>
                  <m:r>
                    <m:rPr>
                      <m:sty m:val="p"/>
                    </m:rPr>
                    <w:rPr>
                      <w:rFonts w:ascii="Cambria Math" w:eastAsiaTheme="minorEastAsia" w:hAnsi="Cambria Math"/>
                      <w:sz w:val="18"/>
                      <w:szCs w:val="18"/>
                    </w:rPr>
                    <m:t>r-g</m:t>
                  </m:r>
                </m:e>
              </m:d>
            </m:den>
          </m:f>
          <m:r>
            <w:rPr>
              <w:rFonts w:ascii="Cambria Math" w:eastAsiaTheme="minorEastAsia" w:hAnsi="Cambria Math"/>
              <w:sz w:val="18"/>
              <w:szCs w:val="18"/>
            </w:rPr>
            <m:t xml:space="preserve">  -  </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Value of net debt</m:t>
              </m:r>
            </m:e>
            <m:sub>
              <m:r>
                <w:rPr>
                  <w:rFonts w:ascii="Cambria Math" w:eastAsiaTheme="minorEastAsia" w:hAnsi="Cambria Math"/>
                  <w:sz w:val="18"/>
                  <w:szCs w:val="18"/>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4805379F" w:rsidR="001E2259" w:rsidRPr="001E2259" w:rsidRDefault="001E2259" w:rsidP="001E2259">
      <w:pPr>
        <w:pStyle w:val="ListParagraph"/>
        <w:numPr>
          <w:ilvl w:val="0"/>
          <w:numId w:val="5"/>
        </w:numPr>
        <w:jc w:val="both"/>
        <w:rPr>
          <w:b/>
          <w:bCs/>
          <w:u w:val="single"/>
        </w:rPr>
      </w:pPr>
      <w:r>
        <w:rPr>
          <w:rFonts w:eastAsiaTheme="minorEastAsia"/>
          <w:iCs/>
        </w:rPr>
        <w:t>the valuation involves the highly uncertain task of estimating continuing value that relies heavily on estimating the long term growth rate,</w:t>
      </w:r>
    </w:p>
    <w:p w14:paraId="0B339F17" w14:textId="09F80195"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FCFs,</w:t>
      </w:r>
    </w:p>
    <w:p w14:paraId="0A61619C" w14:textId="4C5A40CD" w:rsidR="00D95FDA" w:rsidRPr="00D95FDA" w:rsidRDefault="00D95FDA" w:rsidP="001E2259">
      <w:pPr>
        <w:pStyle w:val="ListParagraph"/>
        <w:numPr>
          <w:ilvl w:val="0"/>
          <w:numId w:val="5"/>
        </w:numPr>
        <w:jc w:val="both"/>
        <w:rPr>
          <w:b/>
          <w:bCs/>
          <w:u w:val="single"/>
        </w:rPr>
      </w:pPr>
      <w:r>
        <w:t>if the present value from FCFs is negative, then the terminal value has to be greater than 100% of the current value and this embeds a high degree of speculation terminal value is pegged to a long term growth estimate that is highly uncertain.</w:t>
      </w:r>
    </w:p>
    <w:p w14:paraId="3D74DC34" w14:textId="326CBE2B"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 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7777777" w:rsidR="00626280" w:rsidRDefault="00626280" w:rsidP="005E3004">
      <w:pPr>
        <w:jc w:val="both"/>
      </w:pPr>
      <w:r>
        <w:t>Accrual accounting reports earnings rather than cash flows. Does is translate to accrual accounting being 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139FFCDA"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 term.</w:t>
      </w:r>
    </w:p>
    <w:p w14:paraId="7BB3F0D0" w14:textId="0F7E6B9B" w:rsidR="005E3004" w:rsidRDefault="005E3004" w:rsidP="005E3004">
      <w:pPr>
        <w:jc w:val="both"/>
      </w:pPr>
      <w:r>
        <w:t>Accrual accounting produces a book value, which one can potentially anchor on. Accrual accounting even 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0F49CE48"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FCFs are negative, the add back of investments and accruals often results in positive earnings and EPS and these positive earnings look like something we can anchor on when accounting for value.</w:t>
      </w:r>
    </w:p>
    <w:p w14:paraId="1D7B5B34" w14:textId="69BB63BD"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accrual based numbers versus cash flow based numbers. </w:t>
      </w:r>
      <w:r w:rsidR="002725CF">
        <w:rPr>
          <w:rFonts w:eastAsiaTheme="minorEastAsia"/>
          <w:iCs/>
        </w:rPr>
        <w:t>This is why we have to be concerned about how the accounting is done and not just take GAAP numbers at face value.</w:t>
      </w:r>
    </w:p>
    <w:p w14:paraId="1B861BDA" w14:textId="30E04CD1" w:rsidR="002725CF" w:rsidRDefault="002725CF" w:rsidP="005E3004">
      <w:pPr>
        <w:jc w:val="both"/>
        <w:rPr>
          <w:rFonts w:eastAsiaTheme="minorEastAsia"/>
          <w:iCs/>
        </w:rPr>
      </w:pPr>
      <w:r>
        <w:rPr>
          <w:rFonts w:eastAsiaTheme="minorEastAsia"/>
          <w:iCs/>
        </w:rPr>
        <w:t xml:space="preserve">Accrual accounting brings the future forward in time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6A056F8F" w:rsidR="00152FEB" w:rsidRDefault="00152FEB" w:rsidP="00152FEB">
      <w:pPr>
        <w:jc w:val="both"/>
        <w:rPr>
          <w:rFonts w:eastAsiaTheme="minorEastAsia"/>
          <w:iCs/>
        </w:rPr>
      </w:pPr>
      <w:r>
        <w:rPr>
          <w:rFonts w:eastAsiaTheme="minorEastAsia"/>
          <w:iCs/>
        </w:rPr>
        <w:t>If valuation amounts to anchoring on book value and then adding speculation, we need guided and constrained discipline for adding speculation. Accounting supplies this discipline. One adds value to book value only if the expected rate-of-return on book value is greater than the required rate-of-return.</w:t>
      </w:r>
    </w:p>
    <w:p w14:paraId="6D95A3A1" w14:textId="20B339CC" w:rsidR="00152FEB" w:rsidRDefault="00152FEB" w:rsidP="00152FEB">
      <w:pPr>
        <w:jc w:val="both"/>
        <w:rPr>
          <w:rFonts w:eastAsiaTheme="minorEastAsia"/>
          <w:iCs/>
        </w:rPr>
      </w:pPr>
    </w:p>
    <w:p w14:paraId="28F8425E" w14:textId="007F4675" w:rsidR="007121C4" w:rsidRPr="00344CE7" w:rsidRDefault="007121C4"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Value of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2335AAFA"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t>.</w:t>
      </w:r>
      <w:r w:rsidR="00E426B1">
        <w:t xml:space="preserve"> Equations 2.6</w:t>
      </w:r>
      <w:r w:rsidR="000B55B0">
        <w:t>a</w:t>
      </w:r>
      <w:r w:rsidR="00E426B1">
        <w:t xml:space="preserve"> and </w:t>
      </w:r>
      <w:r w:rsidR="000B55B0">
        <w:t xml:space="preserve">Equation </w:t>
      </w:r>
      <w:r w:rsidR="00E426B1">
        <w:t>2.6</w:t>
      </w:r>
      <w:r w:rsidR="000B55B0">
        <w:t>b</w:t>
      </w:r>
      <w:r w:rsidR="00E426B1">
        <w:t xml:space="preserve"> are ancillary to Equation 2.6:</w:t>
      </w:r>
    </w:p>
    <w:p w14:paraId="0D96C0F9" w14:textId="0A797708" w:rsidR="00E426B1" w:rsidRPr="00344CE7" w:rsidRDefault="00E426B1"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b"/>
                </m:rPr>
                <w:rPr>
                  <w:rFonts w:ascii="Cambria Math" w:eastAsiaTheme="minorEastAsia" w:hAnsi="Cambria Math"/>
                  <w:sz w:val="20"/>
                  <w:szCs w:val="20"/>
                </w:rPr>
                <m:t>a</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b"/>
            </m:rPr>
            <w:rPr>
              <w:rFonts w:ascii="Cambria Math" w:eastAsiaTheme="minorEastAsia" w:hAnsi="Cambria Math"/>
              <w:sz w:val="20"/>
              <w:szCs w:val="20"/>
            </w:rPr>
            <m:t>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Equation 2.6</w:t>
      </w:r>
      <w:r w:rsidR="000B55B0">
        <w:t>b</w:t>
      </w:r>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p w14:paraId="3D4C216B" w14:textId="2A9504F1" w:rsidR="009D0ADB" w:rsidRPr="00BF6C39" w:rsidRDefault="009D0ADB"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7</m:t>
              </m:r>
              <m:r>
                <m:rPr>
                  <m:sty m:val="p"/>
                </m:rPr>
                <w:rPr>
                  <w:rFonts w:ascii="Cambria Math" w:eastAsiaTheme="minorEastAsia" w:hAnsi="Cambria Math"/>
                  <w:sz w:val="20"/>
                  <w:szCs w:val="20"/>
                </w:rPr>
                <m:t xml:space="preserve">          Value of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1855"/>
                    </a:xfrm>
                    <a:prstGeom prst="rect">
                      <a:avLst/>
                    </a:prstGeom>
                  </pic:spPr>
                </pic:pic>
              </a:graphicData>
            </a:graphic>
          </wp:inline>
        </w:drawing>
      </w:r>
    </w:p>
    <w:p w14:paraId="654E8958" w14:textId="5A310060" w:rsidR="00F66E41" w:rsidRDefault="007F0A36" w:rsidP="00F66E41">
      <w:pPr>
        <w:jc w:val="both"/>
      </w:pPr>
      <w:r>
        <w:t xml:space="preserve">We can now integrate the model represented by Equation 2.7 (or equivalently Equation 2.6) with the value </w:t>
      </w:r>
      <w:r w:rsidR="00B83D2F">
        <w:t>derived by discounted dividends and book value calculated in Equation 2.1. This integrated model is shown in Equation 2.8 below:</w:t>
      </w:r>
    </w:p>
    <w:p w14:paraId="24E8384C" w14:textId="67877C75" w:rsidR="00B83D2F" w:rsidRPr="00B83D2F" w:rsidRDefault="00B83D2F"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8</m:t>
              </m:r>
              <m:r>
                <m:rPr>
                  <m:sty m:val="p"/>
                </m:rPr>
                <w:rPr>
                  <w:rFonts w:ascii="Cambria Math" w:eastAsiaTheme="minorEastAsia" w:hAnsi="Cambria Math"/>
                  <w:sz w:val="20"/>
                  <w:szCs w:val="20"/>
                </w:rPr>
                <m:t xml:space="preserve">          Value of equity</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7E575E11" w:rsidR="00B83D2F" w:rsidRPr="00B83D2F" w:rsidRDefault="00B83D2F" w:rsidP="00F66E41">
      <w:pPr>
        <w:jc w:val="both"/>
      </w:pPr>
      <w:r>
        <w:t>Equation 2.8 modifies Equation 2.1 to account for the ROCE being different from the discount rate. This extra term equals the present value of the capitalized abnormal earnings in the for the last year in the forecast horizon. Equation 2.8 leads of Valuation Principle #3</w:t>
      </w:r>
      <w:r w:rsidR="006B2D8D">
        <w:t>.</w:t>
      </w:r>
    </w:p>
    <w:p w14:paraId="713D0011" w14:textId="0CA9326C"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62B3A025" w:rsidR="006B2D8D" w:rsidRPr="00B83D2F" w:rsidRDefault="006B2D8D"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8a</m:t>
              </m:r>
              <m:r>
                <m:rPr>
                  <m:sty m:val="p"/>
                </m:rPr>
                <w:rPr>
                  <w:rFonts w:ascii="Cambria Math" w:eastAsiaTheme="minorEastAsia" w:hAnsi="Cambria Math"/>
                  <w:sz w:val="20"/>
                  <w:szCs w:val="20"/>
                </w:rPr>
                <m:t xml:space="preserve">         Value of equity</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2.8a).</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 xml:space="preserve">Valuing equity based on </w:t>
      </w:r>
      <w:r>
        <w:rPr>
          <w:i/>
          <w:iCs/>
          <w:color w:val="002060"/>
        </w:rPr>
        <w:t>dividends and abnormal earnings</w:t>
      </w:r>
      <w:r>
        <w:rPr>
          <w:i/>
          <w:iCs/>
          <w:color w:val="002060"/>
        </w:rPr>
        <w:t xml:space="preserve">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4065"/>
                    </a:xfrm>
                    <a:prstGeom prst="rect">
                      <a:avLst/>
                    </a:prstGeom>
                  </pic:spPr>
                </pic:pic>
              </a:graphicData>
            </a:graphic>
          </wp:inline>
        </w:drawing>
      </w:r>
    </w:p>
    <w:p w14:paraId="72C6EA4B" w14:textId="109FA01C"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 term pro forma balance sheets and income statements as opposed to being dependent on dividends streams, that in the short term may be non-existent.</w:t>
      </w:r>
    </w:p>
    <w:p w14:paraId="17C7F489" w14:textId="17508011" w:rsidR="00565AC8" w:rsidRDefault="00FF06FC" w:rsidP="00FF06FC">
      <w:pPr>
        <w:jc w:val="both"/>
      </w:pPr>
      <w:r>
        <w:t xml:space="preserve">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 term cash flows – </w:t>
      </w:r>
      <w:r w:rsidRPr="00FF06FC">
        <w:rPr>
          <w:b/>
          <w:bCs/>
          <w:u w:val="single"/>
        </w:rPr>
        <w:t>provided that the accounting is good accrual accounting</w:t>
      </w:r>
      <w:r>
        <w:t>.</w:t>
      </w:r>
    </w:p>
    <w:p w14:paraId="064DCFB1" w14:textId="31B49D23" w:rsidR="00244440" w:rsidRDefault="00244440" w:rsidP="00FF06FC">
      <w:pPr>
        <w:jc w:val="both"/>
      </w:pPr>
      <w:r>
        <w:t>It is important to understand that the equity value derived using Equations 2.6 through 2.8 assumes a growth rate, g, of zero as explicitly shown in Equation 2.6c below:</w:t>
      </w:r>
    </w:p>
    <w:p w14:paraId="501FC976" w14:textId="28E43712" w:rsidR="00244440" w:rsidRPr="00244440" w:rsidRDefault="00244440"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16"/>
                  <w:szCs w:val="16"/>
                </w:rPr>
              </m:ctrlPr>
            </m:sSubPr>
            <m:e>
              <m:r>
                <m:rPr>
                  <m:sty m:val="b"/>
                </m:rPr>
                <w:rPr>
                  <w:rFonts w:ascii="Cambria Math" w:eastAsiaTheme="minorEastAsia" w:hAnsi="Cambria Math"/>
                  <w:sz w:val="16"/>
                  <w:szCs w:val="16"/>
                </w:rPr>
                <m:t>Equation 2.6</m:t>
              </m:r>
              <m:r>
                <m:rPr>
                  <m:sty m:val="b"/>
                </m:rPr>
                <w:rPr>
                  <w:rFonts w:ascii="Cambria Math" w:eastAsiaTheme="minorEastAsia" w:hAnsi="Cambria Math"/>
                  <w:sz w:val="16"/>
                  <w:szCs w:val="16"/>
                </w:rPr>
                <m:t>c</m:t>
              </m:r>
              <m:r>
                <m:rPr>
                  <m:sty m:val="p"/>
                </m:rPr>
                <w:rPr>
                  <w:rFonts w:ascii="Cambria Math" w:eastAsiaTheme="minorEastAsia" w:hAnsi="Cambria Math"/>
                  <w:sz w:val="16"/>
                  <w:szCs w:val="16"/>
                </w:rPr>
                <m:t xml:space="preserve">          Value of equity</m:t>
              </m:r>
            </m:e>
            <m:sub>
              <m:r>
                <w:rPr>
                  <w:rFonts w:ascii="Cambria Math" w:eastAsiaTheme="minorEastAsia" w:hAnsi="Cambria Math"/>
                  <w:sz w:val="16"/>
                  <w:szCs w:val="16"/>
                </w:rPr>
                <m:t>0</m:t>
              </m:r>
            </m:sub>
          </m:sSub>
          <m:r>
            <w:rPr>
              <w:rFonts w:ascii="Cambria Math" w:eastAsiaTheme="minorEastAsia" w:hAnsi="Cambria Math"/>
              <w:sz w:val="16"/>
              <w:szCs w:val="16"/>
            </w:rPr>
            <m:t>=</m:t>
          </m:r>
          <m:sSub>
            <m:sSubPr>
              <m:ctrlPr>
                <w:rPr>
                  <w:rFonts w:ascii="Cambria Math" w:eastAsiaTheme="minorEastAsia" w:hAnsi="Cambria Math"/>
                  <w:iCs/>
                  <w:sz w:val="16"/>
                  <w:szCs w:val="16"/>
                </w:rPr>
              </m:ctrlPr>
            </m:sSubPr>
            <m:e>
              <m:r>
                <m:rPr>
                  <m:sty m:val="p"/>
                </m:rPr>
                <w:rPr>
                  <w:rFonts w:ascii="Cambria Math" w:eastAsiaTheme="minorEastAsia" w:hAnsi="Cambria Math"/>
                  <w:sz w:val="16"/>
                  <w:szCs w:val="16"/>
                </w:rPr>
                <m:t>B</m:t>
              </m:r>
            </m:e>
            <m:sub>
              <m:r>
                <w:rPr>
                  <w:rFonts w:ascii="Cambria Math" w:eastAsiaTheme="minorEastAsia" w:hAnsi="Cambria Math"/>
                  <w:sz w:val="16"/>
                  <w:szCs w:val="16"/>
                </w:rPr>
                <m:t>0</m:t>
              </m:r>
            </m:sub>
          </m:sSub>
          <m:r>
            <w:rPr>
              <w:rFonts w:ascii="Cambria Math" w:eastAsiaTheme="minorEastAsia" w:hAnsi="Cambria Math"/>
              <w:sz w:val="16"/>
              <w:szCs w:val="16"/>
            </w:rPr>
            <m:t xml:space="preserve"> +  </m:t>
          </m:r>
          <m:f>
            <m:fPr>
              <m:ctrlPr>
                <w:rPr>
                  <w:rFonts w:ascii="Cambria Math" w:eastAsiaTheme="minorEastAsia" w:hAnsi="Cambria Math"/>
                  <w:i/>
                  <w:iCs/>
                  <w:sz w:val="16"/>
                  <w:szCs w:val="16"/>
                </w:rPr>
              </m:ctrlPr>
            </m:fPr>
            <m:num>
              <m:sSub>
                <m:sSubPr>
                  <m:ctrlPr>
                    <w:rPr>
                      <w:rFonts w:ascii="Cambria Math" w:eastAsiaTheme="minorEastAsia" w:hAnsi="Cambria Math"/>
                      <w:i/>
                      <w:iCs/>
                      <w:sz w:val="16"/>
                      <w:szCs w:val="16"/>
                    </w:rPr>
                  </m:ctrlPr>
                </m:sSubPr>
                <m:e>
                  <m:r>
                    <m:rPr>
                      <m:sty m:val="p"/>
                    </m:rPr>
                    <w:rPr>
                      <w:rFonts w:ascii="Cambria Math" w:eastAsiaTheme="minorEastAsia" w:hAnsi="Cambria Math"/>
                      <w:sz w:val="16"/>
                      <w:szCs w:val="16"/>
                    </w:rPr>
                    <m:t>B</m:t>
                  </m:r>
                </m:e>
                <m:sub>
                  <m:r>
                    <w:rPr>
                      <w:rFonts w:ascii="Cambria Math" w:eastAsiaTheme="minorEastAsia" w:hAnsi="Cambria Math"/>
                      <w:sz w:val="16"/>
                      <w:szCs w:val="16"/>
                    </w:rPr>
                    <m:t>0</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ROCE</m:t>
                      </m:r>
                    </m:e>
                    <m:sub>
                      <m:r>
                        <w:rPr>
                          <w:rFonts w:ascii="Cambria Math" w:eastAsiaTheme="minorEastAsia" w:hAnsi="Cambria Math"/>
                          <w:sz w:val="16"/>
                          <w:szCs w:val="16"/>
                        </w:rPr>
                        <m:t>1</m:t>
                      </m:r>
                    </m:sub>
                  </m:sSub>
                  <m:r>
                    <w:rPr>
                      <w:rFonts w:ascii="Cambria Math" w:eastAsiaTheme="minorEastAsia" w:hAnsi="Cambria Math"/>
                      <w:sz w:val="16"/>
                      <w:szCs w:val="16"/>
                    </w:rPr>
                    <m:t>-</m:t>
                  </m:r>
                  <m:r>
                    <m:rPr>
                      <m:sty m:val="p"/>
                    </m:rPr>
                    <w:rPr>
                      <w:rFonts w:ascii="Cambria Math" w:eastAsiaTheme="minorEastAsia" w:hAnsi="Cambria Math"/>
                      <w:sz w:val="16"/>
                      <w:szCs w:val="16"/>
                    </w:rPr>
                    <m:t>r</m:t>
                  </m:r>
                </m:e>
              </m:d>
            </m:num>
            <m:den>
              <m:r>
                <w:rPr>
                  <w:rFonts w:ascii="Cambria Math" w:eastAsiaTheme="minorEastAsia" w:hAnsi="Cambria Math"/>
                  <w:sz w:val="16"/>
                  <w:szCs w:val="16"/>
                </w:rPr>
                <m:t>1+</m:t>
              </m:r>
              <m:r>
                <m:rPr>
                  <m:sty m:val="p"/>
                </m:rPr>
                <w:rPr>
                  <w:rFonts w:ascii="Cambria Math" w:eastAsiaTheme="minorEastAsia" w:hAnsi="Cambria Math"/>
                  <w:sz w:val="16"/>
                  <w:szCs w:val="16"/>
                </w:rPr>
                <m:t>r</m:t>
              </m:r>
            </m:den>
          </m:f>
          <m:r>
            <w:rPr>
              <w:rFonts w:ascii="Cambria Math" w:eastAsiaTheme="minorEastAsia" w:hAnsi="Cambria Math"/>
              <w:sz w:val="16"/>
              <w:szCs w:val="16"/>
            </w:rPr>
            <m:t xml:space="preserve">  +  </m:t>
          </m:r>
          <m:f>
            <m:fPr>
              <m:ctrlPr>
                <w:rPr>
                  <w:rFonts w:ascii="Cambria Math" w:eastAsiaTheme="minorEastAsia" w:hAnsi="Cambria Math"/>
                  <w:i/>
                  <w:iCs/>
                  <w:sz w:val="16"/>
                  <w:szCs w:val="16"/>
                </w:rPr>
              </m:ctrlPr>
            </m:fPr>
            <m:num>
              <m:sSub>
                <m:sSubPr>
                  <m:ctrlPr>
                    <w:rPr>
                      <w:rFonts w:ascii="Cambria Math" w:eastAsiaTheme="minorEastAsia" w:hAnsi="Cambria Math"/>
                      <w:i/>
                      <w:iCs/>
                      <w:sz w:val="16"/>
                      <w:szCs w:val="16"/>
                    </w:rPr>
                  </m:ctrlPr>
                </m:sSubPr>
                <m:e>
                  <m:r>
                    <m:rPr>
                      <m:sty m:val="p"/>
                    </m:rPr>
                    <w:rPr>
                      <w:rFonts w:ascii="Cambria Math" w:eastAsiaTheme="minorEastAsia" w:hAnsi="Cambria Math"/>
                      <w:sz w:val="16"/>
                      <w:szCs w:val="16"/>
                    </w:rPr>
                    <m:t>B</m:t>
                  </m:r>
                </m:e>
                <m:sub>
                  <m:r>
                    <w:rPr>
                      <w:rFonts w:ascii="Cambria Math" w:eastAsiaTheme="minorEastAsia" w:hAnsi="Cambria Math"/>
                      <w:sz w:val="16"/>
                      <w:szCs w:val="16"/>
                    </w:rPr>
                    <m:t>1</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ROCE</m:t>
                      </m:r>
                    </m:e>
                    <m:sub>
                      <m:r>
                        <w:rPr>
                          <w:rFonts w:ascii="Cambria Math" w:eastAsiaTheme="minorEastAsia" w:hAnsi="Cambria Math"/>
                          <w:sz w:val="16"/>
                          <w:szCs w:val="16"/>
                        </w:rPr>
                        <m:t>2</m:t>
                      </m:r>
                    </m:sub>
                  </m:sSub>
                  <m:r>
                    <w:rPr>
                      <w:rFonts w:ascii="Cambria Math" w:eastAsiaTheme="minorEastAsia" w:hAnsi="Cambria Math"/>
                      <w:sz w:val="16"/>
                      <w:szCs w:val="16"/>
                    </w:rPr>
                    <m:t>-</m:t>
                  </m:r>
                  <m:r>
                    <m:rPr>
                      <m:sty m:val="p"/>
                    </m:rPr>
                    <w:rPr>
                      <w:rFonts w:ascii="Cambria Math" w:eastAsiaTheme="minorEastAsia" w:hAnsi="Cambria Math"/>
                      <w:sz w:val="16"/>
                      <w:szCs w:val="16"/>
                    </w:rPr>
                    <m:t>r</m:t>
                  </m:r>
                </m:e>
              </m:d>
            </m:num>
            <m:den>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1+</m:t>
                      </m:r>
                      <m:r>
                        <m:rPr>
                          <m:sty m:val="p"/>
                        </m:rPr>
                        <w:rPr>
                          <w:rFonts w:ascii="Cambria Math" w:eastAsiaTheme="minorEastAsia" w:hAnsi="Cambria Math"/>
                          <w:sz w:val="16"/>
                          <w:szCs w:val="16"/>
                        </w:rPr>
                        <m:t>r</m:t>
                      </m:r>
                    </m:e>
                  </m:d>
                </m:e>
                <m:sup>
                  <m:r>
                    <w:rPr>
                      <w:rFonts w:ascii="Cambria Math" w:eastAsiaTheme="minorEastAsia" w:hAnsi="Cambria Math"/>
                      <w:sz w:val="16"/>
                      <w:szCs w:val="16"/>
                    </w:rPr>
                    <m:t>2</m:t>
                  </m:r>
                </m:sup>
              </m:sSup>
            </m:den>
          </m:f>
          <m:r>
            <w:rPr>
              <w:rFonts w:ascii="Cambria Math" w:eastAsiaTheme="minorEastAsia" w:hAnsi="Cambria Math"/>
              <w:sz w:val="16"/>
              <w:szCs w:val="16"/>
            </w:rPr>
            <m:t xml:space="preserve">  +  </m:t>
          </m:r>
          <m:f>
            <m:fPr>
              <m:ctrlPr>
                <w:rPr>
                  <w:rFonts w:ascii="Cambria Math" w:eastAsiaTheme="minorEastAsia" w:hAnsi="Cambria Math"/>
                  <w:i/>
                  <w:iCs/>
                  <w:sz w:val="16"/>
                  <w:szCs w:val="16"/>
                </w:rPr>
              </m:ctrlPr>
            </m:fPr>
            <m:num>
              <m:sSub>
                <m:sSubPr>
                  <m:ctrlPr>
                    <w:rPr>
                      <w:rFonts w:ascii="Cambria Math" w:eastAsiaTheme="minorEastAsia" w:hAnsi="Cambria Math"/>
                      <w:i/>
                      <w:iCs/>
                      <w:sz w:val="16"/>
                      <w:szCs w:val="16"/>
                    </w:rPr>
                  </m:ctrlPr>
                </m:sSubPr>
                <m:e>
                  <m:r>
                    <m:rPr>
                      <m:sty m:val="p"/>
                    </m:rPr>
                    <w:rPr>
                      <w:rFonts w:ascii="Cambria Math" w:eastAsiaTheme="minorEastAsia" w:hAnsi="Cambria Math"/>
                      <w:sz w:val="16"/>
                      <w:szCs w:val="16"/>
                    </w:rPr>
                    <m:t>B</m:t>
                  </m:r>
                </m:e>
                <m:sub>
                  <m:r>
                    <w:rPr>
                      <w:rFonts w:ascii="Cambria Math" w:eastAsiaTheme="minorEastAsia" w:hAnsi="Cambria Math"/>
                      <w:sz w:val="16"/>
                      <w:szCs w:val="16"/>
                    </w:rPr>
                    <m:t>2</m:t>
                  </m:r>
                </m:sub>
              </m:sSub>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m:rPr>
                          <m:sty m:val="p"/>
                        </m:rPr>
                        <w:rPr>
                          <w:rFonts w:ascii="Cambria Math" w:eastAsiaTheme="minorEastAsia" w:hAnsi="Cambria Math"/>
                          <w:sz w:val="16"/>
                          <w:szCs w:val="16"/>
                        </w:rPr>
                        <m:t>ROCE</m:t>
                      </m:r>
                    </m:e>
                    <m:sub>
                      <m:r>
                        <w:rPr>
                          <w:rFonts w:ascii="Cambria Math" w:eastAsiaTheme="minorEastAsia" w:hAnsi="Cambria Math"/>
                          <w:sz w:val="16"/>
                          <w:szCs w:val="16"/>
                        </w:rPr>
                        <m:t>3</m:t>
                      </m:r>
                    </m:sub>
                  </m:sSub>
                  <m:r>
                    <w:rPr>
                      <w:rFonts w:ascii="Cambria Math" w:eastAsiaTheme="minorEastAsia" w:hAnsi="Cambria Math"/>
                      <w:sz w:val="16"/>
                      <w:szCs w:val="16"/>
                    </w:rPr>
                    <m:t>-</m:t>
                  </m:r>
                  <m:r>
                    <m:rPr>
                      <m:sty m:val="p"/>
                    </m:rPr>
                    <w:rPr>
                      <w:rFonts w:ascii="Cambria Math" w:eastAsiaTheme="minorEastAsia" w:hAnsi="Cambria Math"/>
                      <w:sz w:val="16"/>
                      <w:szCs w:val="16"/>
                    </w:rPr>
                    <m:t>r</m:t>
                  </m:r>
                </m:e>
              </m:d>
            </m:num>
            <m:den>
              <m:sSup>
                <m:sSupPr>
                  <m:ctrlPr>
                    <w:rPr>
                      <w:rFonts w:ascii="Cambria Math" w:eastAsiaTheme="minorEastAsia" w:hAnsi="Cambria Math"/>
                      <w:i/>
                      <w:sz w:val="16"/>
                      <w:szCs w:val="16"/>
                    </w:rPr>
                  </m:ctrlPr>
                </m:sSupPr>
                <m:e>
                  <m:d>
                    <m:dPr>
                      <m:ctrlPr>
                        <w:rPr>
                          <w:rFonts w:ascii="Cambria Math" w:eastAsiaTheme="minorEastAsia" w:hAnsi="Cambria Math"/>
                          <w:i/>
                          <w:sz w:val="16"/>
                          <w:szCs w:val="16"/>
                        </w:rPr>
                      </m:ctrlPr>
                    </m:dPr>
                    <m:e>
                      <m:r>
                        <w:rPr>
                          <w:rFonts w:ascii="Cambria Math" w:eastAsiaTheme="minorEastAsia" w:hAnsi="Cambria Math"/>
                          <w:sz w:val="16"/>
                          <w:szCs w:val="16"/>
                        </w:rPr>
                        <m:t>1+</m:t>
                      </m:r>
                      <m:r>
                        <m:rPr>
                          <m:sty m:val="p"/>
                        </m:rPr>
                        <w:rPr>
                          <w:rFonts w:ascii="Cambria Math" w:eastAsiaTheme="minorEastAsia" w:hAnsi="Cambria Math"/>
                          <w:sz w:val="16"/>
                          <w:szCs w:val="16"/>
                        </w:rPr>
                        <m:t>r</m:t>
                      </m:r>
                    </m:e>
                  </m:d>
                </m:e>
                <m:sup>
                  <m:r>
                    <w:rPr>
                      <w:rFonts w:ascii="Cambria Math" w:eastAsiaTheme="minorEastAsia" w:hAnsi="Cambria Math"/>
                      <w:sz w:val="16"/>
                      <w:szCs w:val="16"/>
                    </w:rPr>
                    <m:t>2</m:t>
                  </m:r>
                </m:sup>
              </m:sSup>
              <m:r>
                <m:rPr>
                  <m:sty m:val="p"/>
                </m:rPr>
                <w:rPr>
                  <w:rFonts w:ascii="Cambria Math" w:eastAsiaTheme="minorEastAsia" w:hAnsi="Cambria Math"/>
                  <w:sz w:val="16"/>
                  <w:szCs w:val="16"/>
                </w:rPr>
                <m:t>×r</m:t>
              </m:r>
            </m:den>
          </m:f>
          <m:r>
            <w:rPr>
              <w:rFonts w:ascii="Cambria Math" w:eastAsiaTheme="minorEastAsia" w:hAnsi="Cambria Math"/>
              <w:sz w:val="16"/>
              <w:szCs w:val="16"/>
            </w:rPr>
            <m:t xml:space="preserve"> +  </m:t>
          </m:r>
          <m:r>
            <m:rPr>
              <m:sty m:val="p"/>
            </m:rPr>
            <w:rPr>
              <w:rFonts w:ascii="Cambria Math" w:eastAsiaTheme="minorEastAsia" w:hAnsi="Cambria Math"/>
              <w:sz w:val="16"/>
              <w:szCs w:val="16"/>
            </w:rPr>
            <m:t>Value of speculative growth</m:t>
          </m:r>
        </m:oMath>
      </m:oMathPara>
    </w:p>
    <w:p w14:paraId="1F9BB1AD" w14:textId="0269F22E"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Pr="00244440">
        <w:rPr>
          <w:rFonts w:eastAsiaTheme="minorEastAsia"/>
          <w:i/>
        </w:rPr>
        <w:t>because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 term accounting pro forma then these two components form the anchor for the valuation. </w:t>
      </w:r>
      <w:r w:rsidR="00EB2649">
        <w:rPr>
          <w:rFonts w:eastAsiaTheme="minorEastAsia"/>
          <w:iCs/>
        </w:rPr>
        <w:lastRenderedPageBreak/>
        <w:t xml:space="preserve">This support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42F8A507" w14:textId="5D556C46" w:rsidR="00001B3C" w:rsidRPr="00001B3C" w:rsidRDefault="00001B3C" w:rsidP="00001B3C">
      <w:pPr>
        <w:pStyle w:val="ListParagraph"/>
        <w:numPr>
          <w:ilvl w:val="0"/>
          <w:numId w:val="7"/>
        </w:numPr>
        <w:jc w:val="both"/>
      </w:pPr>
      <w:r>
        <w:rPr>
          <w:rFonts w:eastAsiaTheme="minorEastAsia"/>
          <w:iCs/>
        </w:rPr>
        <w:t>Stock price $52.00</w:t>
      </w:r>
    </w:p>
    <w:p w14:paraId="2C48D30E" w14:textId="77777777" w:rsidR="00001B3C" w:rsidRPr="00001B3C" w:rsidRDefault="00001B3C" w:rsidP="00001B3C">
      <w:pPr>
        <w:pStyle w:val="ListParagraph"/>
        <w:numPr>
          <w:ilvl w:val="0"/>
          <w:numId w:val="7"/>
        </w:numPr>
        <w:jc w:val="both"/>
      </w:pPr>
      <w:r>
        <w:rPr>
          <w:rFonts w:eastAsiaTheme="minorEastAsia"/>
          <w:iCs/>
        </w:rPr>
        <w:t>Book value $4.32</w:t>
      </w:r>
    </w:p>
    <w:p w14:paraId="12A9086B" w14:textId="0D10C8B6" w:rsidR="00001B3C" w:rsidRPr="00001B3C" w:rsidRDefault="00001B3C" w:rsidP="00001B3C">
      <w:pPr>
        <w:pStyle w:val="ListParagraph"/>
        <w:numPr>
          <w:ilvl w:val="0"/>
          <w:numId w:val="7"/>
        </w:numPr>
        <w:jc w:val="both"/>
      </w:pPr>
      <w:r>
        <w:rPr>
          <w:rFonts w:eastAsiaTheme="minorEastAsia"/>
          <w:iCs/>
        </w:rPr>
        <w:t>Present value of discounted proforma abnormal earnings $1.50</w:t>
      </w:r>
    </w:p>
    <w:p w14:paraId="357C7334" w14:textId="7799DA23" w:rsidR="00EE6C9D" w:rsidRPr="00001B3C" w:rsidRDefault="00001B3C" w:rsidP="00001B3C">
      <w:pPr>
        <w:pStyle w:val="ListParagraph"/>
        <w:numPr>
          <w:ilvl w:val="0"/>
          <w:numId w:val="7"/>
        </w:numPr>
        <w:jc w:val="both"/>
      </w:pPr>
      <w:r>
        <w:rPr>
          <w:rFonts w:eastAsiaTheme="minorEastAsia"/>
          <w:iCs/>
        </w:rPr>
        <w:t>Present value of capitalized terminal abnormal earnings $6.98</w:t>
      </w:r>
    </w:p>
    <w:p w14:paraId="7367D013" w14:textId="541F9642" w:rsidR="00001B3C" w:rsidRDefault="00001B3C" w:rsidP="00001B3C">
      <w:pPr>
        <w:jc w:val="both"/>
      </w:pPr>
      <w:r>
        <w:t xml:space="preserve">The anchor for the valuation was $4.32 + $1.50 + $6.98 = $12.80. This results in the implied value from speculative growth of $39.20 </w:t>
      </w:r>
      <w:r>
        <w:sym w:font="Wingdings" w:char="F0DF"/>
      </w:r>
      <w:r>
        <w:t xml:space="preserve"> $52.00 - $12.80. There was 75% of the market price of equity that we are skeptical about. </w:t>
      </w:r>
      <w:r w:rsidR="002932ED">
        <w:t>T</w:t>
      </w:r>
      <w:r>
        <w:t xml:space="preserve">his either means that the accounting for value ($12.80) is missing a lot (or is flawed) or </w:t>
      </w:r>
      <w:r w:rsidR="002932ED">
        <w:t>the market is paying too much for growth.</w:t>
      </w:r>
    </w:p>
    <w:p w14:paraId="33049519" w14:textId="740A6A98" w:rsidR="002932ED" w:rsidRDefault="002932ED" w:rsidP="00001B3C">
      <w:pPr>
        <w:jc w:val="both"/>
      </w:pPr>
      <w:r>
        <w:t>From an ex-post perspective, the accounting for value showed little growth in abnormal earnings. Therefore, was the growth implied by the value of speculative growth considering the ex-post growth in abnormal earnings tell a consistent story? It is this notion that we must challenge.</w:t>
      </w:r>
    </w:p>
    <w:p w14:paraId="546D3A1A" w14:textId="70DC6FB1" w:rsidR="002932ED" w:rsidRDefault="002932ED" w:rsidP="00001B3C">
      <w:pPr>
        <w:jc w:val="both"/>
      </w:pPr>
      <w:r>
        <w:t xml:space="preserve">The no-growth valuation means that abnormal earnings are deemed to continue at a constant level (with no growth) after the forecast horizon. Abnormal earnings is the product of ROCE and book value. In the GE’s case, ROCE decreased and book value </w:t>
      </w:r>
      <w:r w:rsidR="00434C5E">
        <w:t xml:space="preserve">(net assets) </w:t>
      </w:r>
      <w:r>
        <w:t>increased resulting in constant no-growth abnormal earnings.</w:t>
      </w:r>
      <w:r w:rsidR="00434C5E">
        <w:t xml:space="preserve"> 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p>
    <w:p w14:paraId="53B5D72E" w14:textId="02329441" w:rsidR="00434C5E" w:rsidRPr="00001B3C" w:rsidRDefault="00434C5E" w:rsidP="00001B3C">
      <w:pPr>
        <w:jc w:val="both"/>
      </w:pPr>
      <w:r>
        <w:t>The bottom line is that one must have good reasons to adding value for speculative growth.</w:t>
      </w:r>
      <w:bookmarkStart w:id="0" w:name="_GoBack"/>
      <w:bookmarkEnd w:id="0"/>
    </w:p>
    <w:p w14:paraId="07E3C6F9" w14:textId="54172A8B" w:rsidR="0051032C" w:rsidRDefault="00570859" w:rsidP="000E1F77">
      <w:pPr>
        <w:rPr>
          <w:b/>
          <w:bCs/>
          <w:u w:val="single"/>
        </w:rPr>
      </w:pPr>
      <w:r>
        <w:rPr>
          <w:b/>
          <w:bCs/>
          <w:u w:val="single"/>
        </w:rPr>
        <w:t>Anchoring on Earnings: The P/E Ratio</w:t>
      </w:r>
    </w:p>
    <w:p w14:paraId="34C3AAD1" w14:textId="3261EDB6" w:rsidR="00570859" w:rsidRDefault="002A02BB" w:rsidP="000E1F77">
      <w:pPr>
        <w:rPr>
          <w:b/>
          <w:bCs/>
          <w:u w:val="single"/>
        </w:rPr>
      </w:pPr>
      <w:r>
        <w:rPr>
          <w:b/>
          <w:bCs/>
          <w:u w:val="single"/>
        </w:rPr>
        <w:t>Accounting for Value</w:t>
      </w:r>
    </w:p>
    <w:p w14:paraId="71E93CED" w14:textId="77777777" w:rsidR="002A02BB" w:rsidRDefault="002A02BB" w:rsidP="000E1F77">
      <w:pPr>
        <w:rPr>
          <w:b/>
          <w:bCs/>
          <w:u w:val="single"/>
        </w:rPr>
      </w:pPr>
    </w:p>
    <w:p w14:paraId="4B1CFEA5" w14:textId="77777777" w:rsidR="002A02BB" w:rsidRDefault="002A02BB" w:rsidP="000E1F77">
      <w:pPr>
        <w:rPr>
          <w:b/>
          <w:bCs/>
          <w:u w:val="single"/>
        </w:rPr>
        <w:sectPr w:rsidR="002A02BB">
          <w:headerReference w:type="default" r:id="rId14"/>
          <w:pgSz w:w="12240" w:h="15840"/>
          <w:pgMar w:top="1440" w:right="1440" w:bottom="1440" w:left="1440" w:header="720" w:footer="720" w:gutter="0"/>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4E1FC13B" w14:textId="4FBC92BB" w:rsidR="00AF7E35" w:rsidRDefault="002D6666" w:rsidP="000E1F77">
      <w:pPr>
        <w:rPr>
          <w:b/>
          <w:bCs/>
          <w:u w:val="single"/>
        </w:rPr>
      </w:pPr>
      <w:r>
        <w:rPr>
          <w:b/>
          <w:bCs/>
          <w:u w:val="single"/>
        </w:rPr>
        <w:t>The Game of Investing</w:t>
      </w:r>
    </w:p>
    <w:p w14:paraId="105602A7" w14:textId="6EB5DE76" w:rsidR="002D6666" w:rsidRDefault="002711A8" w:rsidP="000E1F77">
      <w:pPr>
        <w:rPr>
          <w:b/>
          <w:bCs/>
          <w:u w:val="single"/>
        </w:rPr>
      </w:pPr>
      <w:r>
        <w:rPr>
          <w:b/>
          <w:bCs/>
          <w:u w:val="single"/>
        </w:rPr>
        <w:t>Challenging Speculation in the Market Price</w:t>
      </w:r>
    </w:p>
    <w:p w14:paraId="52245658" w14:textId="5D1999FB" w:rsidR="002711A8" w:rsidRDefault="004D4B8B" w:rsidP="000E1F77">
      <w:pPr>
        <w:rPr>
          <w:b/>
          <w:bCs/>
          <w:u w:val="single"/>
        </w:rPr>
      </w:pPr>
      <w:r>
        <w:rPr>
          <w:b/>
          <w:bCs/>
          <w:u w:val="single"/>
        </w:rPr>
        <w:t>Benchmarking Growth</w:t>
      </w:r>
    </w:p>
    <w:p w14:paraId="3A35116B" w14:textId="7E8A8D84" w:rsidR="004D4B8B" w:rsidRPr="00E1623A" w:rsidRDefault="004D4B8B" w:rsidP="000E1F77">
      <w:pPr>
        <w:rPr>
          <w:b/>
          <w:bCs/>
          <w:i/>
          <w:iCs/>
          <w:u w:val="single"/>
        </w:rPr>
      </w:pPr>
      <w:r w:rsidRPr="00E1623A">
        <w:rPr>
          <w:b/>
          <w:bCs/>
          <w:i/>
          <w:iCs/>
          <w:u w:val="single"/>
        </w:rPr>
        <w:t>The No-Growth Benchmark</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5"/>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16"/>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17"/>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18"/>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19"/>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0"/>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1"/>
          <w:pgSz w:w="12240" w:h="15840"/>
          <w:pgMar w:top="1440" w:right="1440" w:bottom="1440" w:left="1440" w:header="720" w:footer="720" w:gutter="0"/>
          <w:cols w:space="720"/>
          <w:docGrid w:linePitch="360"/>
        </w:sectPr>
      </w:pPr>
    </w:p>
    <w:p w14:paraId="42640661" w14:textId="6D08D3B8" w:rsidR="00C608E6" w:rsidRPr="0028261C" w:rsidRDefault="00C608E6" w:rsidP="000E1F77">
      <w:pPr>
        <w:rPr>
          <w:b/>
          <w:bCs/>
          <w:u w:val="single"/>
        </w:rPr>
      </w:pPr>
    </w:p>
    <w:sectPr w:rsidR="00C608E6" w:rsidRPr="0028261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5509" w14:textId="77777777" w:rsidR="00853B75" w:rsidRDefault="00853B75" w:rsidP="00751025">
      <w:pPr>
        <w:spacing w:after="0" w:line="240" w:lineRule="auto"/>
      </w:pPr>
      <w:r>
        <w:separator/>
      </w:r>
    </w:p>
  </w:endnote>
  <w:endnote w:type="continuationSeparator" w:id="0">
    <w:p w14:paraId="4BD8CA60" w14:textId="77777777" w:rsidR="00853B75" w:rsidRDefault="00853B75" w:rsidP="00751025">
      <w:pPr>
        <w:spacing w:after="0" w:line="240" w:lineRule="auto"/>
      </w:pPr>
      <w:r>
        <w:continuationSeparator/>
      </w:r>
    </w:p>
  </w:endnote>
  <w:endnote w:type="continuationNotice" w:id="1">
    <w:p w14:paraId="4D67DA02" w14:textId="77777777" w:rsidR="00853B75" w:rsidRDefault="00853B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Content>
      <w:p w14:paraId="68934CB7" w14:textId="77777777" w:rsidR="005C4386" w:rsidRDefault="005C438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5C4386" w:rsidRDefault="005C4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C46B2" w14:textId="77777777" w:rsidR="00853B75" w:rsidRDefault="00853B75" w:rsidP="00751025">
      <w:pPr>
        <w:spacing w:after="0" w:line="240" w:lineRule="auto"/>
      </w:pPr>
      <w:r>
        <w:separator/>
      </w:r>
    </w:p>
  </w:footnote>
  <w:footnote w:type="continuationSeparator" w:id="0">
    <w:p w14:paraId="7D37E474" w14:textId="77777777" w:rsidR="00853B75" w:rsidRDefault="00853B75" w:rsidP="00751025">
      <w:pPr>
        <w:spacing w:after="0" w:line="240" w:lineRule="auto"/>
      </w:pPr>
      <w:r>
        <w:continuationSeparator/>
      </w:r>
    </w:p>
  </w:footnote>
  <w:footnote w:type="continuationNotice" w:id="1">
    <w:p w14:paraId="278C83A7" w14:textId="77777777" w:rsidR="00853B75" w:rsidRDefault="00853B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5C4386" w:rsidRDefault="005C4386"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5C4386" w:rsidRDefault="005C438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5C4386" w:rsidRDefault="005C4386"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5C4386" w:rsidRDefault="005C438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5C4386" w:rsidRDefault="005C4386"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5C4386" w:rsidRDefault="005C4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5C4386" w:rsidRDefault="005C4386"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5C4386" w:rsidRDefault="005C4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5C4386" w:rsidRDefault="005C4386"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5C4386" w:rsidRDefault="005C43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5C4386" w:rsidRDefault="005C4386"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5C4386" w:rsidRDefault="005C43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5C4386" w:rsidRDefault="005C4386"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5C4386" w:rsidRDefault="005C43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5C4386" w:rsidRDefault="005C4386"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5C4386" w:rsidRDefault="005C43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5C4386" w:rsidRDefault="005C4386"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5C4386" w:rsidRDefault="005C438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5C4386" w:rsidRDefault="005C4386"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5C4386" w:rsidRDefault="005C438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5C4386" w:rsidRDefault="005C4386"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5C4386" w:rsidRDefault="005C4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7C90"/>
    <w:rsid w:val="000803C6"/>
    <w:rsid w:val="000975C1"/>
    <w:rsid w:val="000A413C"/>
    <w:rsid w:val="000A4EF6"/>
    <w:rsid w:val="000A75E3"/>
    <w:rsid w:val="000B00CF"/>
    <w:rsid w:val="000B298F"/>
    <w:rsid w:val="000B55B0"/>
    <w:rsid w:val="000C5A8D"/>
    <w:rsid w:val="000E1EFF"/>
    <w:rsid w:val="000E1F77"/>
    <w:rsid w:val="000F18A8"/>
    <w:rsid w:val="000F1A0A"/>
    <w:rsid w:val="000F6551"/>
    <w:rsid w:val="0010122B"/>
    <w:rsid w:val="0010525F"/>
    <w:rsid w:val="00144517"/>
    <w:rsid w:val="00152FEB"/>
    <w:rsid w:val="001765E1"/>
    <w:rsid w:val="00180619"/>
    <w:rsid w:val="001928A0"/>
    <w:rsid w:val="001A080E"/>
    <w:rsid w:val="001B374A"/>
    <w:rsid w:val="001B4B75"/>
    <w:rsid w:val="001B699C"/>
    <w:rsid w:val="001C12B1"/>
    <w:rsid w:val="001D5627"/>
    <w:rsid w:val="001D5655"/>
    <w:rsid w:val="001E2259"/>
    <w:rsid w:val="001E6849"/>
    <w:rsid w:val="001F2B08"/>
    <w:rsid w:val="002031C1"/>
    <w:rsid w:val="00212B5F"/>
    <w:rsid w:val="00214B67"/>
    <w:rsid w:val="002218FC"/>
    <w:rsid w:val="00242359"/>
    <w:rsid w:val="00242FB3"/>
    <w:rsid w:val="0024387F"/>
    <w:rsid w:val="00244440"/>
    <w:rsid w:val="002454D8"/>
    <w:rsid w:val="0025257F"/>
    <w:rsid w:val="002711A8"/>
    <w:rsid w:val="002725CF"/>
    <w:rsid w:val="00273895"/>
    <w:rsid w:val="0027645A"/>
    <w:rsid w:val="0028261C"/>
    <w:rsid w:val="00282726"/>
    <w:rsid w:val="0028737D"/>
    <w:rsid w:val="002932ED"/>
    <w:rsid w:val="00296103"/>
    <w:rsid w:val="002A02BB"/>
    <w:rsid w:val="002B6ADE"/>
    <w:rsid w:val="002C11B1"/>
    <w:rsid w:val="002C56BA"/>
    <w:rsid w:val="002C6747"/>
    <w:rsid w:val="002D6666"/>
    <w:rsid w:val="002D7FB8"/>
    <w:rsid w:val="002E1875"/>
    <w:rsid w:val="002F0D89"/>
    <w:rsid w:val="002F7846"/>
    <w:rsid w:val="00305FA9"/>
    <w:rsid w:val="00311375"/>
    <w:rsid w:val="00331FDC"/>
    <w:rsid w:val="00344CE7"/>
    <w:rsid w:val="00353D63"/>
    <w:rsid w:val="00360200"/>
    <w:rsid w:val="003606B3"/>
    <w:rsid w:val="00365E79"/>
    <w:rsid w:val="00392A8D"/>
    <w:rsid w:val="003A46B0"/>
    <w:rsid w:val="003B5505"/>
    <w:rsid w:val="003E2B8A"/>
    <w:rsid w:val="003F3395"/>
    <w:rsid w:val="00402740"/>
    <w:rsid w:val="00404353"/>
    <w:rsid w:val="00426133"/>
    <w:rsid w:val="0042633F"/>
    <w:rsid w:val="00432639"/>
    <w:rsid w:val="0043415C"/>
    <w:rsid w:val="00434646"/>
    <w:rsid w:val="00434C5E"/>
    <w:rsid w:val="0043520D"/>
    <w:rsid w:val="00437B42"/>
    <w:rsid w:val="004518DE"/>
    <w:rsid w:val="0045431D"/>
    <w:rsid w:val="00463361"/>
    <w:rsid w:val="00470B3D"/>
    <w:rsid w:val="004720B1"/>
    <w:rsid w:val="00486378"/>
    <w:rsid w:val="0049325B"/>
    <w:rsid w:val="004B3403"/>
    <w:rsid w:val="004C1679"/>
    <w:rsid w:val="004D4B8B"/>
    <w:rsid w:val="004D5CA6"/>
    <w:rsid w:val="004E62CD"/>
    <w:rsid w:val="004F15B7"/>
    <w:rsid w:val="0051032C"/>
    <w:rsid w:val="00514CA3"/>
    <w:rsid w:val="00532B01"/>
    <w:rsid w:val="0053467D"/>
    <w:rsid w:val="005346B6"/>
    <w:rsid w:val="0055450C"/>
    <w:rsid w:val="00560D5F"/>
    <w:rsid w:val="00565AC8"/>
    <w:rsid w:val="00570859"/>
    <w:rsid w:val="00570AD5"/>
    <w:rsid w:val="005812F2"/>
    <w:rsid w:val="00583E6B"/>
    <w:rsid w:val="005905A6"/>
    <w:rsid w:val="0059197B"/>
    <w:rsid w:val="0059551C"/>
    <w:rsid w:val="005958B5"/>
    <w:rsid w:val="005A0E8C"/>
    <w:rsid w:val="005B19B1"/>
    <w:rsid w:val="005B75FC"/>
    <w:rsid w:val="005C4386"/>
    <w:rsid w:val="005D29E7"/>
    <w:rsid w:val="005D353D"/>
    <w:rsid w:val="005D754B"/>
    <w:rsid w:val="005E3004"/>
    <w:rsid w:val="005E34BC"/>
    <w:rsid w:val="00603606"/>
    <w:rsid w:val="00610070"/>
    <w:rsid w:val="006162CF"/>
    <w:rsid w:val="00626280"/>
    <w:rsid w:val="0063457E"/>
    <w:rsid w:val="0063584C"/>
    <w:rsid w:val="00641D24"/>
    <w:rsid w:val="006425FD"/>
    <w:rsid w:val="00652D91"/>
    <w:rsid w:val="00657BA4"/>
    <w:rsid w:val="0066291D"/>
    <w:rsid w:val="00672A15"/>
    <w:rsid w:val="00673AE9"/>
    <w:rsid w:val="0067687D"/>
    <w:rsid w:val="006812E7"/>
    <w:rsid w:val="00685FDE"/>
    <w:rsid w:val="006877CD"/>
    <w:rsid w:val="00693856"/>
    <w:rsid w:val="00694A7E"/>
    <w:rsid w:val="006B1BC5"/>
    <w:rsid w:val="006B2D8D"/>
    <w:rsid w:val="006C43F0"/>
    <w:rsid w:val="006F2FBF"/>
    <w:rsid w:val="00705557"/>
    <w:rsid w:val="007121C4"/>
    <w:rsid w:val="00721EE0"/>
    <w:rsid w:val="00723E0E"/>
    <w:rsid w:val="00726906"/>
    <w:rsid w:val="007331C6"/>
    <w:rsid w:val="00751025"/>
    <w:rsid w:val="00752392"/>
    <w:rsid w:val="00760EB5"/>
    <w:rsid w:val="00771A63"/>
    <w:rsid w:val="007761F1"/>
    <w:rsid w:val="00784B82"/>
    <w:rsid w:val="007924E2"/>
    <w:rsid w:val="007C0413"/>
    <w:rsid w:val="007C47FC"/>
    <w:rsid w:val="007C4DAE"/>
    <w:rsid w:val="007D27A0"/>
    <w:rsid w:val="007F0A36"/>
    <w:rsid w:val="007F488A"/>
    <w:rsid w:val="007F7963"/>
    <w:rsid w:val="007F7CEF"/>
    <w:rsid w:val="00802A2E"/>
    <w:rsid w:val="00815C09"/>
    <w:rsid w:val="00841E19"/>
    <w:rsid w:val="0085181D"/>
    <w:rsid w:val="00853B75"/>
    <w:rsid w:val="00861E10"/>
    <w:rsid w:val="008672ED"/>
    <w:rsid w:val="00885102"/>
    <w:rsid w:val="008A48E5"/>
    <w:rsid w:val="008A4952"/>
    <w:rsid w:val="008D521E"/>
    <w:rsid w:val="008D61E3"/>
    <w:rsid w:val="008E30A5"/>
    <w:rsid w:val="008F617C"/>
    <w:rsid w:val="008F6D62"/>
    <w:rsid w:val="00905EC1"/>
    <w:rsid w:val="0091688D"/>
    <w:rsid w:val="009233A8"/>
    <w:rsid w:val="00937F5E"/>
    <w:rsid w:val="009404CF"/>
    <w:rsid w:val="009468DD"/>
    <w:rsid w:val="009878A9"/>
    <w:rsid w:val="009943D1"/>
    <w:rsid w:val="009A5F6A"/>
    <w:rsid w:val="009B106A"/>
    <w:rsid w:val="009B1503"/>
    <w:rsid w:val="009C4306"/>
    <w:rsid w:val="009D07FF"/>
    <w:rsid w:val="009D0ADB"/>
    <w:rsid w:val="009D115E"/>
    <w:rsid w:val="009D3946"/>
    <w:rsid w:val="009E679B"/>
    <w:rsid w:val="009F78D0"/>
    <w:rsid w:val="00A11488"/>
    <w:rsid w:val="00A14036"/>
    <w:rsid w:val="00A204E0"/>
    <w:rsid w:val="00A24EB9"/>
    <w:rsid w:val="00A57EB5"/>
    <w:rsid w:val="00A60078"/>
    <w:rsid w:val="00A65EB5"/>
    <w:rsid w:val="00A7503E"/>
    <w:rsid w:val="00A778C9"/>
    <w:rsid w:val="00A83C48"/>
    <w:rsid w:val="00A93E03"/>
    <w:rsid w:val="00A96995"/>
    <w:rsid w:val="00AA2EFB"/>
    <w:rsid w:val="00AA3C6F"/>
    <w:rsid w:val="00AB348D"/>
    <w:rsid w:val="00AC5CF6"/>
    <w:rsid w:val="00AD2659"/>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553A1"/>
    <w:rsid w:val="00B553AC"/>
    <w:rsid w:val="00B60111"/>
    <w:rsid w:val="00B60188"/>
    <w:rsid w:val="00B631D1"/>
    <w:rsid w:val="00B76E49"/>
    <w:rsid w:val="00B83D2F"/>
    <w:rsid w:val="00B8518D"/>
    <w:rsid w:val="00B9677B"/>
    <w:rsid w:val="00B97B8F"/>
    <w:rsid w:val="00BA0800"/>
    <w:rsid w:val="00BA3EDE"/>
    <w:rsid w:val="00BA57C4"/>
    <w:rsid w:val="00BB051F"/>
    <w:rsid w:val="00BB17AD"/>
    <w:rsid w:val="00BB5F49"/>
    <w:rsid w:val="00BC1973"/>
    <w:rsid w:val="00BD246B"/>
    <w:rsid w:val="00BD273F"/>
    <w:rsid w:val="00BE581B"/>
    <w:rsid w:val="00BF68AE"/>
    <w:rsid w:val="00BF6C39"/>
    <w:rsid w:val="00C00ADC"/>
    <w:rsid w:val="00C041BB"/>
    <w:rsid w:val="00C1152C"/>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F751F"/>
    <w:rsid w:val="00D03A03"/>
    <w:rsid w:val="00D24E6A"/>
    <w:rsid w:val="00D42237"/>
    <w:rsid w:val="00D505C8"/>
    <w:rsid w:val="00D55444"/>
    <w:rsid w:val="00D71CB5"/>
    <w:rsid w:val="00D743CF"/>
    <w:rsid w:val="00D77B6E"/>
    <w:rsid w:val="00D77E0E"/>
    <w:rsid w:val="00D8792C"/>
    <w:rsid w:val="00D9539B"/>
    <w:rsid w:val="00D95FDA"/>
    <w:rsid w:val="00D96E1B"/>
    <w:rsid w:val="00DA7639"/>
    <w:rsid w:val="00DB385B"/>
    <w:rsid w:val="00DD6F89"/>
    <w:rsid w:val="00DE2F0C"/>
    <w:rsid w:val="00DF48EC"/>
    <w:rsid w:val="00E0183F"/>
    <w:rsid w:val="00E10616"/>
    <w:rsid w:val="00E1623A"/>
    <w:rsid w:val="00E32736"/>
    <w:rsid w:val="00E36484"/>
    <w:rsid w:val="00E41389"/>
    <w:rsid w:val="00E413FE"/>
    <w:rsid w:val="00E426B1"/>
    <w:rsid w:val="00E56AD8"/>
    <w:rsid w:val="00E56EF5"/>
    <w:rsid w:val="00E576E3"/>
    <w:rsid w:val="00E61214"/>
    <w:rsid w:val="00E713AD"/>
    <w:rsid w:val="00E717A0"/>
    <w:rsid w:val="00E745FD"/>
    <w:rsid w:val="00E96D83"/>
    <w:rsid w:val="00EA065F"/>
    <w:rsid w:val="00EA44A3"/>
    <w:rsid w:val="00EA4BA4"/>
    <w:rsid w:val="00EB0462"/>
    <w:rsid w:val="00EB2649"/>
    <w:rsid w:val="00ED1575"/>
    <w:rsid w:val="00EE6C9D"/>
    <w:rsid w:val="00EE7CD4"/>
    <w:rsid w:val="00EF20A2"/>
    <w:rsid w:val="00F04A17"/>
    <w:rsid w:val="00F10AC9"/>
    <w:rsid w:val="00F113C3"/>
    <w:rsid w:val="00F219A2"/>
    <w:rsid w:val="00F225B8"/>
    <w:rsid w:val="00F24214"/>
    <w:rsid w:val="00F35224"/>
    <w:rsid w:val="00F63452"/>
    <w:rsid w:val="00F66E41"/>
    <w:rsid w:val="00F67861"/>
    <w:rsid w:val="00F74992"/>
    <w:rsid w:val="00F76D77"/>
    <w:rsid w:val="00F77C91"/>
    <w:rsid w:val="00F8098A"/>
    <w:rsid w:val="00F8390B"/>
    <w:rsid w:val="00F84622"/>
    <w:rsid w:val="00F878F2"/>
    <w:rsid w:val="00F92B10"/>
    <w:rsid w:val="00F97B76"/>
    <w:rsid w:val="00FB4034"/>
    <w:rsid w:val="00FB7E0F"/>
    <w:rsid w:val="00FC153A"/>
    <w:rsid w:val="00FC5E22"/>
    <w:rsid w:val="00FC7446"/>
    <w:rsid w:val="00FC79AE"/>
    <w:rsid w:val="00FF06FC"/>
    <w:rsid w:val="00FF24F4"/>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3722</TotalTime>
  <Pages>17</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291</cp:revision>
  <dcterms:created xsi:type="dcterms:W3CDTF">2020-03-07T05:33:00Z</dcterms:created>
  <dcterms:modified xsi:type="dcterms:W3CDTF">2020-03-20T03:53:00Z</dcterms:modified>
</cp:coreProperties>
</file>