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 xml:space="preserve">is </w:t>
      </w:r>
      <w:proofErr w:type="gramStart"/>
      <w:r w:rsidR="00895178">
        <w:t>similar</w:t>
      </w:r>
      <w:r w:rsidR="009E679B">
        <w:t xml:space="preserve"> to</w:t>
      </w:r>
      <w:proofErr w:type="gramEnd"/>
      <w:r w:rsidR="009E679B">
        <w:t xml:space="preserve">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1E6E83"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1E6E83"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1E6E83"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1E6E83"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1E6E83"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s negative, then the terminal value has to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w:t>
      </w:r>
      <w:proofErr w:type="gramStart"/>
      <w:r w:rsidR="006D240D">
        <w:t>and also</w:t>
      </w:r>
      <w:proofErr w:type="gramEnd"/>
      <w:r w:rsidR="006D240D">
        <w:t xml:space="preserve">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proofErr w:type="gramStart"/>
      <w:r w:rsidR="002725CF">
        <w:rPr>
          <w:rFonts w:eastAsiaTheme="minorEastAsia"/>
          <w:iCs/>
        </w:rPr>
        <w:t>This is why</w:t>
      </w:r>
      <w:proofErr w:type="gramEnd"/>
      <w:r w:rsidR="002725CF">
        <w:rPr>
          <w:rFonts w:eastAsiaTheme="minorEastAsia"/>
          <w:iCs/>
        </w:rPr>
        <w:t xml:space="preserve">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1E6E83"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1E6E83"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1E6E83"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1E6E83"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1E6E83"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2.</w:t>
      </w:r>
      <w:r w:rsidR="002A235E">
        <w:t>7a</w:t>
      </w:r>
      <w:r>
        <w:t xml:space="preserve"> below:</w:t>
      </w:r>
    </w:p>
    <w:p w14:paraId="501FC976" w14:textId="02758C36" w:rsidR="00244440" w:rsidRPr="00244440" w:rsidRDefault="001E6E83"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proofErr w:type="gramStart"/>
      <w:r w:rsidR="002A235E">
        <w:t>is</w:t>
      </w:r>
      <w:proofErr w:type="gramEnd"/>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The equity valuation shown in Equation 2.</w:t>
      </w:r>
      <w:r w:rsidR="003570DC">
        <w:t>7a</w:t>
      </w:r>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2.</w:t>
      </w:r>
      <w:r w:rsidR="003570DC">
        <w:t>7a</w:t>
      </w:r>
      <w:r>
        <w:t xml:space="preserve"> to an equity valuation focused on P/E instead.</w:t>
      </w:r>
    </w:p>
    <w:p w14:paraId="5A44B711" w14:textId="192FE2F7" w:rsidR="003570DC" w:rsidRPr="003570DC" w:rsidRDefault="001E6E83"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1E6E83"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3D789CD" w:rsidR="00996A15" w:rsidRDefault="00996A15" w:rsidP="00257517">
      <w:pPr>
        <w:jc w:val="both"/>
        <w:rPr>
          <w:rFonts w:eastAsiaTheme="minorEastAsia"/>
          <w:sz w:val="20"/>
          <w:szCs w:val="20"/>
        </w:rPr>
      </w:pPr>
      <w:r>
        <w:rPr>
          <w:rFonts w:eastAsiaTheme="minorEastAsia"/>
          <w:sz w:val="20"/>
          <w:szCs w:val="20"/>
        </w:rPr>
        <w:t xml:space="preserve">Change in </w:t>
      </w:r>
      <w:r w:rsidR="003570DC">
        <w:rPr>
          <w:rFonts w:eastAsiaTheme="minorEastAsia"/>
          <w:sz w:val="20"/>
          <w:szCs w:val="20"/>
        </w:rPr>
        <w:t>abnormal</w:t>
      </w:r>
      <w:r>
        <w:rPr>
          <w:rFonts w:eastAsiaTheme="minorEastAsia"/>
          <w:sz w:val="20"/>
          <w:szCs w:val="20"/>
        </w:rPr>
        <w:t xml:space="preserve"> earnings is equivalent to abnormal earnings growth (AEG), which is earnings growth over and abo</w:t>
      </w:r>
      <w:r w:rsidR="00E62018">
        <w:rPr>
          <w:rFonts w:eastAsiaTheme="minorEastAsia"/>
          <w:sz w:val="20"/>
          <w:szCs w:val="20"/>
        </w:rPr>
        <w:t>ve</w:t>
      </w:r>
      <w:r>
        <w:rPr>
          <w:rFonts w:eastAsiaTheme="minorEastAsia"/>
          <w:sz w:val="20"/>
          <w:szCs w:val="20"/>
        </w:rPr>
        <w:t xml:space="preserve"> growth at the </w:t>
      </w:r>
      <w:r w:rsidR="003570DC">
        <w:rPr>
          <w:rFonts w:eastAsiaTheme="minorEastAsia"/>
          <w:sz w:val="20"/>
          <w:szCs w:val="20"/>
        </w:rPr>
        <w:t>hurdle</w:t>
      </w:r>
      <w:r>
        <w:rPr>
          <w:rFonts w:eastAsiaTheme="minorEastAsia"/>
          <w:sz w:val="20"/>
          <w:szCs w:val="20"/>
        </w:rPr>
        <w:t>.</w:t>
      </w:r>
    </w:p>
    <w:p w14:paraId="2D886413" w14:textId="0068D43C" w:rsidR="00E62018" w:rsidRPr="00F16CC1" w:rsidRDefault="001E6E83"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DF14605" w:rsidR="00F16CC1" w:rsidRPr="00F16CC1" w:rsidRDefault="001E6E83"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4F727BE1" w:rsidR="00E62018" w:rsidRDefault="00145EBB" w:rsidP="00257517">
      <w:pPr>
        <w:jc w:val="both"/>
      </w:pPr>
      <w:r>
        <w:t xml:space="preserve">AEG compares the current year’s earnings with the previous year’s earnings growing at the </w:t>
      </w:r>
      <w:r w:rsidR="006D4026">
        <w:t>hurdle rate</w:t>
      </w:r>
      <w:r>
        <w:t xml:space="preserve">. </w:t>
      </w:r>
      <w:r w:rsidR="00E53AC0">
        <w:t>E</w:t>
      </w:r>
      <w:r>
        <w:t xml:space="preserve">arnings growth </w:t>
      </w:r>
      <w:r w:rsidR="00E53AC0">
        <w:t xml:space="preserve">that exceeds the </w:t>
      </w:r>
      <w:r w:rsidR="006D4026">
        <w:t>hurdle</w:t>
      </w:r>
      <w:r w:rsidR="00E53AC0">
        <w:t xml:space="preserve"> generates </w:t>
      </w:r>
      <w:proofErr w:type="gramStart"/>
      <w:r w:rsidR="00E53AC0">
        <w:t>positive growth</w:t>
      </w:r>
      <w:proofErr w:type="gramEnd"/>
      <w:r w:rsidR="00E53AC0">
        <w:t xml:space="preserve"> in abnormal earnings. However</w:t>
      </w:r>
      <w:r w:rsidR="00591D82">
        <w:t>, we must be sensitive to the dividend payout rate when testing earnings growth relative to the hurdle.</w:t>
      </w:r>
      <w:r w:rsidR="00F16CC1">
        <w:t xml:space="preserve"> Let’s start by setting AEG to zero in Equation 2.11:</w:t>
      </w:r>
    </w:p>
    <w:p w14:paraId="17E5224F" w14:textId="10AE4FFC" w:rsidR="00F16CC1" w:rsidRPr="00F16CC1" w:rsidRDefault="001E6E83"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1E6E83"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1E6E83"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1E6E83"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1E6E83"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96A0845" w:rsidR="00F16CC1" w:rsidRDefault="00494949" w:rsidP="00257517">
      <w:pPr>
        <w:jc w:val="both"/>
        <w:rPr>
          <w:rFonts w:eastAsiaTheme="minorEastAsia"/>
        </w:rPr>
      </w:pPr>
      <w:r>
        <w:rPr>
          <w:rFonts w:eastAsiaTheme="minorEastAsia"/>
          <w:sz w:val="20"/>
          <w:szCs w:val="20"/>
        </w:rPr>
        <w:t xml:space="preserve">Equation 2.9a is a simple rewrite of Equation 2.9. This valuation allows for growth in the short 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1E6E83"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1AA9BF12"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1E6E83"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5AC97912"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the standard model does not work. This is because one does not but earnings growth, one buys abnormal earnings growth (AEG) – beware of paying too much for growth and </w:t>
      </w:r>
      <w:proofErr w:type="gramStart"/>
      <w:r w:rsidR="005F64EF">
        <w:rPr>
          <w:rFonts w:eastAsiaTheme="minorEastAsia"/>
          <w:sz w:val="20"/>
          <w:szCs w:val="20"/>
        </w:rPr>
        <w:t>definitely do</w:t>
      </w:r>
      <w:proofErr w:type="gramEnd"/>
      <w:r w:rsidR="005F64EF">
        <w:rPr>
          <w:rFonts w:eastAsiaTheme="minorEastAsia"/>
          <w:sz w:val="20"/>
          <w:szCs w:val="20"/>
        </w:rPr>
        <w:t xml:space="preserve"> not pay at all for an earnings growth rate that is less than the required rate-of-return.</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5EE97979"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2.6c,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0426C3D4" w:rsidR="00602F0E" w:rsidRPr="005F64EF" w:rsidRDefault="00602F0E" w:rsidP="00D02628">
      <w:pPr>
        <w:jc w:val="both"/>
      </w:pPr>
      <w:r>
        <w:t xml:space="preserve">At this point the accounting for value is incomplete – what is the framework for adding value from speculative growth; how do we go about choosing a required rate-of-return; what type of accounting is needed? If we desire accounting numbers to inform us about value, then these numbers must connect to the firm’s business activities that generate value. FCF does a poor job of making this connection. On the other hand, residual earnings valuation does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5"/>
          <w:footerReference w:type="default" r:id="rId16"/>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2672386" w:rsidR="001641EA" w:rsidRPr="001641EA" w:rsidRDefault="001641EA" w:rsidP="001641EA">
      <w:pPr>
        <w:jc w:val="both"/>
      </w:pPr>
      <w:r>
        <w:t>One can think of valuation as a matter of accounting. However, accounting for value is typically incomplete. Good accounting minimizes speculation so that one can deploy the accounting to challenge speculation in the market price.</w:t>
      </w:r>
    </w:p>
    <w:p w14:paraId="4E1FC13B" w14:textId="49CA902A" w:rsidR="00AF7E35" w:rsidRDefault="002D6666" w:rsidP="000E1F77">
      <w:pPr>
        <w:rPr>
          <w:b/>
          <w:bCs/>
          <w:u w:val="single"/>
        </w:rPr>
      </w:pPr>
      <w:r>
        <w:rPr>
          <w:b/>
          <w:bCs/>
          <w:u w:val="single"/>
        </w:rPr>
        <w:t>The Game of Investing</w:t>
      </w:r>
    </w:p>
    <w:p w14:paraId="7B0975D8" w14:textId="3AB671E2" w:rsidR="001641EA" w:rsidRDefault="001641EA" w:rsidP="001641EA">
      <w:pPr>
        <w:jc w:val="both"/>
      </w:pPr>
      <w:r>
        <w:t>Discard the idea of “intrinsic value”.  Intrinsic value is an elusive concept and as such it is a great mistake to imagine that intrinsic value is as definite and as determinable as is the market price. A valuation model should not be employed as a method for determining a value but rather as a way of understanding uncertainty about value.</w:t>
      </w:r>
    </w:p>
    <w:p w14:paraId="043BADA4" w14:textId="30255846" w:rsidR="006C2922" w:rsidRDefault="006C2922" w:rsidP="001641EA">
      <w:pPr>
        <w:jc w:val="both"/>
      </w:pPr>
      <w:r>
        <w:t xml:space="preserve">Accounting identifies where our uncertainty lies – </w:t>
      </w:r>
      <w:proofErr w:type="gramStart"/>
      <w:r>
        <w:t>provided that</w:t>
      </w:r>
      <w:proofErr w:type="gramEnd"/>
      <w:r>
        <w:t xml:space="preserve">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3AF6F265"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task isn’t to derive the “right” value but rather to draw insights aimed at understanding the perceptions of other investors embedded in the market price so that those perceptions can be challenged. This assessment of other investors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325A2043" w:rsidR="00BA2065" w:rsidRPr="00BA2065" w:rsidRDefault="00BA2065" w:rsidP="00BA2065">
      <w:pPr>
        <w:jc w:val="both"/>
      </w:pPr>
      <w:r>
        <w:t xml:space="preserve">For the discussion in </w:t>
      </w:r>
      <w:proofErr w:type="gramStart"/>
      <w:r>
        <w:t>this section two questions</w:t>
      </w:r>
      <w:proofErr w:type="gramEnd"/>
      <w:r>
        <w:t xml:space="preserve"> are going to be ignored – 1) whether U.S. GAAP earnings is the appropriate accounting basis and 2) whether sell-side analysts’ forecasts provide a sound anchor. Analysts can be moved by speculation, offering optimistic forecasts in bull markets and pessimistic forecasts in bear markets.</w:t>
      </w:r>
    </w:p>
    <w:p w14:paraId="52245658" w14:textId="4339A3FF"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7"/>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8"/>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9"/>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0"/>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1"/>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2"/>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3"/>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4"/>
          <w:pgSz w:w="12240" w:h="15840"/>
          <w:pgMar w:top="1440" w:right="1440" w:bottom="1440" w:left="1440" w:header="720" w:footer="720" w:gutter="0"/>
          <w:cols w:space="720"/>
          <w:docGrid w:linePitch="360"/>
        </w:sectPr>
      </w:pPr>
    </w:p>
    <w:p w14:paraId="303E8334" w14:textId="64DE4E08" w:rsidR="00876136" w:rsidRPr="00344CE7" w:rsidRDefault="001E6E83"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 xml:space="preserve">0,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53B2042E"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4001D452" w:rsidR="00FF6A8C" w:rsidRPr="00FF6A8C" w:rsidRDefault="001E6E83"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76201880" w14:textId="77777777" w:rsidR="00D66CD7" w:rsidRPr="00D66CD7" w:rsidRDefault="00D66CD7" w:rsidP="00876136">
      <w:pPr>
        <w:jc w:val="both"/>
        <w:rPr>
          <w:rFonts w:eastAsiaTheme="minorEastAsia"/>
          <w:b/>
          <w:sz w:val="20"/>
          <w:szCs w:val="20"/>
        </w:rPr>
      </w:pPr>
    </w:p>
    <w:p w14:paraId="55B20C43" w14:textId="6EEBF6F1" w:rsidR="00876136" w:rsidRPr="00D66CD7"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 xml:space="preserve">Equation A.2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1B42AA6E" w14:textId="0EED28EE" w:rsidR="00D66CD7" w:rsidRDefault="00D66CD7" w:rsidP="00D66CD7">
      <w:pPr>
        <w:jc w:val="both"/>
      </w:pPr>
      <w:r>
        <w:t>AE</w:t>
      </w:r>
      <w:r>
        <w:tab/>
      </w:r>
      <w:r>
        <w:t>abnormal earnings (a.k.a. residual earnings)</w:t>
      </w:r>
    </w:p>
    <w:p w14:paraId="67910D15" w14:textId="595F6254" w:rsidR="00D66CD7" w:rsidRDefault="00D66CD7" w:rsidP="00D66CD7">
      <w:pPr>
        <w:jc w:val="both"/>
      </w:pPr>
      <w:r>
        <w:t>E</w:t>
      </w:r>
      <w:r>
        <w:tab/>
      </w:r>
      <w:r>
        <w:t>earnings</w:t>
      </w:r>
    </w:p>
    <w:p w14:paraId="08513179" w14:textId="2215C1F0" w:rsidR="00876136" w:rsidRPr="00BF6C39" w:rsidRDefault="001E6E83"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w:rPr>
                  <w:rFonts w:ascii="Cambria Math" w:eastAsiaTheme="minorEastAsia" w:hAnsi="Cambria Math"/>
                  <w:sz w:val="20"/>
                  <w:szCs w:val="20"/>
                </w:rPr>
                <m:t>,</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B182E47" w14:textId="270FF4F6" w:rsidR="00876136" w:rsidRPr="00B83D2F" w:rsidRDefault="001E6E83"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w:rPr>
                  <w:rFonts w:ascii="Cambria Math" w:eastAsiaTheme="minorEastAsia" w:hAnsi="Cambria Math"/>
                  <w:sz w:val="20"/>
                  <w:szCs w:val="20"/>
                </w:rPr>
                <m:t>,</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9153AFE" w14:textId="40A35151" w:rsidR="00876136" w:rsidRPr="00244440"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3</m:t>
              </m:r>
              <w:bookmarkStart w:id="1" w:name="_GoBack"/>
              <w:bookmarkEnd w:id="1"/>
              <m:r>
                <m:rPr>
                  <m:sty m:val="b"/>
                </m:rPr>
                <w:rPr>
                  <w:rFonts w:ascii="Cambria Math" w:eastAsiaTheme="minorEastAsia" w:hAnsi="Cambria Math"/>
                  <w:sz w:val="20"/>
                  <w:szCs w:val="20"/>
                </w:rPr>
                <m:t>a</m:t>
              </m:r>
              <m:r>
                <m:rPr>
                  <m:sty m:val="b"/>
                </m:rPr>
                <w:rPr>
                  <w:rFonts w:ascii="Cambria Math" w:eastAsiaTheme="minorEastAsia" w:hAnsi="Cambria Math"/>
                  <w:sz w:val="20"/>
                  <w:szCs w:val="20"/>
                </w:rPr>
                <m:t xml:space="preserve">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640661" w14:textId="67059725" w:rsidR="00C608E6" w:rsidRDefault="00876136" w:rsidP="00876136">
      <w:pPr>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Pr>
          <w:rFonts w:eastAsiaTheme="minorEastAsia"/>
          <w:i/>
        </w:rPr>
        <w:t>beware</w:t>
      </w:r>
      <w:r w:rsidRPr="00244440">
        <w:rPr>
          <w:rFonts w:eastAsiaTheme="minorEastAsia"/>
          <w:i/>
        </w:rPr>
        <w:t xml:space="preserve"> of paying too much for growth</w:t>
      </w:r>
      <w:r>
        <w:rPr>
          <w:rFonts w:eastAsiaTheme="minorEastAsia"/>
          <w:iCs/>
        </w:rPr>
        <w:t>. In</w:t>
      </w:r>
    </w:p>
    <w:p w14:paraId="5C84460C" w14:textId="598031DE" w:rsidR="00876136" w:rsidRDefault="00876136" w:rsidP="00876136">
      <w:pPr>
        <w:rPr>
          <w:rFonts w:eastAsiaTheme="minorEastAsia"/>
          <w:iCs/>
        </w:rPr>
      </w:pPr>
    </w:p>
    <w:p w14:paraId="5046DC9E" w14:textId="77777777" w:rsidR="00876136" w:rsidRDefault="00876136" w:rsidP="00876136">
      <w:pPr>
        <w:jc w:val="both"/>
      </w:pPr>
      <w:r>
        <w:t>The equity valuation shown in Equation 2.7a focuses on book value and thus is centered on the P/B ratio. However, analysts usually think in terms of P/E multiples, earnings, and earnings growth rather than book value and abnormal earnings. Let’s transform Equation 2.7a to an equity valuation focused on P/E instead.</w:t>
      </w:r>
    </w:p>
    <w:p w14:paraId="498A88E4" w14:textId="77777777" w:rsidR="00876136" w:rsidRPr="003570DC" w:rsidRDefault="001E6E83" w:rsidP="0087613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62B27774" w14:textId="77777777" w:rsidR="00876136" w:rsidRPr="00996A15"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739D9B2B" w14:textId="77777777" w:rsidR="00876136" w:rsidRDefault="00876136" w:rsidP="00876136">
      <w:pPr>
        <w:jc w:val="both"/>
        <w:rPr>
          <w:rFonts w:eastAsiaTheme="minorEastAsia"/>
          <w:sz w:val="20"/>
          <w:szCs w:val="20"/>
        </w:rPr>
      </w:pPr>
      <w:r>
        <w:rPr>
          <w:rFonts w:eastAsiaTheme="minorEastAsia"/>
          <w:sz w:val="20"/>
          <w:szCs w:val="20"/>
        </w:rPr>
        <w:t>Change in abnormal earnings is equivalent to abnormal earnings growth (AEG), which is earnings growth over and above growth at the hurdle.</w:t>
      </w:r>
    </w:p>
    <w:p w14:paraId="0056AE65" w14:textId="77777777" w:rsidR="00876136" w:rsidRPr="00F16CC1"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186D1037" w14:textId="77777777" w:rsidR="00876136" w:rsidRPr="00F16CC1"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B13D850" w14:textId="77777777" w:rsidR="00876136" w:rsidRDefault="00876136" w:rsidP="00876136">
      <w:pPr>
        <w:jc w:val="both"/>
      </w:pPr>
      <w:r>
        <w:lastRenderedPageBreak/>
        <w:t xml:space="preserve">AEG compares the current year’s earnings with the previous year’s earnings growing at the hurdle rate. Earnings growth that exceeds the hurdle generates </w:t>
      </w:r>
      <w:proofErr w:type="gramStart"/>
      <w:r>
        <w:t>positive growth</w:t>
      </w:r>
      <w:proofErr w:type="gramEnd"/>
      <w:r>
        <w:t xml:space="preserve"> in abnormal earnings. However, we must be sensitive to the dividend payout rate when testing earnings growth relative to the hurdle. Let’s start by setting AEG to zero in Equation 2.11:</w:t>
      </w:r>
    </w:p>
    <w:p w14:paraId="335E3E1A" w14:textId="77777777" w:rsidR="00876136" w:rsidRPr="00F16CC1" w:rsidRDefault="001E6E83" w:rsidP="00876136">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41812A9C" w14:textId="77777777" w:rsidR="00876136" w:rsidRPr="00F16CC1" w:rsidRDefault="001E6E83" w:rsidP="00876136">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134C813C" w14:textId="77777777" w:rsidR="00876136" w:rsidRPr="00F16CC1" w:rsidRDefault="001E6E83" w:rsidP="00876136">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7906971C" w14:textId="77777777" w:rsidR="00876136" w:rsidRPr="00D20980" w:rsidRDefault="001E6E83" w:rsidP="00876136">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0CE015D8" w14:textId="77777777" w:rsidR="00876136" w:rsidRPr="00F16CC1"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0BB2BEF0" w14:textId="77777777" w:rsidR="00876136" w:rsidRDefault="00876136" w:rsidP="00876136">
      <w:pPr>
        <w:jc w:val="both"/>
        <w:rPr>
          <w:rFonts w:eastAsiaTheme="minorEastAsia"/>
          <w:sz w:val="20"/>
          <w:szCs w:val="20"/>
        </w:rPr>
      </w:pPr>
      <w:r>
        <w:rPr>
          <w:rFonts w:eastAsiaTheme="minorEastAsia"/>
          <w:sz w:val="20"/>
          <w:szCs w:val="20"/>
        </w:rPr>
        <w:t>Equation 2.12 connects earnings growth to the hurdle and dividend payout rate. Earnings growth that exceeds the hurdle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6353AAE4" w14:textId="77777777" w:rsidR="00876136" w:rsidRPr="00996A15"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BCFE564" w14:textId="77777777" w:rsidR="00876136" w:rsidRDefault="00876136" w:rsidP="00876136">
      <w:pPr>
        <w:jc w:val="both"/>
        <w:rPr>
          <w:rFonts w:eastAsiaTheme="minorEastAsia"/>
        </w:rPr>
      </w:pPr>
      <w:r>
        <w:rPr>
          <w:rFonts w:eastAsiaTheme="minorEastAsia"/>
          <w:sz w:val="20"/>
          <w:szCs w:val="20"/>
        </w:rPr>
        <w:t xml:space="preserve">Equation 2.9a is a simple rewrite of Equation 2.9. This valuation allows for growth in the short term – that is the terms in the square bracket – but does not acknowledge growth in the long term. </w:t>
      </w:r>
      <w:r>
        <w:rPr>
          <w:rFonts w:eastAsiaTheme="minorEastAsia"/>
        </w:rPr>
        <w:t>Let’s recast the value of equity with an accounting for dividends as shown in Equation 2.13 below:</w:t>
      </w:r>
    </w:p>
    <w:p w14:paraId="119FEAC6" w14:textId="77777777" w:rsidR="00876136" w:rsidRPr="00C14FD3"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3EFE5F4F" w14:textId="77777777" w:rsidR="00876136" w:rsidRDefault="00876136" w:rsidP="00876136">
      <w:pPr>
        <w:jc w:val="both"/>
        <w:rPr>
          <w:rFonts w:eastAsiaTheme="minorEastAsia"/>
          <w:sz w:val="20"/>
          <w:szCs w:val="20"/>
        </w:rPr>
      </w:pPr>
    </w:p>
    <w:p w14:paraId="3F9B2813" w14:textId="77777777" w:rsidR="00876136" w:rsidRDefault="00876136" w:rsidP="00876136">
      <w:pPr>
        <w:jc w:val="both"/>
        <w:rPr>
          <w:rFonts w:eastAsiaTheme="minorEastAsia"/>
        </w:rPr>
      </w:pPr>
      <w:r>
        <w:rPr>
          <w:rFonts w:eastAsiaTheme="minorEastAsia"/>
        </w:rPr>
        <w:t>Equation 2.14 below shows the standard model for the P/E ratio:</w:t>
      </w:r>
    </w:p>
    <w:p w14:paraId="3E5D3A98" w14:textId="77777777" w:rsidR="00876136" w:rsidRPr="00440A81" w:rsidRDefault="001E6E83"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260606FD" w14:textId="199D9CF5" w:rsidR="00876136" w:rsidRPr="0028261C" w:rsidRDefault="00876136" w:rsidP="00876136">
      <w:pPr>
        <w:rPr>
          <w:b/>
          <w:bCs/>
          <w:u w:val="single"/>
        </w:rPr>
      </w:pPr>
      <w:r>
        <w:rPr>
          <w:rFonts w:eastAsiaTheme="minorEastAsia"/>
          <w:sz w:val="20"/>
          <w:szCs w:val="20"/>
        </w:rPr>
        <w:t xml:space="preserve">In this standard model the growth rate, g, is interpreted as the earnings growth rate. But this interpretation is problematic because earnings growth is usually near or exceeds the required rate-of-return. In this situation the standard model does not work. This is because one does not but earnings growth, one buys abnormal earnings growth (AEG) – beware of paying too much for growth and </w:t>
      </w:r>
      <w:proofErr w:type="gramStart"/>
      <w:r>
        <w:rPr>
          <w:rFonts w:eastAsiaTheme="minorEastAsia"/>
          <w:sz w:val="20"/>
          <w:szCs w:val="20"/>
        </w:rPr>
        <w:t>definitely do</w:t>
      </w:r>
      <w:proofErr w:type="gramEnd"/>
      <w:r>
        <w:rPr>
          <w:rFonts w:eastAsiaTheme="minorEastAsia"/>
          <w:sz w:val="20"/>
          <w:szCs w:val="20"/>
        </w:rPr>
        <w:t xml:space="preserve"> not pay at all for an earnings growth rate</w:t>
      </w:r>
    </w:p>
    <w:sectPr w:rsidR="00876136" w:rsidRPr="0028261C" w:rsidSect="00876136">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EEDDD" w14:textId="77777777" w:rsidR="001E6E83" w:rsidRDefault="001E6E83" w:rsidP="00751025">
      <w:pPr>
        <w:spacing w:after="0" w:line="240" w:lineRule="auto"/>
      </w:pPr>
      <w:r>
        <w:separator/>
      </w:r>
    </w:p>
  </w:endnote>
  <w:endnote w:type="continuationSeparator" w:id="0">
    <w:p w14:paraId="2995CE8D" w14:textId="77777777" w:rsidR="001E6E83" w:rsidRDefault="001E6E83" w:rsidP="00751025">
      <w:pPr>
        <w:spacing w:after="0" w:line="240" w:lineRule="auto"/>
      </w:pPr>
      <w:r>
        <w:continuationSeparator/>
      </w:r>
    </w:p>
  </w:endnote>
  <w:endnote w:type="continuationNotice" w:id="1">
    <w:p w14:paraId="6FAF4EE7" w14:textId="77777777" w:rsidR="001E6E83" w:rsidRDefault="001E6E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EndPr/>
    <w:sdtContent>
      <w:p w14:paraId="68934CB7"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FF6A8C" w:rsidRDefault="00FF6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05826"/>
      <w:docPartObj>
        <w:docPartGallery w:val="Page Numbers (Bottom of Page)"/>
        <w:docPartUnique/>
      </w:docPartObj>
    </w:sdtPr>
    <w:sdtEndPr/>
    <w:sdtContent>
      <w:p w14:paraId="467F162F"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82ED2E" w14:textId="77777777" w:rsidR="00FF6A8C" w:rsidRDefault="00FF6A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89811"/>
      <w:docPartObj>
        <w:docPartGallery w:val="Page Numbers (Bottom of Page)"/>
        <w:docPartUnique/>
      </w:docPartObj>
    </w:sdtPr>
    <w:sdtEndPr/>
    <w:sdtContent>
      <w:p w14:paraId="24819589"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527474" w14:textId="77777777" w:rsidR="00FF6A8C" w:rsidRDefault="00FF6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05A36" w14:textId="77777777" w:rsidR="001E6E83" w:rsidRDefault="001E6E83" w:rsidP="00751025">
      <w:pPr>
        <w:spacing w:after="0" w:line="240" w:lineRule="auto"/>
      </w:pPr>
      <w:r>
        <w:separator/>
      </w:r>
    </w:p>
  </w:footnote>
  <w:footnote w:type="continuationSeparator" w:id="0">
    <w:p w14:paraId="0F7A7224" w14:textId="77777777" w:rsidR="001E6E83" w:rsidRDefault="001E6E83" w:rsidP="00751025">
      <w:pPr>
        <w:spacing w:after="0" w:line="240" w:lineRule="auto"/>
      </w:pPr>
      <w:r>
        <w:continuationSeparator/>
      </w:r>
    </w:p>
  </w:footnote>
  <w:footnote w:type="continuationNotice" w:id="1">
    <w:p w14:paraId="3CC3058D" w14:textId="77777777" w:rsidR="001E6E83" w:rsidRDefault="001E6E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FF6A8C" w:rsidRDefault="00FF6A8C"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FF6A8C" w:rsidRDefault="00FF6A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FF6A8C" w:rsidRDefault="00FF6A8C"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FF6A8C" w:rsidRDefault="00FF6A8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FF6A8C" w:rsidRDefault="00FF6A8C"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FF6A8C" w:rsidRDefault="00FF6A8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30CB" w14:textId="5B711E5A" w:rsidR="00FF6A8C" w:rsidRDefault="00FF6A8C"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FF6A8C" w:rsidRDefault="00FF6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FF6A8C" w:rsidRDefault="00FF6A8C"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FF6A8C" w:rsidRDefault="00FF6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FF6A8C" w:rsidRDefault="00FF6A8C"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FF6A8C" w:rsidRDefault="00FF6A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FF6A8C" w:rsidRDefault="00FF6A8C"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FF6A8C" w:rsidRDefault="00FF6A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FF6A8C" w:rsidRDefault="00FF6A8C"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FF6A8C" w:rsidRDefault="00FF6A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FF6A8C" w:rsidRDefault="00FF6A8C"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FF6A8C" w:rsidRDefault="00FF6A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FF6A8C" w:rsidRDefault="00FF6A8C"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FF6A8C" w:rsidRDefault="00FF6A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FF6A8C" w:rsidRDefault="00FF6A8C"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FF6A8C" w:rsidRDefault="00FF6A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FF6A8C" w:rsidRDefault="00FF6A8C"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FF6A8C" w:rsidRDefault="00FF6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45EBB"/>
    <w:rsid w:val="00152FEB"/>
    <w:rsid w:val="001641EA"/>
    <w:rsid w:val="001765E1"/>
    <w:rsid w:val="00180619"/>
    <w:rsid w:val="001831B1"/>
    <w:rsid w:val="001928A0"/>
    <w:rsid w:val="001A080E"/>
    <w:rsid w:val="001B374A"/>
    <w:rsid w:val="001B4B75"/>
    <w:rsid w:val="001B699C"/>
    <w:rsid w:val="001C12B1"/>
    <w:rsid w:val="001C52DF"/>
    <w:rsid w:val="001D5627"/>
    <w:rsid w:val="001D5655"/>
    <w:rsid w:val="001E2259"/>
    <w:rsid w:val="001E6849"/>
    <w:rsid w:val="001E6E83"/>
    <w:rsid w:val="001F2B08"/>
    <w:rsid w:val="002031C1"/>
    <w:rsid w:val="00212B5F"/>
    <w:rsid w:val="00214B67"/>
    <w:rsid w:val="002218FC"/>
    <w:rsid w:val="00230492"/>
    <w:rsid w:val="002349B2"/>
    <w:rsid w:val="00242359"/>
    <w:rsid w:val="00242FB3"/>
    <w:rsid w:val="0024387F"/>
    <w:rsid w:val="00243D70"/>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A235E"/>
    <w:rsid w:val="002B5796"/>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570DC"/>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3361"/>
    <w:rsid w:val="00470B3D"/>
    <w:rsid w:val="004720B1"/>
    <w:rsid w:val="00486378"/>
    <w:rsid w:val="0049325B"/>
    <w:rsid w:val="00494949"/>
    <w:rsid w:val="004B3403"/>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87698"/>
    <w:rsid w:val="005905A6"/>
    <w:rsid w:val="0059197B"/>
    <w:rsid w:val="00591D82"/>
    <w:rsid w:val="0059551C"/>
    <w:rsid w:val="005958B5"/>
    <w:rsid w:val="005A0E8C"/>
    <w:rsid w:val="005B19B1"/>
    <w:rsid w:val="005B3154"/>
    <w:rsid w:val="005B75FC"/>
    <w:rsid w:val="005C4386"/>
    <w:rsid w:val="005D29E7"/>
    <w:rsid w:val="005D353D"/>
    <w:rsid w:val="005D754B"/>
    <w:rsid w:val="005E3004"/>
    <w:rsid w:val="005E34BC"/>
    <w:rsid w:val="005F64EF"/>
    <w:rsid w:val="00602F0E"/>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2922"/>
    <w:rsid w:val="006C43F0"/>
    <w:rsid w:val="006D240D"/>
    <w:rsid w:val="006D4026"/>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76136"/>
    <w:rsid w:val="00885102"/>
    <w:rsid w:val="00895178"/>
    <w:rsid w:val="008A48E5"/>
    <w:rsid w:val="008A4952"/>
    <w:rsid w:val="008D2490"/>
    <w:rsid w:val="008D521E"/>
    <w:rsid w:val="008D61E3"/>
    <w:rsid w:val="008E30A5"/>
    <w:rsid w:val="008F617C"/>
    <w:rsid w:val="008F6D62"/>
    <w:rsid w:val="00901689"/>
    <w:rsid w:val="00905EC1"/>
    <w:rsid w:val="0091688D"/>
    <w:rsid w:val="009233A8"/>
    <w:rsid w:val="00937F5E"/>
    <w:rsid w:val="009404CF"/>
    <w:rsid w:val="009468DD"/>
    <w:rsid w:val="00976C97"/>
    <w:rsid w:val="009878A9"/>
    <w:rsid w:val="009943D1"/>
    <w:rsid w:val="00996A15"/>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6786C"/>
    <w:rsid w:val="00A7503E"/>
    <w:rsid w:val="00A778C9"/>
    <w:rsid w:val="00A83C48"/>
    <w:rsid w:val="00A93E03"/>
    <w:rsid w:val="00A96995"/>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0474"/>
    <w:rsid w:val="00B631D1"/>
    <w:rsid w:val="00B76E49"/>
    <w:rsid w:val="00B83D2F"/>
    <w:rsid w:val="00B8518D"/>
    <w:rsid w:val="00B9677B"/>
    <w:rsid w:val="00B97B8F"/>
    <w:rsid w:val="00BA0800"/>
    <w:rsid w:val="00BA2065"/>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20980"/>
    <w:rsid w:val="00D24E6A"/>
    <w:rsid w:val="00D42237"/>
    <w:rsid w:val="00D505C8"/>
    <w:rsid w:val="00D55444"/>
    <w:rsid w:val="00D66CD7"/>
    <w:rsid w:val="00D71CB5"/>
    <w:rsid w:val="00D743CF"/>
    <w:rsid w:val="00D765DC"/>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859F5"/>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6A8C"/>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4844</TotalTime>
  <Pages>21</Pages>
  <Words>4597</Words>
  <Characters>26209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311</cp:revision>
  <cp:lastPrinted>2020-03-28T03:30:00Z</cp:lastPrinted>
  <dcterms:created xsi:type="dcterms:W3CDTF">2020-03-07T05:33:00Z</dcterms:created>
  <dcterms:modified xsi:type="dcterms:W3CDTF">2020-03-28T18:11:00Z</dcterms:modified>
</cp:coreProperties>
</file>