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01891" w14:textId="1090732B" w:rsidR="00064995" w:rsidRDefault="00CA171E">
      <w:r>
        <w:t>Chapter 1</w:t>
      </w:r>
      <w:r>
        <w:tab/>
        <w:t>Framework for Financial Statement Analysis</w:t>
      </w:r>
    </w:p>
    <w:p w14:paraId="109EEBA7" w14:textId="6C3D6B19" w:rsidR="00CA171E" w:rsidRDefault="00CA171E">
      <w:r>
        <w:t>Chapter 2</w:t>
      </w:r>
      <w:r>
        <w:tab/>
        <w:t>Accounting Income and Assets: The Accrual Concept</w:t>
      </w:r>
    </w:p>
    <w:p w14:paraId="0B42894F" w14:textId="36E62C8B" w:rsidR="00CA171E" w:rsidRDefault="00CA171E">
      <w:r>
        <w:t>Chapter 3</w:t>
      </w:r>
      <w:r>
        <w:tab/>
      </w:r>
      <w:r w:rsidR="0067554B">
        <w:t>Analysis of Cash Flows</w:t>
      </w:r>
    </w:p>
    <w:p w14:paraId="3747AAEF" w14:textId="261D5A23" w:rsidR="0067554B" w:rsidRDefault="0067554B">
      <w:r>
        <w:t>Chapter 4</w:t>
      </w:r>
      <w:r>
        <w:tab/>
        <w:t>Foundations of Ratio and Financial Analysis</w:t>
      </w:r>
    </w:p>
    <w:p w14:paraId="4F17A7C9" w14:textId="21DC1B52" w:rsidR="0067554B" w:rsidRDefault="0067554B">
      <w:r>
        <w:t>Chapter 5</w:t>
      </w:r>
      <w:r>
        <w:tab/>
      </w:r>
      <w:bookmarkStart w:id="0" w:name="_GoBack"/>
      <w:bookmarkEnd w:id="0"/>
    </w:p>
    <w:sectPr w:rsidR="00675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7D"/>
    <w:rsid w:val="00064995"/>
    <w:rsid w:val="0067554B"/>
    <w:rsid w:val="00A7157D"/>
    <w:rsid w:val="00C2373C"/>
    <w:rsid w:val="00CA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6E96"/>
  <w15:chartTrackingRefBased/>
  <w15:docId w15:val="{AA27F386-42F7-4F1A-8FA2-770CF4E6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3</cp:revision>
  <dcterms:created xsi:type="dcterms:W3CDTF">2020-03-01T05:38:00Z</dcterms:created>
  <dcterms:modified xsi:type="dcterms:W3CDTF">2020-03-01T05:40:00Z</dcterms:modified>
</cp:coreProperties>
</file>