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rFonts w:ascii="Times New Roman" w:hAnsi="Times New Roman" w:cs="Times New Roman"/>
        </w:rPr>
      </w:pPr>
      <w:r>
        <w:rPr/>
      </w:r>
    </w:p>
    <w:p>
      <w:pPr>
        <w:sectPr>
          <w:footerReference w:type="even" r:id="rId2"/>
          <w:footerReference w:type="default" r:id="rId3"/>
          <w:footerReference w:type="first" r:id="rId4"/>
          <w:type w:val="nextPage"/>
          <w:pgSz w:w="12240" w:h="15840"/>
          <w:pgMar w:left="1440" w:right="1440" w:gutter="0" w:header="0" w:top="1440" w:footer="720" w:bottom="1440"/>
          <w:pgNumType w:fmt="decimal"/>
          <w:formProt w:val="false"/>
          <w:textDirection w:val="lrTb"/>
          <w:docGrid w:type="default" w:linePitch="360" w:charSpace="4096"/>
        </w:sectPr>
      </w:pPr>
    </w:p>
    <w:p>
      <w:pPr>
        <w:pStyle w:val="Normal"/>
        <w:spacing w:lineRule="auto" w:line="240" w:before="0" w:after="0"/>
        <w:rPr>
          <w:rFonts w:ascii="Times New Roman" w:hAnsi="Times New Roman" w:cs="Times New Roman"/>
        </w:rPr>
      </w:pPr>
      <w:r>
        <w:rPr>
          <w:rFonts w:cs="Times New Roman" w:ascii="Times New Roman" w:hAnsi="Times New Roman"/>
        </w:rPr>
      </w:r>
    </w:p>
    <w:p>
      <w:pPr>
        <w:pStyle w:val="Normal"/>
        <w:spacing w:lineRule="auto" w:line="240" w:before="0" w:after="0"/>
        <w:jc w:val="center"/>
        <w:rPr>
          <w:rFonts w:ascii="Times New Roman" w:hAnsi="Times New Roman" w:cs="Times New Roman"/>
        </w:rPr>
      </w:pPr>
      <w:r>
        <w:rPr/>
        <w:drawing>
          <wp:inline distT="0" distB="0" distL="0" distR="0">
            <wp:extent cx="1905635" cy="512445"/>
            <wp:effectExtent l="0" t="0" r="0" b="0"/>
            <wp:docPr id="1" name="Image2"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A black text on a white background&#10;&#10;Description automatically generated"/>
                    <pic:cNvPicPr>
                      <a:picLocks noChangeAspect="1" noChangeArrowheads="1"/>
                    </pic:cNvPicPr>
                  </pic:nvPicPr>
                  <pic:blipFill>
                    <a:blip r:embed="rId5"/>
                    <a:stretch>
                      <a:fillRect/>
                    </a:stretch>
                  </pic:blipFill>
                  <pic:spPr bwMode="auto">
                    <a:xfrm>
                      <a:off x="0" y="0"/>
                      <a:ext cx="1905635" cy="512445"/>
                    </a:xfrm>
                    <a:prstGeom prst="rect">
                      <a:avLst/>
                    </a:prstGeom>
                  </pic:spPr>
                </pic:pic>
              </a:graphicData>
            </a:graphic>
          </wp:inline>
        </w:drawing>
      </w:r>
    </w:p>
    <w:p>
      <w:pPr>
        <w:pStyle w:val="Normal"/>
        <w:spacing w:lineRule="auto" w:line="240" w:before="0" w:after="0"/>
        <w:jc w:val="center"/>
        <w:rPr>
          <w:rFonts w:ascii="Times New Roman" w:hAnsi="Times New Roman" w:cs="Times New Roman"/>
          <w:b/>
          <w:bCs/>
        </w:rPr>
      </w:pPr>
      <w:r>
        <w:rPr>
          <w:rFonts w:cs="Times New Roman" w:ascii="Times New Roman" w:hAnsi="Times New Roman"/>
          <w:b/>
          <w:bCs/>
        </w:rPr>
        <w:t>FINFIRE, INC. ENTERPRISE AGREEMENT</w:t>
      </w:r>
    </w:p>
    <w:p>
      <w:pPr>
        <w:pStyle w:val="Normal"/>
        <w:spacing w:lineRule="auto" w:line="240" w:before="0" w:after="0"/>
        <w:rPr>
          <w:rFonts w:ascii="Times New Roman" w:hAnsi="Times New Roman" w:cs="Times New Roman"/>
        </w:rPr>
      </w:pPr>
      <w:r>
        <w:rPr>
          <w:rFonts w:cs="Times New Roman" w:ascii="Times New Roman" w:hAnsi="Times New Roman"/>
        </w:rPr>
      </w:r>
    </w:p>
    <w:p>
      <w:pPr>
        <w:pStyle w:val="ListParagraph"/>
        <w:numPr>
          <w:ilvl w:val="0"/>
          <w:numId w:val="1"/>
        </w:numPr>
        <w:spacing w:lineRule="auto" w:line="240" w:before="0" w:after="0"/>
        <w:ind w:hanging="360" w:left="360"/>
        <w:contextualSpacing/>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PARTIES</w:t>
      </w:r>
    </w:p>
    <w:p>
      <w:pPr>
        <w:pStyle w:val="Normal"/>
        <w:spacing w:lineRule="auto" w:line="240" w:before="0" w:after="0"/>
        <w:jc w:val="both"/>
        <w:rPr>
          <w:rFonts w:ascii="Times New Roman" w:hAnsi="Times New Roman" w:cs="Times New Roman"/>
          <w:sz w:val="16"/>
          <w:szCs w:val="16"/>
        </w:rPr>
      </w:pPr>
      <w:r>
        <w:rPr>
          <w:rFonts w:cs="Times New Roman" w:ascii="Times New Roman" w:hAnsi="Times New Roman"/>
          <w:sz w:val="16"/>
          <w:szCs w:val="16"/>
        </w:rPr>
      </w:r>
    </w:p>
    <w:p>
      <w:pPr>
        <w:pStyle w:val="Normal"/>
        <w:spacing w:lineRule="auto" w:line="240" w:before="0" w:after="0"/>
        <w:jc w:val="both"/>
        <w:rPr>
          <w:rFonts w:ascii="Times New Roman" w:hAnsi="Times New Roman" w:cs="Times New Roman"/>
        </w:rPr>
      </w:pPr>
      <w:r>
        <w:rPr>
          <w:rFonts w:cs="Times New Roman" w:ascii="Times New Roman" w:hAnsi="Times New Roman"/>
        </w:rPr>
        <w:t>THIS ENTERPRISE AGREEMENT (</w:t>
      </w:r>
      <w:r>
        <w:rPr>
          <w:rFonts w:cs="Times New Roman" w:ascii="Times New Roman" w:hAnsi="Times New Roman"/>
          <w:b/>
          <w:bCs/>
        </w:rPr>
        <w:t>The "Agreement"</w:t>
      </w:r>
      <w:r>
        <w:rPr>
          <w:rFonts w:cs="Times New Roman" w:ascii="Times New Roman" w:hAnsi="Times New Roman"/>
        </w:rPr>
        <w:t xml:space="preserve">) is made _______________, by and between </w:t>
      </w:r>
      <w:r>
        <w:rPr>
          <w:rFonts w:cs="Times New Roman" w:ascii="Times New Roman" w:hAnsi="Times New Roman"/>
          <w:b/>
          <w:bCs/>
        </w:rPr>
        <w:t xml:space="preserve">FINFIRE, Inc., </w:t>
      </w:r>
      <w:r>
        <w:rPr>
          <w:rFonts w:cs="Times New Roman" w:ascii="Times New Roman" w:hAnsi="Times New Roman"/>
        </w:rPr>
        <w:t>a Nevada Corporation</w:t>
      </w:r>
      <w:r>
        <w:rPr>
          <w:rFonts w:cs="Times New Roman" w:ascii="Times New Roman" w:hAnsi="Times New Roman"/>
          <w:b/>
          <w:bCs/>
        </w:rPr>
        <w:t xml:space="preserve"> (The “Company”) </w:t>
      </w:r>
      <w:r>
        <w:rPr>
          <w:rFonts w:cs="Times New Roman" w:ascii="Times New Roman" w:hAnsi="Times New Roman"/>
        </w:rPr>
        <w:t>with a mailing address of</w:t>
      </w:r>
      <w:r>
        <w:rPr>
          <w:rFonts w:cs="Times New Roman" w:ascii="Times New Roman" w:hAnsi="Times New Roman"/>
          <w:b/>
          <w:bCs/>
        </w:rPr>
        <w:t xml:space="preserve"> </w:t>
      </w:r>
      <w:r>
        <w:rPr>
          <w:rFonts w:cs="Times New Roman" w:ascii="Times New Roman" w:hAnsi="Times New Roman"/>
        </w:rPr>
        <w:t>6671 S. Las Vegas Blvd Ste. 210 Office #259 Las Vegas, NV 89119 AND “</w:t>
      </w:r>
      <w:r>
        <w:rPr>
          <w:rFonts w:cs="Times New Roman" w:ascii="Times New Roman" w:hAnsi="Times New Roman"/>
          <w:i/>
          <w:iCs/>
        </w:rPr>
        <w:t>_____________________</w:t>
      </w:r>
      <w:r>
        <w:rPr>
          <w:rFonts w:cs="Times New Roman" w:ascii="Times New Roman" w:hAnsi="Times New Roman"/>
        </w:rPr>
        <w:t>”, (</w:t>
      </w:r>
      <w:r>
        <w:rPr>
          <w:rFonts w:cs="Times New Roman" w:ascii="Times New Roman" w:hAnsi="Times New Roman"/>
          <w:b/>
          <w:bCs/>
        </w:rPr>
        <w:t>The “Enterprise</w:t>
      </w:r>
      <w:r>
        <w:rPr>
          <w:rFonts w:cs="Times New Roman" w:ascii="Times New Roman" w:hAnsi="Times New Roman"/>
        </w:rPr>
        <w:t>”).</w:t>
      </w:r>
    </w:p>
    <w:p>
      <w:pPr>
        <w:pStyle w:val="Normal"/>
        <w:spacing w:lineRule="auto" w:line="240" w:before="0" w:after="0"/>
        <w:jc w:val="both"/>
        <w:rPr>
          <w:rFonts w:ascii="Times New Roman" w:hAnsi="Times New Roman" w:cs="Times New Roman"/>
          <w:sz w:val="16"/>
          <w:szCs w:val="16"/>
        </w:rPr>
      </w:pPr>
      <w:r>
        <w:rPr>
          <w:rFonts w:cs="Times New Roman" w:ascii="Times New Roman" w:hAnsi="Times New Roman"/>
          <w:sz w:val="16"/>
          <w:szCs w:val="16"/>
        </w:rPr>
      </w:r>
    </w:p>
    <w:p>
      <w:pPr>
        <w:pStyle w:val="ListParagraph"/>
        <w:numPr>
          <w:ilvl w:val="0"/>
          <w:numId w:val="1"/>
        </w:numPr>
        <w:spacing w:lineRule="auto" w:line="240" w:before="0" w:after="0"/>
        <w:ind w:hanging="360" w:left="360"/>
        <w:contextualSpacing/>
        <w:jc w:val="both"/>
        <w:rPr>
          <w:rFonts w:ascii="Times New Roman" w:hAnsi="Times New Roman" w:cs="Times New Roman"/>
        </w:rPr>
      </w:pPr>
      <w:r>
        <w:rPr>
          <w:rFonts w:cs="Times New Roman" w:ascii="Times New Roman" w:hAnsi="Times New Roman"/>
        </w:rPr>
        <w:t>RECITALS</w:t>
      </w:r>
    </w:p>
    <w:p>
      <w:pPr>
        <w:pStyle w:val="Normal"/>
        <w:spacing w:lineRule="auto" w:line="240" w:before="0" w:after="0"/>
        <w:jc w:val="both"/>
        <w:rPr>
          <w:rFonts w:ascii="Times New Roman" w:hAnsi="Times New Roman" w:cs="Times New Roman"/>
          <w:sz w:val="16"/>
          <w:szCs w:val="16"/>
        </w:rPr>
      </w:pPr>
      <w:r>
        <w:rPr>
          <w:rFonts w:cs="Times New Roman" w:ascii="Times New Roman" w:hAnsi="Times New Roman"/>
          <w:sz w:val="16"/>
          <w:szCs w:val="16"/>
        </w:rPr>
      </w:r>
    </w:p>
    <w:p>
      <w:pPr>
        <w:pStyle w:val="Normal"/>
        <w:spacing w:lineRule="auto" w:line="240" w:before="0" w:after="0"/>
        <w:jc w:val="both"/>
        <w:rPr>
          <w:rFonts w:ascii="Times New Roman" w:hAnsi="Times New Roman" w:cs="Times New Roman"/>
        </w:rPr>
      </w:pPr>
      <w:r>
        <w:rPr>
          <w:rFonts w:cs="Times New Roman" w:ascii="Times New Roman" w:hAnsi="Times New Roman"/>
        </w:rPr>
        <w:t xml:space="preserve">2.1 </w:t>
      </w:r>
      <w:r>
        <w:rPr>
          <w:rFonts w:cs="Times New Roman" w:ascii="Times New Roman" w:hAnsi="Times New Roman"/>
          <w:b/>
          <w:bCs/>
        </w:rPr>
        <w:t>Company</w:t>
      </w:r>
      <w:r>
        <w:rPr>
          <w:rFonts w:cs="Times New Roman" w:ascii="Times New Roman" w:hAnsi="Times New Roman"/>
        </w:rPr>
        <w:t>.  Whereas FINFIRE AI uses top-tier encrypted secure Large Language Models (LLMs) using its proprietary knowledge base accessing industry standard platforms to deliver an automated financial application matching service to the most viable capital types, defines qualifications, and then makes introductions from its verified database.  The Finfire acronym is:  “Financial Industry Network - Financiers, Intermediaries - Right Enterprises.” FINFIRE is a PWA (Progressive Web App) AI driven Social Media Platform. FINFIRE Coordinates applicable markets – enterprises, intermediaries, capital sources, documentation experts.  FINFIRE is a Software As A Service (SaaS) that links Enterprises, enterprises, intermediaries and capital markets</w:t>
        <w:tab/>
      </w:r>
    </w:p>
    <w:p>
      <w:pPr>
        <w:pStyle w:val="ListParagraph"/>
        <w:spacing w:lineRule="auto" w:line="240" w:before="0" w:after="0"/>
        <w:ind w:left="360"/>
        <w:contextualSpacing/>
        <w:jc w:val="both"/>
        <w:rPr>
          <w:rFonts w:ascii="Times New Roman" w:hAnsi="Times New Roman" w:cs="Times New Roman"/>
          <w:sz w:val="16"/>
          <w:szCs w:val="16"/>
        </w:rPr>
      </w:pPr>
      <w:r>
        <w:rPr>
          <w:rFonts w:cs="Times New Roman" w:ascii="Times New Roman" w:hAnsi="Times New Roman"/>
          <w:sz w:val="16"/>
          <w:szCs w:val="16"/>
        </w:rPr>
      </w:r>
    </w:p>
    <w:p>
      <w:pPr>
        <w:pStyle w:val="PlainText"/>
        <w:jc w:val="both"/>
        <w:rPr>
          <w:rFonts w:ascii="Times New Roman" w:hAnsi="Times New Roman" w:cs="Times New Roman"/>
        </w:rPr>
      </w:pPr>
      <w:r>
        <w:rPr>
          <w:rFonts w:cs="Times New Roman" w:ascii="Times New Roman" w:hAnsi="Times New Roman"/>
        </w:rPr>
        <w:t xml:space="preserve">2.2 </w:t>
      </w:r>
      <w:r>
        <w:rPr>
          <w:rFonts w:cs="Times New Roman" w:ascii="Times New Roman" w:hAnsi="Times New Roman"/>
          <w:b/>
          <w:bCs/>
        </w:rPr>
        <w:t>Enterprise</w:t>
      </w:r>
      <w:r>
        <w:rPr>
          <w:rFonts w:cs="Times New Roman" w:ascii="Times New Roman" w:hAnsi="Times New Roman"/>
        </w:rPr>
        <w:t>.  Whereas the definition of an “</w:t>
      </w:r>
      <w:r>
        <w:rPr>
          <w:rFonts w:cs="Times New Roman" w:ascii="Times New Roman" w:hAnsi="Times New Roman"/>
          <w:i/>
          <w:iCs/>
        </w:rPr>
        <w:t>Enterprise</w:t>
      </w:r>
      <w:r>
        <w:rPr>
          <w:rFonts w:cs="Times New Roman" w:ascii="Times New Roman" w:hAnsi="Times New Roman"/>
        </w:rPr>
        <w:t xml:space="preserve">” is a business that may be at any stage of development that may need FINFIRE services in order to gain access to Capital. The term business refers to an organization or enterprising entity engaged in commercial, industrial, or professional activities. The purpose of a business is to organize some sort of economic production of goods or services.  An enterprise will most often need to be introduced to Intermediaries and/or Capital Markets. FINFIRE may assist by introducing qualified Enterprises to both Intermediaries and Capital Markets.  </w:t>
      </w:r>
    </w:p>
    <w:p>
      <w:pPr>
        <w:pStyle w:val="Normal"/>
        <w:spacing w:lineRule="auto" w:line="240" w:before="0" w:after="0"/>
        <w:jc w:val="both"/>
        <w:rPr>
          <w:rFonts w:ascii="Times New Roman" w:hAnsi="Times New Roman" w:cs="Times New Roman"/>
        </w:rPr>
      </w:pPr>
      <w:r>
        <w:rPr>
          <w:rFonts w:cs="Times New Roman" w:ascii="Times New Roman" w:hAnsi="Times New Roman"/>
        </w:rPr>
      </w:r>
    </w:p>
    <w:p>
      <w:pPr>
        <w:pStyle w:val="Normal"/>
        <w:spacing w:lineRule="auto" w:line="240" w:before="0" w:after="0"/>
        <w:jc w:val="both"/>
        <w:rPr>
          <w:rFonts w:ascii="Times New Roman" w:hAnsi="Times New Roman" w:cs="Times New Roman"/>
        </w:rPr>
      </w:pPr>
      <w:r>
        <w:rPr>
          <w:rFonts w:cs="Times New Roman" w:ascii="Times New Roman" w:hAnsi="Times New Roman"/>
        </w:rPr>
        <w:t>Whereas the “</w:t>
      </w:r>
      <w:r>
        <w:rPr>
          <w:rFonts w:cs="Times New Roman" w:ascii="Times New Roman" w:hAnsi="Times New Roman"/>
          <w:b/>
          <w:bCs/>
        </w:rPr>
        <w:t>Enterprise</w:t>
      </w:r>
      <w:r>
        <w:rPr>
          <w:rFonts w:cs="Times New Roman" w:ascii="Times New Roman" w:hAnsi="Times New Roman"/>
        </w:rPr>
        <w:t xml:space="preserve">” intends to hire </w:t>
      </w:r>
      <w:r>
        <w:rPr>
          <w:rFonts w:cs="Times New Roman" w:ascii="Times New Roman" w:hAnsi="Times New Roman"/>
          <w:b/>
          <w:bCs/>
          <w:i/>
          <w:iCs/>
        </w:rPr>
        <w:t xml:space="preserve">FINFIRE </w:t>
      </w:r>
      <w:r>
        <w:rPr>
          <w:rFonts w:cs="Times New Roman" w:ascii="Times New Roman" w:hAnsi="Times New Roman"/>
        </w:rPr>
        <w:t xml:space="preserve">for services defined herein. </w:t>
      </w:r>
      <w:r>
        <w:rPr>
          <w:rFonts w:cs="Times New Roman" w:ascii="Times New Roman" w:hAnsi="Times New Roman"/>
          <w:b/>
          <w:bCs/>
        </w:rPr>
        <w:t>FINFIRE</w:t>
      </w:r>
      <w:r>
        <w:rPr>
          <w:rFonts w:cs="Times New Roman" w:ascii="Times New Roman" w:hAnsi="Times New Roman"/>
        </w:rPr>
        <w:t xml:space="preserve"> intends to provide the services defined herein including:  (1) A FINFIRE Report; (2) Software as a Service; (3) </w:t>
      </w:r>
      <w:r>
        <w:rPr>
          <w:rFonts w:cs="Times New Roman" w:ascii="Times New Roman" w:hAnsi="Times New Roman"/>
          <w:b/>
          <w:bCs/>
        </w:rPr>
        <w:t>FINFIRE</w:t>
      </w:r>
      <w:r>
        <w:rPr>
          <w:rFonts w:cs="Times New Roman" w:ascii="Times New Roman" w:hAnsi="Times New Roman"/>
        </w:rPr>
        <w:t xml:space="preserve"> matching services; (4) third-party intermediary services, as needed.</w:t>
      </w:r>
    </w:p>
    <w:p>
      <w:pPr>
        <w:pStyle w:val="PlainText"/>
        <w:jc w:val="both"/>
        <w:rPr>
          <w:rFonts w:ascii="Times New Roman" w:hAnsi="Times New Roman" w:cs="Times New Roman"/>
        </w:rPr>
      </w:pPr>
      <w:r>
        <w:rPr>
          <w:rFonts w:cs="Times New Roman" w:ascii="Times New Roman" w:hAnsi="Times New Roman"/>
        </w:rPr>
      </w:r>
    </w:p>
    <w:p>
      <w:pPr>
        <w:pStyle w:val="PlainText"/>
        <w:jc w:val="both"/>
        <w:rPr>
          <w:rFonts w:ascii="Times New Roman" w:hAnsi="Times New Roman" w:cs="Times New Roman"/>
        </w:rPr>
      </w:pPr>
      <w:r>
        <w:rPr>
          <w:rFonts w:cs="Times New Roman" w:ascii="Times New Roman" w:hAnsi="Times New Roman"/>
        </w:rPr>
        <w:t xml:space="preserve">2.3 </w:t>
      </w:r>
      <w:r>
        <w:rPr>
          <w:rFonts w:cs="Times New Roman" w:ascii="Times New Roman" w:hAnsi="Times New Roman"/>
          <w:b/>
          <w:bCs/>
        </w:rPr>
        <w:t>Intermediary</w:t>
      </w:r>
      <w:r>
        <w:rPr>
          <w:rFonts w:cs="Times New Roman" w:ascii="Times New Roman" w:hAnsi="Times New Roman"/>
        </w:rPr>
        <w:t>.  Whereas the definition of an “Intermediary” is defined as either an individual, professional, expert or business that provides services to the Enterprise. Examples of intermediaries are certified public accountants, bookkeepers, attorneys, web developers, insurance agents, consultants, software engineers, or other agency services that support Enterprises.</w:t>
      </w:r>
    </w:p>
    <w:p>
      <w:pPr>
        <w:pStyle w:val="Normal"/>
        <w:spacing w:lineRule="auto" w:line="240" w:before="0" w:after="0"/>
        <w:jc w:val="both"/>
        <w:rPr>
          <w:rFonts w:ascii="Times New Roman" w:hAnsi="Times New Roman" w:cs="Times New Roman"/>
        </w:rPr>
      </w:pPr>
      <w:r>
        <w:rPr>
          <w:rFonts w:cs="Times New Roman" w:ascii="Times New Roman" w:hAnsi="Times New Roman"/>
        </w:rPr>
      </w:r>
    </w:p>
    <w:p>
      <w:pPr>
        <w:pStyle w:val="Normal"/>
        <w:spacing w:lineRule="auto" w:line="240" w:before="0" w:after="0"/>
        <w:jc w:val="both"/>
        <w:rPr>
          <w:rFonts w:ascii="Times New Roman" w:hAnsi="Times New Roman" w:cs="Times New Roman"/>
        </w:rPr>
      </w:pPr>
      <w:r>
        <w:rPr>
          <w:rFonts w:cs="Times New Roman" w:ascii="Times New Roman" w:hAnsi="Times New Roman"/>
        </w:rPr>
        <w:t xml:space="preserve">2.4 </w:t>
      </w:r>
      <w:r>
        <w:rPr>
          <w:rFonts w:cs="Times New Roman" w:ascii="Times New Roman" w:hAnsi="Times New Roman"/>
          <w:b/>
          <w:bCs/>
        </w:rPr>
        <w:t>Capital Market</w:t>
      </w:r>
      <w:r>
        <w:rPr>
          <w:rFonts w:cs="Times New Roman" w:ascii="Times New Roman" w:hAnsi="Times New Roman"/>
        </w:rPr>
        <w:t>.  Whereas the definition of a “Capital Market” is more than 80 capital types within 17 markets. Examples include commercial banks, investment banks, venture capitalist, angel investment clubs, limited partnerships, family offices, registered broker dealers and the nearly 19,000,000 accredited investors in North America.</w:t>
      </w:r>
    </w:p>
    <w:p>
      <w:pPr>
        <w:pStyle w:val="Normal"/>
        <w:spacing w:lineRule="auto" w:line="240" w:before="0" w:after="0"/>
        <w:jc w:val="both"/>
        <w:rPr>
          <w:rFonts w:ascii="Times New Roman" w:hAnsi="Times New Roman" w:cs="Times New Roman"/>
        </w:rPr>
      </w:pPr>
      <w:r>
        <w:rPr>
          <w:rFonts w:cs="Times New Roman" w:ascii="Times New Roman" w:hAnsi="Times New Roman"/>
        </w:rPr>
      </w:r>
    </w:p>
    <w:p>
      <w:pPr>
        <w:pStyle w:val="Normal"/>
        <w:spacing w:lineRule="auto" w:line="240" w:before="0" w:after="0"/>
        <w:jc w:val="both"/>
        <w:rPr>
          <w:rFonts w:ascii="Times New Roman" w:hAnsi="Times New Roman" w:cs="Times New Roman"/>
        </w:rPr>
      </w:pPr>
      <w:r>
        <w:rPr>
          <w:rFonts w:cs="Times New Roman" w:ascii="Times New Roman" w:hAnsi="Times New Roman"/>
        </w:rPr>
        <w:t>NOW THEREFORE, in consideration of the mutual covenants and promises contained herein, the receipt and sufficiency of which are hereby acknowledged, the parties agree as follows:</w:t>
      </w:r>
    </w:p>
    <w:p>
      <w:pPr>
        <w:pStyle w:val="Normal"/>
        <w:spacing w:lineRule="auto" w:line="240" w:before="0" w:after="0"/>
        <w:jc w:val="both"/>
        <w:rPr>
          <w:rFonts w:ascii="Times New Roman" w:hAnsi="Times New Roman" w:cs="Times New Roman"/>
        </w:rPr>
      </w:pPr>
      <w:r>
        <w:rPr>
          <w:rFonts w:cs="Times New Roman" w:ascii="Times New Roman" w:hAnsi="Times New Roman"/>
        </w:rPr>
      </w:r>
    </w:p>
    <w:p>
      <w:pPr>
        <w:pStyle w:val="Normal"/>
        <w:spacing w:lineRule="auto" w:line="240" w:before="0" w:after="0"/>
        <w:jc w:val="both"/>
        <w:rPr>
          <w:rFonts w:ascii="Times New Roman" w:hAnsi="Times New Roman" w:cs="Times New Roman"/>
        </w:rPr>
      </w:pPr>
      <w:r>
        <w:rPr>
          <w:rFonts w:cs="Times New Roman" w:ascii="Times New Roman" w:hAnsi="Times New Roman"/>
        </w:rPr>
        <w:t>3. TERMS OF AGREEMENT</w:t>
      </w:r>
    </w:p>
    <w:p>
      <w:pPr>
        <w:pStyle w:val="Normal"/>
        <w:spacing w:lineRule="auto" w:line="240" w:before="0" w:after="0"/>
        <w:jc w:val="both"/>
        <w:rPr>
          <w:rFonts w:ascii="Times New Roman" w:hAnsi="Times New Roman" w:cs="Times New Roman"/>
          <w:sz w:val="16"/>
          <w:szCs w:val="16"/>
        </w:rPr>
      </w:pPr>
      <w:r>
        <w:rPr>
          <w:rFonts w:cs="Times New Roman" w:ascii="Times New Roman" w:hAnsi="Times New Roman"/>
          <w:sz w:val="16"/>
          <w:szCs w:val="16"/>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rPr>
        <w:t>3.1</w:t>
      </w:r>
      <w:r>
        <w:rPr>
          <w:rFonts w:cs="Times New Roman" w:ascii="Times New Roman" w:hAnsi="Times New Roman"/>
          <w:b/>
          <w:bCs/>
        </w:rPr>
        <w:t xml:space="preserve"> Services</w:t>
      </w:r>
      <w:r>
        <w:rPr>
          <w:rFonts w:cs="Times New Roman" w:ascii="Times New Roman" w:hAnsi="Times New Roman"/>
        </w:rPr>
        <w:t xml:space="preserve">. The “Enterprise” shall engage FINFIRE for its services.  FINFIRE initially engages the Enterprise with a complimentary registration which includes an acknowledgement of the registration made by the Enterprise with a 1-page letter that includes the identification of the most-likely capital type based on the initial 12-questions submitted by the Enterprise.  and an initial capital match. </w:t>
      </w:r>
      <w:r>
        <w:rPr>
          <w:rFonts w:cs="Times New Roman" w:ascii="Times New Roman" w:hAnsi="Times New Roman"/>
          <w:sz w:val="24"/>
          <w:szCs w:val="24"/>
        </w:rPr>
        <w:t>FINFIRE offers three packages. They are referred to as Silver, Gold, or Platinum.  The options are further defined below:</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PlainText"/>
        <w:rPr>
          <w:rFonts w:ascii="Times New Roman" w:hAnsi="Times New Roman" w:cs="Times New Roman"/>
          <w:sz w:val="24"/>
          <w:szCs w:val="24"/>
        </w:rPr>
      </w:pPr>
      <w:r>
        <w:rPr>
          <w:rFonts w:cs="Times New Roman" w:ascii="Times New Roman" w:hAnsi="Times New Roman"/>
          <w:sz w:val="24"/>
          <w:szCs w:val="24"/>
        </w:rPr>
        <w:t>After initial complimentary registration, the Enterprise has the right to choose any of the following engagement options and may upgrade at any time:</w:t>
      </w:r>
    </w:p>
    <w:p>
      <w:pPr>
        <w:pStyle w:val="PlainText"/>
        <w:rPr>
          <w:rFonts w:ascii="Times New Roman" w:hAnsi="Times New Roman" w:cs="Times New Roman"/>
          <w:b/>
          <w:bCs/>
          <w:sz w:val="24"/>
          <w:szCs w:val="24"/>
          <w:u w:val="single"/>
        </w:rPr>
      </w:pPr>
      <w:r>
        <w:rPr>
          <w:rFonts w:cs="Times New Roman" w:ascii="Times New Roman" w:hAnsi="Times New Roman"/>
          <w:b/>
          <w:bCs/>
          <w:sz w:val="24"/>
          <w:szCs w:val="24"/>
          <w:u w:val="single"/>
        </w:rPr>
      </w:r>
    </w:p>
    <w:p>
      <w:pPr>
        <w:pStyle w:val="PlainText"/>
        <w:numPr>
          <w:ilvl w:val="0"/>
          <w:numId w:val="6"/>
        </w:numPr>
        <w:ind w:hanging="360" w:left="360"/>
        <w:rPr>
          <w:rFonts w:ascii="Times New Roman" w:hAnsi="Times New Roman" w:cs="Times New Roman"/>
          <w:sz w:val="24"/>
          <w:szCs w:val="24"/>
        </w:rPr>
      </w:pPr>
      <w:r>
        <w:rPr>
          <w:rFonts w:cs="Times New Roman" w:ascii="Times New Roman" w:hAnsi="Times New Roman"/>
          <w:sz w:val="24"/>
          <w:szCs w:val="24"/>
        </w:rPr>
        <w:t>Complimentary Registration letter only.  Upon receiving the registration form, FINFIRE shall provide a 1-page letter defining the most appropriate capital type.</w:t>
      </w:r>
    </w:p>
    <w:p>
      <w:pPr>
        <w:pStyle w:val="PlainText"/>
        <w:rPr>
          <w:rFonts w:ascii="Times New Roman" w:hAnsi="Times New Roman" w:cs="Times New Roman"/>
          <w:sz w:val="24"/>
          <w:szCs w:val="24"/>
        </w:rPr>
      </w:pPr>
      <w:r>
        <w:rPr>
          <w:rFonts w:cs="Times New Roman" w:ascii="Times New Roman" w:hAnsi="Times New Roman"/>
          <w:sz w:val="24"/>
          <w:szCs w:val="24"/>
        </w:rPr>
      </w:r>
    </w:p>
    <w:p>
      <w:pPr>
        <w:pStyle w:val="PlainText"/>
        <w:numPr>
          <w:ilvl w:val="0"/>
          <w:numId w:val="7"/>
        </w:numPr>
        <w:ind w:hanging="360" w:left="360"/>
        <w:rPr>
          <w:rFonts w:ascii="Times New Roman" w:hAnsi="Times New Roman" w:cs="Times New Roman"/>
          <w:sz w:val="24"/>
          <w:szCs w:val="24"/>
        </w:rPr>
      </w:pPr>
      <w:r>
        <w:rPr>
          <w:rFonts w:cs="Times New Roman" w:ascii="Times New Roman" w:hAnsi="Times New Roman"/>
          <w:sz w:val="24"/>
          <w:szCs w:val="24"/>
        </w:rPr>
        <w:t>FINFIRE Report.  The one-time $499 fee includes a comprehensive report defining up to two capital types, the qualification requirements, the matching results, with up to 20-pages of material defining the capital type, documentation requirements, cost analysis, and timing.</w:t>
      </w:r>
    </w:p>
    <w:p>
      <w:pPr>
        <w:pStyle w:val="PlainText"/>
        <w:rPr>
          <w:rFonts w:ascii="Times New Roman" w:hAnsi="Times New Roman" w:cs="Times New Roman"/>
          <w:b/>
          <w:bCs/>
          <w:sz w:val="24"/>
          <w:szCs w:val="24"/>
          <w:u w:val="single"/>
        </w:rPr>
      </w:pPr>
      <w:r>
        <w:rPr>
          <w:rFonts w:cs="Times New Roman" w:ascii="Times New Roman" w:hAnsi="Times New Roman"/>
          <w:b/>
          <w:bCs/>
          <w:sz w:val="24"/>
          <w:szCs w:val="24"/>
          <w:u w:val="single"/>
        </w:rPr>
      </w:r>
    </w:p>
    <w:p>
      <w:pPr>
        <w:pStyle w:val="PlainText"/>
        <w:numPr>
          <w:ilvl w:val="0"/>
          <w:numId w:val="7"/>
        </w:numPr>
        <w:ind w:hanging="360" w:left="360"/>
        <w:rPr>
          <w:rFonts w:ascii="Times New Roman" w:hAnsi="Times New Roman" w:cs="Times New Roman"/>
          <w:b/>
          <w:bCs/>
          <w:sz w:val="24"/>
          <w:szCs w:val="24"/>
          <w:u w:val="single"/>
        </w:rPr>
      </w:pPr>
      <w:r>
        <w:rPr>
          <w:rFonts w:cs="Times New Roman" w:ascii="Times New Roman" w:hAnsi="Times New Roman"/>
          <w:b/>
          <w:bCs/>
          <w:sz w:val="24"/>
          <w:szCs w:val="24"/>
          <w:u w:val="single"/>
        </w:rPr>
        <w:t>SILVER PACKAGE $2,388</w:t>
      </w:r>
    </w:p>
    <w:p>
      <w:pPr>
        <w:pStyle w:val="PlainText"/>
        <w:numPr>
          <w:ilvl w:val="0"/>
          <w:numId w:val="2"/>
        </w:numPr>
        <w:ind w:hanging="360" w:left="360"/>
        <w:rPr>
          <w:rFonts w:ascii="Times New Roman" w:hAnsi="Times New Roman" w:cs="Times New Roman"/>
          <w:sz w:val="24"/>
          <w:szCs w:val="24"/>
        </w:rPr>
      </w:pPr>
      <w:r>
        <w:rPr>
          <w:rFonts w:cs="Times New Roman" w:ascii="Times New Roman" w:hAnsi="Times New Roman"/>
          <w:sz w:val="24"/>
          <w:szCs w:val="24"/>
        </w:rPr>
        <w:t>Includes the $499 FINFIRE Report.</w:t>
      </w:r>
    </w:p>
    <w:p>
      <w:pPr>
        <w:pStyle w:val="PlainText"/>
        <w:numPr>
          <w:ilvl w:val="0"/>
          <w:numId w:val="2"/>
        </w:numPr>
        <w:ind w:hanging="360" w:left="360"/>
        <w:rPr>
          <w:rFonts w:ascii="Times New Roman" w:hAnsi="Times New Roman" w:cs="Times New Roman"/>
          <w:sz w:val="24"/>
          <w:szCs w:val="24"/>
        </w:rPr>
      </w:pPr>
      <w:r>
        <w:rPr>
          <w:rFonts w:cs="Times New Roman" w:ascii="Times New Roman" w:hAnsi="Times New Roman"/>
          <w:sz w:val="24"/>
          <w:szCs w:val="24"/>
        </w:rPr>
        <w:t>The silver package is $199 per month for a period of 12 months</w:t>
      </w:r>
    </w:p>
    <w:p>
      <w:pPr>
        <w:pStyle w:val="PlainText"/>
        <w:numPr>
          <w:ilvl w:val="0"/>
          <w:numId w:val="2"/>
        </w:numPr>
        <w:ind w:hanging="360" w:left="360"/>
        <w:rPr>
          <w:rFonts w:ascii="Times New Roman" w:hAnsi="Times New Roman" w:cs="Times New Roman"/>
          <w:sz w:val="24"/>
          <w:szCs w:val="24"/>
        </w:rPr>
      </w:pPr>
      <w:r>
        <w:rPr>
          <w:rFonts w:cs="Times New Roman" w:ascii="Times New Roman" w:hAnsi="Times New Roman"/>
          <w:sz w:val="24"/>
          <w:szCs w:val="24"/>
        </w:rPr>
        <w:t xml:space="preserve">Includes creation of the data room for the enterprise to save their documents that will be shared with the matches. </w:t>
      </w:r>
    </w:p>
    <w:p>
      <w:pPr>
        <w:pStyle w:val="PlainText"/>
        <w:numPr>
          <w:ilvl w:val="0"/>
          <w:numId w:val="2"/>
        </w:numPr>
        <w:ind w:hanging="360" w:left="360"/>
        <w:rPr>
          <w:rFonts w:ascii="Times New Roman" w:hAnsi="Times New Roman" w:cs="Times New Roman"/>
          <w:sz w:val="24"/>
          <w:szCs w:val="24"/>
        </w:rPr>
      </w:pPr>
      <w:r>
        <w:rPr>
          <w:rFonts w:cs="Times New Roman" w:ascii="Times New Roman" w:hAnsi="Times New Roman"/>
          <w:sz w:val="24"/>
          <w:szCs w:val="24"/>
        </w:rPr>
        <w:t>Includes six matches at no additional charge per month ($150 value)</w:t>
      </w:r>
    </w:p>
    <w:p>
      <w:pPr>
        <w:pStyle w:val="PlainText"/>
        <w:numPr>
          <w:ilvl w:val="0"/>
          <w:numId w:val="2"/>
        </w:numPr>
        <w:ind w:hanging="360" w:left="360"/>
        <w:rPr>
          <w:rFonts w:ascii="Times New Roman" w:hAnsi="Times New Roman" w:cs="Times New Roman"/>
          <w:sz w:val="24"/>
          <w:szCs w:val="24"/>
        </w:rPr>
      </w:pPr>
      <w:bookmarkStart w:id="0" w:name="_Hlk183171579"/>
      <w:r>
        <w:rPr>
          <w:rFonts w:cs="Times New Roman" w:ascii="Times New Roman" w:hAnsi="Times New Roman"/>
          <w:sz w:val="24"/>
          <w:szCs w:val="24"/>
        </w:rPr>
        <w:t xml:space="preserve">A discount is applied if the fee is paid in advance, a flat fee of $1,999 paid in advance for 12 months, which includes up to 80 introductions (Made in the first month). </w:t>
      </w:r>
      <w:bookmarkEnd w:id="0"/>
    </w:p>
    <w:p>
      <w:pPr>
        <w:pStyle w:val="PlainText"/>
        <w:numPr>
          <w:ilvl w:val="0"/>
          <w:numId w:val="2"/>
        </w:numPr>
        <w:ind w:hanging="360" w:left="360"/>
        <w:rPr>
          <w:rFonts w:ascii="Times New Roman" w:hAnsi="Times New Roman" w:cs="Times New Roman"/>
          <w:sz w:val="24"/>
          <w:szCs w:val="24"/>
        </w:rPr>
      </w:pPr>
      <w:r>
        <w:rPr>
          <w:rFonts w:cs="Times New Roman" w:ascii="Times New Roman" w:hAnsi="Times New Roman"/>
          <w:sz w:val="24"/>
          <w:szCs w:val="24"/>
        </w:rPr>
        <w:t>Ongoing updates to the documents in the data room and ongoing updates to the capital match database are included in the monthly SaaS (Up to 2 hours per month)</w:t>
      </w:r>
    </w:p>
    <w:p>
      <w:pPr>
        <w:pStyle w:val="PlainText"/>
        <w:numPr>
          <w:ilvl w:val="0"/>
          <w:numId w:val="2"/>
        </w:numPr>
        <w:ind w:hanging="360" w:left="360"/>
        <w:rPr>
          <w:rFonts w:ascii="Times New Roman" w:hAnsi="Times New Roman" w:cs="Times New Roman"/>
          <w:sz w:val="24"/>
          <w:szCs w:val="24"/>
        </w:rPr>
      </w:pPr>
      <w:r>
        <w:rPr>
          <w:rFonts w:cs="Times New Roman" w:ascii="Times New Roman" w:hAnsi="Times New Roman"/>
          <w:sz w:val="24"/>
          <w:szCs w:val="24"/>
        </w:rPr>
        <w:t>The development of the Pro forma is $250 per hour (Estimating 6-10 hours)</w:t>
      </w:r>
    </w:p>
    <w:p>
      <w:pPr>
        <w:pStyle w:val="PlainText"/>
        <w:numPr>
          <w:ilvl w:val="0"/>
          <w:numId w:val="2"/>
        </w:numPr>
        <w:ind w:hanging="360" w:left="360"/>
        <w:rPr>
          <w:rFonts w:ascii="Times New Roman" w:hAnsi="Times New Roman" w:cs="Times New Roman"/>
          <w:sz w:val="24"/>
          <w:szCs w:val="24"/>
        </w:rPr>
      </w:pPr>
      <w:r>
        <w:rPr>
          <w:rFonts w:cs="Times New Roman" w:ascii="Times New Roman" w:hAnsi="Times New Roman"/>
          <w:sz w:val="24"/>
          <w:szCs w:val="24"/>
        </w:rPr>
        <w:t>The Business Model canvas is $250 per hour (Estimating 3 hours)</w:t>
      </w:r>
    </w:p>
    <w:p>
      <w:pPr>
        <w:pStyle w:val="PlainText"/>
        <w:rPr>
          <w:rFonts w:ascii="Times New Roman" w:hAnsi="Times New Roman" w:cs="Times New Roman"/>
          <w:sz w:val="24"/>
          <w:szCs w:val="24"/>
        </w:rPr>
      </w:pPr>
      <w:r>
        <w:rPr>
          <w:rFonts w:cs="Times New Roman" w:ascii="Times New Roman" w:hAnsi="Times New Roman"/>
          <w:sz w:val="24"/>
          <w:szCs w:val="24"/>
        </w:rPr>
      </w:r>
    </w:p>
    <w:p>
      <w:pPr>
        <w:pStyle w:val="PlainText"/>
        <w:rPr>
          <w:rFonts w:ascii="Times New Roman" w:hAnsi="Times New Roman" w:cs="Times New Roman"/>
          <w:b/>
          <w:bCs/>
          <w:sz w:val="24"/>
          <w:szCs w:val="24"/>
          <w:u w:val="single"/>
        </w:rPr>
      </w:pPr>
      <w:r>
        <w:rPr>
          <w:rFonts w:cs="Times New Roman" w:ascii="Times New Roman" w:hAnsi="Times New Roman"/>
          <w:b/>
          <w:bCs/>
          <w:sz w:val="24"/>
          <w:szCs w:val="24"/>
          <w:u w:val="single"/>
        </w:rPr>
        <w:t>Indicate which of these options for the Engagement:</w:t>
      </w:r>
    </w:p>
    <w:p>
      <w:pPr>
        <w:pStyle w:val="PlainText"/>
        <w:numPr>
          <w:ilvl w:val="0"/>
          <w:numId w:val="5"/>
        </w:numPr>
        <w:ind w:hanging="360" w:left="360"/>
        <w:rPr>
          <w:rFonts w:ascii="Times New Roman" w:hAnsi="Times New Roman" w:cs="Times New Roman"/>
          <w:sz w:val="24"/>
          <w:szCs w:val="24"/>
        </w:rPr>
      </w:pPr>
      <w:r>
        <w:rPr>
          <w:rFonts w:cs="Times New Roman" w:ascii="Times New Roman" w:hAnsi="Times New Roman"/>
          <w:sz w:val="24"/>
          <w:szCs w:val="24"/>
        </w:rPr>
        <w:t>$199 Due Now and each month thereafter for one year.  Monthly $199 (We will invoice you for $199 today, we will provide you with the first six capital matches), we will provide access to your data room.</w:t>
      </w:r>
    </w:p>
    <w:p>
      <w:pPr>
        <w:pStyle w:val="PlainText"/>
        <w:numPr>
          <w:ilvl w:val="0"/>
          <w:numId w:val="5"/>
        </w:numPr>
        <w:ind w:hanging="360" w:left="360"/>
        <w:rPr>
          <w:rFonts w:ascii="Times New Roman" w:hAnsi="Times New Roman" w:cs="Times New Roman"/>
          <w:sz w:val="24"/>
          <w:szCs w:val="24"/>
        </w:rPr>
      </w:pPr>
      <w:r>
        <w:rPr>
          <w:rFonts w:cs="Times New Roman" w:ascii="Times New Roman" w:hAnsi="Times New Roman"/>
          <w:sz w:val="24"/>
          <w:szCs w:val="24"/>
        </w:rPr>
        <w:t>$2,699 Due Now.  Monthly $199 with financial model, valuation and business model canvas.  We will invoice you for $2,699 (First $199 monthly SaaS fee and 10 hours @ $250 per hour for services).  We will complete the financial model, valuation and business model canvas within one week. we will provide you with the first six capital matches), we will provide you with access to your data room.</w:t>
      </w:r>
    </w:p>
    <w:p>
      <w:pPr>
        <w:pStyle w:val="PlainText"/>
        <w:numPr>
          <w:ilvl w:val="0"/>
          <w:numId w:val="5"/>
        </w:numPr>
        <w:ind w:hanging="360" w:left="360"/>
        <w:rPr>
          <w:rFonts w:ascii="Times New Roman" w:hAnsi="Times New Roman" w:cs="Times New Roman"/>
          <w:sz w:val="24"/>
          <w:szCs w:val="24"/>
        </w:rPr>
      </w:pPr>
      <w:r>
        <w:rPr>
          <w:rFonts w:cs="Times New Roman" w:ascii="Times New Roman" w:hAnsi="Times New Roman"/>
          <w:sz w:val="24"/>
          <w:szCs w:val="24"/>
        </w:rPr>
        <w:t>$4,499 Due Now.  Annual services including data room subscription pre-paid.  Fixed-price Business Finance Document service pre-paid.  80 introductions made within the first month.</w:t>
      </w:r>
    </w:p>
    <w:p>
      <w:pPr>
        <w:pStyle w:val="PlainText"/>
        <w:rPr>
          <w:rFonts w:ascii="Times New Roman" w:hAnsi="Times New Roman" w:cs="Times New Roman"/>
          <w:sz w:val="24"/>
          <w:szCs w:val="24"/>
        </w:rPr>
      </w:pPr>
      <w:r>
        <w:rPr>
          <w:rFonts w:cs="Times New Roman" w:ascii="Times New Roman" w:hAnsi="Times New Roman"/>
          <w:sz w:val="24"/>
          <w:szCs w:val="24"/>
        </w:rPr>
      </w:r>
    </w:p>
    <w:p>
      <w:pPr>
        <w:pStyle w:val="PlainText"/>
        <w:numPr>
          <w:ilvl w:val="0"/>
          <w:numId w:val="5"/>
        </w:numPr>
        <w:ind w:hanging="360" w:left="360"/>
        <w:rPr>
          <w:rFonts w:ascii="Times New Roman" w:hAnsi="Times New Roman" w:cs="Times New Roman"/>
          <w:b/>
          <w:bCs/>
          <w:sz w:val="24"/>
          <w:szCs w:val="24"/>
          <w:u w:val="single"/>
        </w:rPr>
      </w:pPr>
      <w:r>
        <w:rPr>
          <w:rFonts w:cs="Times New Roman" w:ascii="Times New Roman" w:hAnsi="Times New Roman"/>
          <w:b/>
          <w:bCs/>
          <w:sz w:val="24"/>
          <w:szCs w:val="24"/>
          <w:u w:val="single"/>
        </w:rPr>
        <w:t>GOLD Package $5,988)</w:t>
      </w:r>
    </w:p>
    <w:p>
      <w:pPr>
        <w:pStyle w:val="PlainText"/>
        <w:numPr>
          <w:ilvl w:val="0"/>
          <w:numId w:val="3"/>
        </w:numPr>
        <w:rPr>
          <w:rFonts w:ascii="Times New Roman" w:hAnsi="Times New Roman" w:cs="Times New Roman"/>
          <w:sz w:val="24"/>
          <w:szCs w:val="24"/>
        </w:rPr>
      </w:pPr>
      <w:r>
        <w:rPr>
          <w:rFonts w:cs="Times New Roman" w:ascii="Times New Roman" w:hAnsi="Times New Roman"/>
          <w:sz w:val="24"/>
          <w:szCs w:val="24"/>
        </w:rPr>
        <w:t>Includes the FINFIRE Report</w:t>
      </w:r>
    </w:p>
    <w:p>
      <w:pPr>
        <w:pStyle w:val="PlainText"/>
        <w:numPr>
          <w:ilvl w:val="0"/>
          <w:numId w:val="3"/>
        </w:numPr>
        <w:rPr>
          <w:rFonts w:ascii="Times New Roman" w:hAnsi="Times New Roman" w:cs="Times New Roman"/>
          <w:sz w:val="24"/>
          <w:szCs w:val="24"/>
        </w:rPr>
      </w:pPr>
      <w:r>
        <w:rPr>
          <w:rFonts w:cs="Times New Roman" w:ascii="Times New Roman" w:hAnsi="Times New Roman"/>
          <w:sz w:val="24"/>
          <w:szCs w:val="24"/>
        </w:rPr>
        <w:t>The gold package is $499 per month for a period of 12 months</w:t>
      </w:r>
    </w:p>
    <w:p>
      <w:pPr>
        <w:pStyle w:val="PlainText"/>
        <w:numPr>
          <w:ilvl w:val="0"/>
          <w:numId w:val="3"/>
        </w:numPr>
        <w:rPr>
          <w:rFonts w:ascii="Times New Roman" w:hAnsi="Times New Roman" w:cs="Times New Roman"/>
          <w:sz w:val="24"/>
          <w:szCs w:val="24"/>
        </w:rPr>
      </w:pPr>
      <w:r>
        <w:rPr>
          <w:rFonts w:cs="Times New Roman" w:ascii="Times New Roman" w:hAnsi="Times New Roman"/>
          <w:sz w:val="24"/>
          <w:szCs w:val="24"/>
        </w:rPr>
        <w:t>The Gold package includes everything from the Silver package.</w:t>
      </w:r>
    </w:p>
    <w:p>
      <w:pPr>
        <w:pStyle w:val="PlainText"/>
        <w:numPr>
          <w:ilvl w:val="0"/>
          <w:numId w:val="3"/>
        </w:numPr>
        <w:rPr>
          <w:rFonts w:ascii="Times New Roman" w:hAnsi="Times New Roman" w:cs="Times New Roman"/>
          <w:sz w:val="24"/>
          <w:szCs w:val="24"/>
        </w:rPr>
      </w:pPr>
      <w:r>
        <w:rPr>
          <w:rFonts w:cs="Times New Roman" w:ascii="Times New Roman" w:hAnsi="Times New Roman"/>
          <w:sz w:val="24"/>
          <w:szCs w:val="24"/>
        </w:rPr>
        <w:t>Includes a 10-minute podcast of the opportunity generated by FINFIRE AI</w:t>
      </w:r>
    </w:p>
    <w:p>
      <w:pPr>
        <w:pStyle w:val="PlainText"/>
        <w:numPr>
          <w:ilvl w:val="0"/>
          <w:numId w:val="3"/>
        </w:numPr>
        <w:rPr>
          <w:rFonts w:ascii="Times New Roman" w:hAnsi="Times New Roman" w:cs="Times New Roman"/>
          <w:sz w:val="24"/>
          <w:szCs w:val="24"/>
        </w:rPr>
      </w:pPr>
      <w:r>
        <w:rPr>
          <w:rFonts w:cs="Times New Roman" w:ascii="Times New Roman" w:hAnsi="Times New Roman"/>
          <w:sz w:val="24"/>
          <w:szCs w:val="24"/>
        </w:rPr>
        <w:t>Includes twelve matches at no additional charge per month ($300 value)</w:t>
      </w:r>
    </w:p>
    <w:p>
      <w:pPr>
        <w:pStyle w:val="PlainText"/>
        <w:numPr>
          <w:ilvl w:val="0"/>
          <w:numId w:val="3"/>
        </w:numPr>
        <w:rPr>
          <w:rFonts w:ascii="Times New Roman" w:hAnsi="Times New Roman" w:cs="Times New Roman"/>
          <w:sz w:val="24"/>
          <w:szCs w:val="24"/>
        </w:rPr>
      </w:pPr>
      <w:r>
        <w:rPr>
          <w:rFonts w:cs="Times New Roman" w:ascii="Times New Roman" w:hAnsi="Times New Roman"/>
          <w:sz w:val="24"/>
          <w:szCs w:val="24"/>
        </w:rPr>
        <w:t xml:space="preserve">A discount is applied if the fee is paid in advance, a flat fee of $4,999 paid in advance for 12 months, which includes up to 200 introductions (Made in the first month). </w:t>
      </w:r>
    </w:p>
    <w:p>
      <w:pPr>
        <w:pStyle w:val="PlainText"/>
        <w:numPr>
          <w:ilvl w:val="0"/>
          <w:numId w:val="3"/>
        </w:numPr>
        <w:rPr>
          <w:rFonts w:ascii="Times New Roman" w:hAnsi="Times New Roman" w:cs="Times New Roman"/>
          <w:sz w:val="24"/>
          <w:szCs w:val="24"/>
        </w:rPr>
      </w:pPr>
      <w:r>
        <w:rPr>
          <w:rFonts w:cs="Times New Roman" w:ascii="Times New Roman" w:hAnsi="Times New Roman"/>
          <w:sz w:val="24"/>
          <w:szCs w:val="24"/>
        </w:rPr>
        <w:t xml:space="preserve">Gold Enterprises receive up to two hours of consultation for either (1) Capital Marketing Services (Personal introductions to Capital sources via conference calls or zoom), </w:t>
      </w:r>
      <w:r>
        <w:rPr>
          <w:rFonts w:cs="Times New Roman" w:ascii="Times New Roman" w:hAnsi="Times New Roman"/>
          <w:sz w:val="24"/>
          <w:szCs w:val="24"/>
          <w:u w:val="single"/>
        </w:rPr>
        <w:t>OR</w:t>
      </w:r>
      <w:r>
        <w:rPr>
          <w:rFonts w:cs="Times New Roman" w:ascii="Times New Roman" w:hAnsi="Times New Roman"/>
          <w:sz w:val="24"/>
          <w:szCs w:val="24"/>
        </w:rPr>
        <w:t xml:space="preserve">, (2) two hours of business finance document creation (Valuations, pro forma work, 1-page tear sheet, 10-minute podcast, and/or Business model Canvas). </w:t>
      </w:r>
    </w:p>
    <w:p>
      <w:pPr>
        <w:pStyle w:val="PlainText"/>
        <w:rPr>
          <w:rFonts w:ascii="Times New Roman" w:hAnsi="Times New Roman" w:cs="Times New Roman"/>
          <w:sz w:val="24"/>
          <w:szCs w:val="24"/>
        </w:rPr>
      </w:pPr>
      <w:r>
        <w:rPr>
          <w:rFonts w:cs="Times New Roman" w:ascii="Times New Roman" w:hAnsi="Times New Roman"/>
          <w:sz w:val="24"/>
          <w:szCs w:val="24"/>
        </w:rPr>
      </w:r>
    </w:p>
    <w:p>
      <w:pPr>
        <w:pStyle w:val="PlainText"/>
        <w:rPr>
          <w:rFonts w:ascii="Times New Roman" w:hAnsi="Times New Roman" w:cs="Times New Roman"/>
          <w:b/>
          <w:bCs/>
          <w:sz w:val="24"/>
          <w:szCs w:val="24"/>
          <w:u w:val="single"/>
        </w:rPr>
      </w:pPr>
      <w:r>
        <w:rPr>
          <w:rFonts w:cs="Times New Roman" w:ascii="Times New Roman" w:hAnsi="Times New Roman"/>
          <w:b/>
          <w:bCs/>
          <w:sz w:val="24"/>
          <w:szCs w:val="24"/>
          <w:u w:val="single"/>
        </w:rPr>
        <w:t>Indicate which of these options for the Engagement:</w:t>
      </w:r>
    </w:p>
    <w:p>
      <w:pPr>
        <w:pStyle w:val="PlainText"/>
        <w:numPr>
          <w:ilvl w:val="0"/>
          <w:numId w:val="5"/>
        </w:numPr>
        <w:ind w:hanging="360" w:left="360"/>
        <w:rPr>
          <w:rFonts w:ascii="Times New Roman" w:hAnsi="Times New Roman" w:cs="Times New Roman"/>
          <w:sz w:val="24"/>
          <w:szCs w:val="24"/>
        </w:rPr>
      </w:pPr>
      <w:r>
        <w:rPr>
          <w:rFonts w:cs="Times New Roman" w:ascii="Times New Roman" w:hAnsi="Times New Roman"/>
          <w:sz w:val="24"/>
          <w:szCs w:val="24"/>
        </w:rPr>
        <w:t>$499 Due Now and $499 each month thereafter for one year.  We will invoice you for $499 today, we will provide you with the first twelve capital matches, we will provide access to your data room.</w:t>
      </w:r>
    </w:p>
    <w:p>
      <w:pPr>
        <w:pStyle w:val="PlainText"/>
        <w:numPr>
          <w:ilvl w:val="0"/>
          <w:numId w:val="5"/>
        </w:numPr>
        <w:ind w:hanging="360" w:left="360"/>
        <w:rPr>
          <w:rFonts w:ascii="Times New Roman" w:hAnsi="Times New Roman" w:cs="Times New Roman"/>
          <w:sz w:val="24"/>
          <w:szCs w:val="24"/>
        </w:rPr>
      </w:pPr>
      <w:r>
        <w:rPr>
          <w:rFonts w:cs="Times New Roman" w:ascii="Times New Roman" w:hAnsi="Times New Roman"/>
          <w:sz w:val="24"/>
          <w:szCs w:val="24"/>
        </w:rPr>
        <w:t>$2,999 Due Now.  Monthly $499 with financial model, valuation and business model canvas.  We will invoice you for $2,999 (First $499 monthly SaaS fee and 10 hours @ $250 per hour for services).  We will complete the financial model, valuation and business model canvas within one week. we will provide you with the first twelve capital matches, we will provide you with access to your data room.</w:t>
      </w:r>
    </w:p>
    <w:p>
      <w:pPr>
        <w:pStyle w:val="PlainText"/>
        <w:numPr>
          <w:ilvl w:val="0"/>
          <w:numId w:val="5"/>
        </w:numPr>
        <w:ind w:hanging="360" w:left="360"/>
        <w:rPr>
          <w:rFonts w:ascii="Times New Roman" w:hAnsi="Times New Roman" w:cs="Times New Roman"/>
          <w:sz w:val="24"/>
          <w:szCs w:val="24"/>
        </w:rPr>
      </w:pPr>
      <w:r>
        <w:rPr>
          <w:rFonts w:cs="Times New Roman" w:ascii="Times New Roman" w:hAnsi="Times New Roman"/>
          <w:sz w:val="24"/>
          <w:szCs w:val="24"/>
        </w:rPr>
        <w:t>$4,999 Due Now.  Annual services including data room subscription pre-paid.  Fixed-price Business Finance Document service pre-paid.  200 introductions made within the first month.  If purchased individually, this package would be $9,988 (A 50% Discount for paying up front).</w:t>
      </w:r>
    </w:p>
    <w:p>
      <w:pPr>
        <w:pStyle w:val="PlainText"/>
        <w:rPr>
          <w:rFonts w:ascii="Times New Roman" w:hAnsi="Times New Roman" w:cs="Times New Roman"/>
          <w:sz w:val="24"/>
          <w:szCs w:val="24"/>
        </w:rPr>
      </w:pPr>
      <w:r>
        <w:rPr>
          <w:rFonts w:cs="Times New Roman" w:ascii="Times New Roman" w:hAnsi="Times New Roman"/>
          <w:sz w:val="24"/>
          <w:szCs w:val="24"/>
        </w:rPr>
      </w:r>
    </w:p>
    <w:p>
      <w:pPr>
        <w:pStyle w:val="PlainText"/>
        <w:rPr>
          <w:rFonts w:ascii="Times New Roman" w:hAnsi="Times New Roman" w:cs="Times New Roman"/>
          <w:b/>
          <w:bCs/>
          <w:sz w:val="24"/>
          <w:szCs w:val="24"/>
          <w:u w:val="single"/>
        </w:rPr>
      </w:pPr>
      <w:r>
        <w:rPr>
          <w:rFonts w:cs="Times New Roman" w:ascii="Times New Roman" w:hAnsi="Times New Roman"/>
          <w:b/>
          <w:bCs/>
          <w:sz w:val="24"/>
          <w:szCs w:val="24"/>
          <w:u w:val="single"/>
        </w:rPr>
        <w:t>PLATINUM</w:t>
      </w:r>
    </w:p>
    <w:p>
      <w:pPr>
        <w:pStyle w:val="PlainText"/>
        <w:numPr>
          <w:ilvl w:val="0"/>
          <w:numId w:val="4"/>
        </w:numPr>
        <w:ind w:hanging="360" w:left="360"/>
        <w:rPr>
          <w:rFonts w:ascii="Times New Roman" w:hAnsi="Times New Roman" w:cs="Times New Roman"/>
          <w:sz w:val="24"/>
          <w:szCs w:val="24"/>
        </w:rPr>
      </w:pPr>
      <w:r>
        <w:rPr>
          <w:rFonts w:cs="Times New Roman" w:ascii="Times New Roman" w:hAnsi="Times New Roman"/>
          <w:sz w:val="24"/>
          <w:szCs w:val="24"/>
        </w:rPr>
        <w:t>$10,000 Due Now.  The platinum package includes everything from the Gold package plus up to 400 market introductions, Ongoing subscription services, Data room, up to 5 hours per month of business finance consulting, business finance document continually updated, list of 400 investors updated and introductions made on an ongoing basis for up one year.  If purchased individually, the value of this package is $23,000 (55% Discount if paid up front).</w:t>
      </w:r>
    </w:p>
    <w:p>
      <w:pPr>
        <w:pStyle w:val="PlainText"/>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b/>
          <w:bCs/>
          <w:sz w:val="24"/>
          <w:szCs w:val="24"/>
          <w:u w:val="single"/>
        </w:rPr>
      </w:pPr>
      <w:r>
        <w:rPr>
          <w:rFonts w:cs="Times New Roman" w:ascii="Times New Roman" w:hAnsi="Times New Roman"/>
          <w:b/>
          <w:bCs/>
          <w:sz w:val="24"/>
          <w:szCs w:val="24"/>
          <w:u w:val="single"/>
        </w:rPr>
        <w:t>A-La-Carte</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 xml:space="preserve">Enterprises may choose to purchase introductions a’ la carte – for $25 each, There is no minimum purchase.  A discount is applied when purchasing more than 50 introductions (Price is reduced to $20 each).  For example, the Enterprise matched 200 capital market members. If The Enterprise purchases all 200, the price is $4,000. FINFIRE will provide a list of all contacts, including LinkedIn, phone, email, and physical address. FINFIRE will also make an individual email introduction and a follow-up text message introduction.  </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If choosing a-la-carte introductions, they are $25 each for the first 50, and $20 each thereafter.  If choosing this option, please indicate the number of introductions being purchased via email.</w:t>
      </w:r>
    </w:p>
    <w:p>
      <w:pPr>
        <w:pStyle w:val="ListParagraph"/>
        <w:spacing w:lineRule="auto" w:line="240" w:before="0" w:after="0"/>
        <w:ind w:left="0"/>
        <w:contextualSpacing/>
        <w:jc w:val="both"/>
        <w:rPr>
          <w:rFonts w:ascii="Times New Roman" w:hAnsi="Times New Roman" w:cs="Times New Roman"/>
          <w:sz w:val="16"/>
          <w:szCs w:val="16"/>
        </w:rPr>
      </w:pPr>
      <w:r>
        <w:rPr>
          <w:rFonts w:cs="Times New Roman" w:ascii="Times New Roman" w:hAnsi="Times New Roman"/>
          <w:sz w:val="16"/>
          <w:szCs w:val="16"/>
        </w:rPr>
      </w:r>
    </w:p>
    <w:p>
      <w:pPr>
        <w:pStyle w:val="Normal"/>
        <w:spacing w:lineRule="auto" w:line="240" w:before="0" w:after="0"/>
        <w:jc w:val="both"/>
        <w:rPr>
          <w:rFonts w:ascii="Times New Roman" w:hAnsi="Times New Roman" w:cs="Times New Roman"/>
        </w:rPr>
      </w:pPr>
      <w:r>
        <w:rPr>
          <w:rFonts w:cs="Times New Roman" w:ascii="Times New Roman" w:hAnsi="Times New Roman"/>
        </w:rPr>
        <w:t>4. CONFIDENTIALITY</w:t>
      </w:r>
    </w:p>
    <w:p>
      <w:pPr>
        <w:pStyle w:val="Normal"/>
        <w:spacing w:lineRule="auto" w:line="240" w:before="0" w:after="0"/>
        <w:jc w:val="both"/>
        <w:rPr>
          <w:rFonts w:ascii="Times New Roman" w:hAnsi="Times New Roman" w:cs="Times New Roman"/>
          <w:sz w:val="16"/>
          <w:szCs w:val="16"/>
        </w:rPr>
      </w:pPr>
      <w:r>
        <w:rPr>
          <w:rFonts w:cs="Times New Roman" w:ascii="Times New Roman" w:hAnsi="Times New Roman"/>
          <w:sz w:val="16"/>
          <w:szCs w:val="16"/>
        </w:rPr>
      </w:r>
    </w:p>
    <w:p>
      <w:pPr>
        <w:pStyle w:val="Normal"/>
        <w:spacing w:lineRule="auto" w:line="240" w:before="0" w:after="0"/>
        <w:jc w:val="both"/>
        <w:rPr>
          <w:rFonts w:ascii="Times New Roman" w:hAnsi="Times New Roman" w:cs="Times New Roman"/>
        </w:rPr>
      </w:pPr>
      <w:r>
        <w:rPr>
          <w:rFonts w:cs="Times New Roman" w:ascii="Times New Roman" w:hAnsi="Times New Roman"/>
        </w:rPr>
        <w:t xml:space="preserve">4.1  </w:t>
      </w:r>
      <w:r>
        <w:rPr>
          <w:rFonts w:cs="Times New Roman" w:ascii="Times New Roman" w:hAnsi="Times New Roman"/>
          <w:b/>
          <w:bCs/>
        </w:rPr>
        <w:t>Mutual Confidentiality</w:t>
      </w:r>
      <w:r>
        <w:rPr>
          <w:rFonts w:cs="Times New Roman" w:ascii="Times New Roman" w:hAnsi="Times New Roman"/>
        </w:rPr>
        <w:t>. Mutual confidentiality shall exist between Company and Enterprise.  Company and Enterprise shall not disclose, without the consent of the other party, any financial and business information concerning the business, affairs, plans and programs of Company, Enterprise or third-party Enterprises, provided such information is plainly and prominently marked in writing by the disclosing party as being confidential (the "Confidential Information"). The parties shall not be bound by the foregoing limitation in the event (i) the Confidential Information is otherwise disseminated and becomes public information or (ii) the party(ies) is required to disclose the Confidential Informational pursuant to a subpoena or other judicial order.</w:t>
      </w:r>
    </w:p>
    <w:p>
      <w:pPr>
        <w:pStyle w:val="Normal"/>
        <w:spacing w:lineRule="auto" w:line="240" w:before="0" w:after="0"/>
        <w:jc w:val="both"/>
        <w:rPr>
          <w:rFonts w:ascii="Times New Roman" w:hAnsi="Times New Roman" w:cs="Times New Roman"/>
          <w:sz w:val="16"/>
          <w:szCs w:val="16"/>
        </w:rPr>
      </w:pPr>
      <w:r>
        <w:rPr>
          <w:rFonts w:cs="Times New Roman" w:ascii="Times New Roman" w:hAnsi="Times New Roman"/>
        </w:rPr>
        <w:t> </w:t>
      </w:r>
    </w:p>
    <w:p>
      <w:pPr>
        <w:pStyle w:val="Normal"/>
        <w:spacing w:lineRule="auto" w:line="240" w:before="0" w:after="0"/>
        <w:jc w:val="both"/>
        <w:rPr>
          <w:rFonts w:ascii="Times New Roman" w:hAnsi="Times New Roman" w:cs="Times New Roman"/>
        </w:rPr>
      </w:pPr>
      <w:r>
        <w:rPr>
          <w:rFonts w:cs="Times New Roman" w:ascii="Times New Roman" w:hAnsi="Times New Roman"/>
        </w:rPr>
        <w:t>4.2 “</w:t>
      </w:r>
      <w:r>
        <w:rPr>
          <w:rFonts w:cs="Times New Roman" w:ascii="Times New Roman" w:hAnsi="Times New Roman"/>
          <w:b/>
          <w:bCs/>
        </w:rPr>
        <w:t>Confidential Information</w:t>
      </w:r>
      <w:r>
        <w:rPr>
          <w:rFonts w:cs="Times New Roman" w:ascii="Times New Roman" w:hAnsi="Times New Roman"/>
        </w:rPr>
        <w:t>” means information furnished by the disclosing party, whether orally, in writing, electronically, in other tangible form or format, or through or by observation, and identified as confidential or proprietary or otherwise disclosed in a manner such that a reasonable person would understand its confidential nature.  Confidential Information includes, without limitation:</w:t>
      </w:r>
    </w:p>
    <w:p>
      <w:pPr>
        <w:pStyle w:val="Normal"/>
        <w:spacing w:lineRule="auto" w:line="240" w:before="0" w:after="0"/>
        <w:jc w:val="both"/>
        <w:rPr>
          <w:rFonts w:ascii="Times New Roman" w:hAnsi="Times New Roman" w:cs="Times New Roman"/>
        </w:rPr>
      </w:pPr>
      <w:r>
        <w:rPr>
          <w:rFonts w:cs="Times New Roman" w:ascii="Times New Roman" w:hAnsi="Times New Roman"/>
        </w:rPr>
      </w:r>
    </w:p>
    <w:p>
      <w:pPr>
        <w:pStyle w:val="Normal"/>
        <w:spacing w:lineRule="auto" w:line="240" w:before="0" w:after="0"/>
        <w:jc w:val="both"/>
        <w:rPr>
          <w:rFonts w:ascii="Times New Roman" w:hAnsi="Times New Roman" w:cs="Times New Roman"/>
        </w:rPr>
      </w:pPr>
      <w:r>
        <w:rPr>
          <w:rFonts w:cs="Times New Roman" w:ascii="Times New Roman" w:hAnsi="Times New Roman"/>
        </w:rPr>
        <w:t>               </w:t>
      </w:r>
      <w:r>
        <w:rPr>
          <w:rFonts w:cs="Times New Roman" w:ascii="Times New Roman" w:hAnsi="Times New Roman"/>
        </w:rPr>
        <w:t>(i) information that is related to products, product plans, services, service plans, market studies, reports, documentation, drawings, computer programs, software code (object or source codes), inventions (whether patentable or not), concepts, designs, flow charts, diagrams, product specifications, formulas, data, schematics, customer and supplier lists, price lists, designs, creations, models, business materials, work-in-progress, methods of manufacture, technical information, know-how, improvements, and Trade Secrets (as defined below);</w:t>
      </w:r>
    </w:p>
    <w:p>
      <w:pPr>
        <w:pStyle w:val="Normal"/>
        <w:spacing w:lineRule="auto" w:line="240" w:before="0" w:after="0"/>
        <w:jc w:val="both"/>
        <w:rPr>
          <w:rFonts w:ascii="Times New Roman" w:hAnsi="Times New Roman" w:cs="Times New Roman"/>
          <w:sz w:val="16"/>
          <w:szCs w:val="16"/>
        </w:rPr>
      </w:pPr>
      <w:r>
        <w:rPr>
          <w:rFonts w:cs="Times New Roman" w:ascii="Times New Roman" w:hAnsi="Times New Roman"/>
          <w:sz w:val="16"/>
          <w:szCs w:val="16"/>
        </w:rPr>
      </w:r>
    </w:p>
    <w:p>
      <w:pPr>
        <w:pStyle w:val="Normal"/>
        <w:spacing w:lineRule="auto" w:line="240" w:before="0" w:after="0"/>
        <w:jc w:val="both"/>
        <w:rPr>
          <w:rFonts w:ascii="Times New Roman" w:hAnsi="Times New Roman" w:cs="Times New Roman"/>
        </w:rPr>
      </w:pPr>
      <w:r>
        <w:rPr>
          <w:rFonts w:cs="Times New Roman" w:ascii="Times New Roman" w:hAnsi="Times New Roman"/>
        </w:rPr>
        <w:t>               </w:t>
      </w:r>
      <w:r>
        <w:rPr>
          <w:rFonts w:cs="Times New Roman" w:ascii="Times New Roman" w:hAnsi="Times New Roman"/>
        </w:rPr>
        <w:t>(ii) all information relating to the disclosing party or the business, business plans, markets, condition (financial or other), operations, assets, liabilities, results of operations, forecasts, strategies, cash flows or prospects of the disclosing party (whether prepared by the disclosing party, its advisors or otherwise), historical or projected financial statements, budgets, sales, capital spending budgets, plans, or identities of key personnel; and</w:t>
      </w:r>
    </w:p>
    <w:p>
      <w:pPr>
        <w:pStyle w:val="Normal"/>
        <w:spacing w:lineRule="auto" w:line="240" w:before="0" w:after="0"/>
        <w:jc w:val="both"/>
        <w:rPr>
          <w:rFonts w:ascii="Times New Roman" w:hAnsi="Times New Roman" w:cs="Times New Roman"/>
          <w:sz w:val="16"/>
          <w:szCs w:val="16"/>
        </w:rPr>
      </w:pPr>
      <w:r>
        <w:rPr>
          <w:rFonts w:cs="Times New Roman" w:ascii="Times New Roman" w:hAnsi="Times New Roman"/>
          <w:sz w:val="16"/>
          <w:szCs w:val="16"/>
        </w:rPr>
      </w:r>
    </w:p>
    <w:p>
      <w:pPr>
        <w:pStyle w:val="Normal"/>
        <w:spacing w:lineRule="auto" w:line="240" w:before="0" w:after="0"/>
        <w:jc w:val="both"/>
        <w:rPr>
          <w:rFonts w:ascii="Times New Roman" w:hAnsi="Times New Roman" w:cs="Times New Roman"/>
        </w:rPr>
      </w:pPr>
      <w:r>
        <w:rPr>
          <w:rFonts w:cs="Times New Roman" w:ascii="Times New Roman" w:hAnsi="Times New Roman"/>
        </w:rPr>
        <w:t>               </w:t>
      </w:r>
      <w:r>
        <w:rPr>
          <w:rFonts w:cs="Times New Roman" w:ascii="Times New Roman" w:hAnsi="Times New Roman"/>
        </w:rPr>
        <w:t>(iii) any information about or concerning any third party (which information was provided to the disclosing party subject to an applicable confidentiality obligation to such third party) in each case disclosed or furnished by or on behalf of the disclosing party before, on or after the date hereof, whether or not marked or designated as confidential or proprietary.</w:t>
      </w:r>
    </w:p>
    <w:p>
      <w:pPr>
        <w:pStyle w:val="Normal"/>
        <w:spacing w:lineRule="auto" w:line="240" w:before="0" w:after="0"/>
        <w:jc w:val="both"/>
        <w:rPr>
          <w:rFonts w:ascii="Times New Roman" w:hAnsi="Times New Roman" w:cs="Times New Roman"/>
          <w:sz w:val="16"/>
          <w:szCs w:val="16"/>
        </w:rPr>
      </w:pPr>
      <w:r>
        <w:rPr>
          <w:rFonts w:cs="Times New Roman" w:ascii="Times New Roman" w:hAnsi="Times New Roman"/>
          <w:sz w:val="16"/>
          <w:szCs w:val="16"/>
        </w:rPr>
      </w:r>
    </w:p>
    <w:p>
      <w:pPr>
        <w:pStyle w:val="Normal"/>
        <w:spacing w:lineRule="auto" w:line="240" w:before="0" w:after="0"/>
        <w:jc w:val="both"/>
        <w:rPr>
          <w:rFonts w:ascii="Times New Roman" w:hAnsi="Times New Roman" w:cs="Times New Roman"/>
        </w:rPr>
      </w:pPr>
      <w:r>
        <w:rPr>
          <w:rFonts w:cs="Times New Roman" w:ascii="Times New Roman" w:hAnsi="Times New Roman"/>
        </w:rPr>
        <w:t> </w:t>
      </w:r>
      <w:r>
        <w:rPr>
          <w:rFonts w:cs="Times New Roman" w:ascii="Times New Roman" w:hAnsi="Times New Roman"/>
        </w:rPr>
        <w:t>Notwithstanding the foregoing, information shall not be considered Confidential Information for purposes of this Agreement, which can conclusively be demonstrated by independent written files or records if:</w:t>
      </w:r>
    </w:p>
    <w:p>
      <w:pPr>
        <w:pStyle w:val="Normal"/>
        <w:spacing w:lineRule="auto" w:line="240" w:before="0" w:after="0"/>
        <w:jc w:val="both"/>
        <w:rPr>
          <w:rFonts w:ascii="Times New Roman" w:hAnsi="Times New Roman" w:cs="Times New Roman"/>
          <w:sz w:val="16"/>
          <w:szCs w:val="16"/>
        </w:rPr>
      </w:pPr>
      <w:r>
        <w:rPr>
          <w:rFonts w:cs="Times New Roman" w:ascii="Times New Roman" w:hAnsi="Times New Roman"/>
          <w:sz w:val="16"/>
          <w:szCs w:val="16"/>
        </w:rPr>
      </w:r>
    </w:p>
    <w:p>
      <w:pPr>
        <w:pStyle w:val="Normal"/>
        <w:spacing w:lineRule="auto" w:line="240" w:before="0" w:after="0"/>
        <w:jc w:val="both"/>
        <w:rPr>
          <w:rFonts w:ascii="Times New Roman" w:hAnsi="Times New Roman" w:cs="Times New Roman"/>
        </w:rPr>
      </w:pPr>
      <w:r>
        <w:rPr>
          <w:rFonts w:cs="Times New Roman" w:ascii="Times New Roman" w:hAnsi="Times New Roman"/>
        </w:rPr>
        <w:t>               </w:t>
      </w:r>
      <w:r>
        <w:rPr>
          <w:rFonts w:cs="Times New Roman" w:ascii="Times New Roman" w:hAnsi="Times New Roman"/>
        </w:rPr>
        <w:t>(i)  the receiving party or its Enterprises already possess the information without an obligation of confidentiality at the time of disclosure;</w:t>
      </w:r>
    </w:p>
    <w:p>
      <w:pPr>
        <w:pStyle w:val="Normal"/>
        <w:spacing w:lineRule="auto" w:line="240" w:before="0" w:after="0"/>
        <w:jc w:val="both"/>
        <w:rPr>
          <w:rFonts w:ascii="Times New Roman" w:hAnsi="Times New Roman" w:cs="Times New Roman"/>
          <w:sz w:val="16"/>
          <w:szCs w:val="16"/>
        </w:rPr>
      </w:pPr>
      <w:r>
        <w:rPr>
          <w:rFonts w:cs="Times New Roman" w:ascii="Times New Roman" w:hAnsi="Times New Roman"/>
          <w:sz w:val="16"/>
          <w:szCs w:val="16"/>
        </w:rPr>
      </w:r>
    </w:p>
    <w:p>
      <w:pPr>
        <w:pStyle w:val="Normal"/>
        <w:spacing w:lineRule="auto" w:line="240" w:before="0" w:after="0"/>
        <w:jc w:val="both"/>
        <w:rPr>
          <w:rFonts w:ascii="Times New Roman" w:hAnsi="Times New Roman" w:cs="Times New Roman"/>
        </w:rPr>
      </w:pPr>
      <w:r>
        <w:rPr>
          <w:rFonts w:cs="Times New Roman" w:ascii="Times New Roman" w:hAnsi="Times New Roman"/>
        </w:rPr>
        <w:t>               </w:t>
      </w:r>
      <w:r>
        <w:rPr>
          <w:rFonts w:cs="Times New Roman" w:ascii="Times New Roman" w:hAnsi="Times New Roman"/>
        </w:rPr>
        <w:t>(ii)  the information is or becomes generally available to the public other than as a result of an unauthorized disclosure of such information or a violation of this Agreement by the receiving party or its Enterprises;</w:t>
      </w:r>
    </w:p>
    <w:p>
      <w:pPr>
        <w:pStyle w:val="Normal"/>
        <w:spacing w:lineRule="auto" w:line="240" w:before="0" w:after="0"/>
        <w:jc w:val="both"/>
        <w:rPr>
          <w:rFonts w:ascii="Times New Roman" w:hAnsi="Times New Roman" w:cs="Times New Roman"/>
          <w:sz w:val="16"/>
          <w:szCs w:val="16"/>
        </w:rPr>
      </w:pPr>
      <w:r>
        <w:rPr>
          <w:rFonts w:cs="Times New Roman" w:ascii="Times New Roman" w:hAnsi="Times New Roman"/>
          <w:sz w:val="16"/>
          <w:szCs w:val="16"/>
        </w:rPr>
      </w:r>
    </w:p>
    <w:p>
      <w:pPr>
        <w:pStyle w:val="Normal"/>
        <w:spacing w:lineRule="auto" w:line="240" w:before="0" w:after="0"/>
        <w:jc w:val="both"/>
        <w:rPr>
          <w:rFonts w:ascii="Times New Roman" w:hAnsi="Times New Roman" w:cs="Times New Roman"/>
        </w:rPr>
      </w:pPr>
      <w:r>
        <w:rPr>
          <w:rFonts w:cs="Times New Roman" w:ascii="Times New Roman" w:hAnsi="Times New Roman"/>
        </w:rPr>
        <w:t>               </w:t>
      </w:r>
      <w:r>
        <w:rPr>
          <w:rFonts w:cs="Times New Roman" w:ascii="Times New Roman" w:hAnsi="Times New Roman"/>
        </w:rPr>
        <w:t>(iii)  the information has been or is made available to the receiving party or its Enterprises by a third party that, to the receiving party's or its Enterprises’ knowledge, is not under an obligation of confidentiality to the disclosing party or its Enterprises; or</w:t>
      </w:r>
    </w:p>
    <w:p>
      <w:pPr>
        <w:pStyle w:val="Normal"/>
        <w:spacing w:lineRule="auto" w:line="240" w:before="0" w:after="0"/>
        <w:jc w:val="both"/>
        <w:rPr>
          <w:rFonts w:ascii="Times New Roman" w:hAnsi="Times New Roman" w:cs="Times New Roman"/>
          <w:sz w:val="16"/>
          <w:szCs w:val="16"/>
        </w:rPr>
      </w:pPr>
      <w:r>
        <w:rPr>
          <w:rFonts w:cs="Times New Roman" w:ascii="Times New Roman" w:hAnsi="Times New Roman"/>
          <w:sz w:val="16"/>
          <w:szCs w:val="16"/>
        </w:rPr>
      </w:r>
    </w:p>
    <w:p>
      <w:pPr>
        <w:pStyle w:val="Normal"/>
        <w:spacing w:lineRule="auto" w:line="240" w:before="0" w:after="0"/>
        <w:jc w:val="both"/>
        <w:rPr>
          <w:rFonts w:ascii="Times New Roman" w:hAnsi="Times New Roman" w:cs="Times New Roman"/>
        </w:rPr>
      </w:pPr>
      <w:r>
        <w:rPr>
          <w:rFonts w:cs="Times New Roman" w:ascii="Times New Roman" w:hAnsi="Times New Roman"/>
        </w:rPr>
        <w:t>               </w:t>
      </w:r>
      <w:r>
        <w:rPr>
          <w:rFonts w:cs="Times New Roman" w:ascii="Times New Roman" w:hAnsi="Times New Roman"/>
        </w:rPr>
        <w:t>(iv)  the information is independently developed by the receiving party or its Enterprises without violating any obligations in this Agreement.</w:t>
      </w:r>
    </w:p>
    <w:p>
      <w:pPr>
        <w:pStyle w:val="Normal"/>
        <w:spacing w:lineRule="auto" w:line="240" w:before="0" w:after="0"/>
        <w:jc w:val="both"/>
        <w:rPr>
          <w:rFonts w:ascii="Times New Roman" w:hAnsi="Times New Roman" w:cs="Times New Roman"/>
          <w:sz w:val="16"/>
          <w:szCs w:val="16"/>
        </w:rPr>
      </w:pPr>
      <w:r>
        <w:rPr>
          <w:rFonts w:cs="Times New Roman" w:ascii="Times New Roman" w:hAnsi="Times New Roman"/>
          <w:sz w:val="16"/>
          <w:szCs w:val="16"/>
        </w:rPr>
      </w:r>
    </w:p>
    <w:p>
      <w:pPr>
        <w:pStyle w:val="Normal"/>
        <w:spacing w:lineRule="auto" w:line="240" w:before="0" w:after="0"/>
        <w:jc w:val="both"/>
        <w:rPr>
          <w:rFonts w:ascii="Times New Roman" w:hAnsi="Times New Roman" w:cs="Times New Roman"/>
        </w:rPr>
      </w:pPr>
      <w:r>
        <w:rPr>
          <w:rFonts w:cs="Times New Roman" w:ascii="Times New Roman" w:hAnsi="Times New Roman"/>
        </w:rPr>
        <w:t> </w:t>
      </w:r>
      <w:r>
        <w:rPr>
          <w:rFonts w:cs="Times New Roman" w:ascii="Times New Roman" w:hAnsi="Times New Roman"/>
        </w:rPr>
        <w:t>4.3 “</w:t>
      </w:r>
      <w:r>
        <w:rPr>
          <w:rFonts w:cs="Times New Roman" w:ascii="Times New Roman" w:hAnsi="Times New Roman"/>
          <w:b/>
          <w:bCs/>
        </w:rPr>
        <w:t>Records” or “records</w:t>
      </w:r>
      <w:r>
        <w:rPr>
          <w:rFonts w:cs="Times New Roman" w:ascii="Times New Roman" w:hAnsi="Times New Roman"/>
        </w:rPr>
        <w:t>” means and includes writings, spreadsheets, presentations, web pages, emails, voicemails, drawings, graphs, charts, photographs, sound recordings, optical or magnetic disks, and data compilations in whatever form recorded or stored from, which information can be obtained and/or translated, if necessary, into reasonably usable form, and any reproductions thereof.</w:t>
      </w:r>
    </w:p>
    <w:p>
      <w:pPr>
        <w:pStyle w:val="Normal"/>
        <w:spacing w:lineRule="auto" w:line="240" w:before="0" w:after="0"/>
        <w:jc w:val="both"/>
        <w:rPr>
          <w:rFonts w:ascii="Times New Roman" w:hAnsi="Times New Roman" w:cs="Times New Roman"/>
          <w:sz w:val="16"/>
          <w:szCs w:val="16"/>
        </w:rPr>
      </w:pPr>
      <w:r>
        <w:rPr>
          <w:rFonts w:cs="Times New Roman" w:ascii="Times New Roman" w:hAnsi="Times New Roman"/>
          <w:sz w:val="16"/>
          <w:szCs w:val="16"/>
        </w:rPr>
      </w:r>
    </w:p>
    <w:p>
      <w:pPr>
        <w:pStyle w:val="Normal"/>
        <w:spacing w:lineRule="auto" w:line="240" w:before="0" w:after="0"/>
        <w:jc w:val="both"/>
        <w:rPr>
          <w:rFonts w:ascii="Times New Roman" w:hAnsi="Times New Roman" w:cs="Times New Roman"/>
        </w:rPr>
      </w:pPr>
      <w:r>
        <w:rPr>
          <w:rFonts w:cs="Times New Roman" w:ascii="Times New Roman" w:hAnsi="Times New Roman"/>
        </w:rPr>
        <w:t xml:space="preserve">4.4  </w:t>
      </w:r>
      <w:r>
        <w:rPr>
          <w:rFonts w:cs="Times New Roman" w:ascii="Times New Roman" w:hAnsi="Times New Roman"/>
          <w:b/>
          <w:bCs/>
        </w:rPr>
        <w:t>“Trade Secret(s)”</w:t>
      </w:r>
      <w:r>
        <w:rPr>
          <w:rFonts w:cs="Times New Roman" w:ascii="Times New Roman" w:hAnsi="Times New Roman"/>
        </w:rPr>
        <w:t xml:space="preserve"> means any information (a) that is actually secret; (b) where the disclosing party has taken reasonable measures to maintain its secrecy; and (c) independent economic value is derived from that secrecy.</w:t>
      </w:r>
    </w:p>
    <w:p>
      <w:pPr>
        <w:pStyle w:val="Normal"/>
        <w:spacing w:lineRule="auto" w:line="240" w:before="0" w:after="0"/>
        <w:jc w:val="both"/>
        <w:rPr>
          <w:rFonts w:ascii="Times New Roman" w:hAnsi="Times New Roman" w:cs="Times New Roman"/>
          <w:sz w:val="16"/>
          <w:szCs w:val="16"/>
        </w:rPr>
      </w:pPr>
      <w:r>
        <w:rPr>
          <w:rFonts w:cs="Times New Roman" w:ascii="Times New Roman" w:hAnsi="Times New Roman"/>
          <w:sz w:val="16"/>
          <w:szCs w:val="16"/>
        </w:rPr>
      </w:r>
    </w:p>
    <w:p>
      <w:pPr>
        <w:pStyle w:val="Normal"/>
        <w:spacing w:lineRule="auto" w:line="240" w:before="0" w:after="0"/>
        <w:jc w:val="both"/>
        <w:rPr>
          <w:rFonts w:ascii="Times New Roman" w:hAnsi="Times New Roman" w:cs="Times New Roman"/>
        </w:rPr>
      </w:pPr>
      <w:r>
        <w:rPr>
          <w:rFonts w:cs="Times New Roman" w:ascii="Times New Roman" w:hAnsi="Times New Roman"/>
        </w:rPr>
        <w:t xml:space="preserve">4.5 </w:t>
      </w:r>
      <w:r>
        <w:rPr>
          <w:rFonts w:cs="Times New Roman" w:ascii="Times New Roman" w:hAnsi="Times New Roman"/>
          <w:b/>
          <w:bCs/>
        </w:rPr>
        <w:t>Obligations.</w:t>
      </w:r>
      <w:r>
        <w:rPr>
          <w:rFonts w:cs="Times New Roman" w:ascii="Times New Roman" w:hAnsi="Times New Roman"/>
        </w:rPr>
        <w:t xml:space="preserve"> Mutual Obligations of Confidentiality and Non-Disclosure. For a period of Two years following the disclosure of Confidential Information, and for an indefinite period of time following the disclosure of Trade Secrets, the receiving party shall:</w:t>
      </w:r>
    </w:p>
    <w:p>
      <w:pPr>
        <w:pStyle w:val="Normal"/>
        <w:spacing w:lineRule="auto" w:line="240" w:before="0" w:after="0"/>
        <w:jc w:val="both"/>
        <w:rPr>
          <w:rFonts w:ascii="Times New Roman" w:hAnsi="Times New Roman" w:cs="Times New Roman"/>
          <w:sz w:val="16"/>
          <w:szCs w:val="16"/>
        </w:rPr>
      </w:pPr>
      <w:r>
        <w:rPr>
          <w:rFonts w:cs="Times New Roman" w:ascii="Times New Roman" w:hAnsi="Times New Roman"/>
          <w:sz w:val="16"/>
          <w:szCs w:val="16"/>
        </w:rPr>
      </w:r>
    </w:p>
    <w:p>
      <w:pPr>
        <w:pStyle w:val="Normal"/>
        <w:spacing w:lineRule="auto" w:line="240" w:before="0" w:after="0"/>
        <w:jc w:val="both"/>
        <w:rPr>
          <w:rFonts w:ascii="Times New Roman" w:hAnsi="Times New Roman" w:cs="Times New Roman"/>
        </w:rPr>
      </w:pPr>
      <w:r>
        <w:rPr>
          <w:rFonts w:cs="Times New Roman" w:ascii="Times New Roman" w:hAnsi="Times New Roman"/>
        </w:rPr>
        <w:t>     </w:t>
      </w:r>
      <w:r>
        <w:rPr>
          <w:rFonts w:cs="Times New Roman" w:ascii="Times New Roman" w:hAnsi="Times New Roman"/>
        </w:rPr>
        <w:t>4.5.1 receive and hold the Confidential Information in strict confidence;</w:t>
      </w:r>
    </w:p>
    <w:p>
      <w:pPr>
        <w:pStyle w:val="Normal"/>
        <w:spacing w:lineRule="auto" w:line="240" w:before="0" w:after="0"/>
        <w:jc w:val="both"/>
        <w:rPr>
          <w:rFonts w:ascii="Times New Roman" w:hAnsi="Times New Roman" w:cs="Times New Roman"/>
          <w:sz w:val="16"/>
          <w:szCs w:val="16"/>
        </w:rPr>
      </w:pPr>
      <w:r>
        <w:rPr>
          <w:rFonts w:cs="Times New Roman" w:ascii="Times New Roman" w:hAnsi="Times New Roman"/>
          <w:sz w:val="16"/>
          <w:szCs w:val="16"/>
        </w:rPr>
      </w:r>
    </w:p>
    <w:p>
      <w:pPr>
        <w:pStyle w:val="Normal"/>
        <w:spacing w:lineRule="auto" w:line="240" w:before="0" w:after="0"/>
        <w:jc w:val="both"/>
        <w:rPr>
          <w:rFonts w:ascii="Times New Roman" w:hAnsi="Times New Roman" w:cs="Times New Roman"/>
        </w:rPr>
      </w:pPr>
      <w:r>
        <w:rPr>
          <w:rFonts w:cs="Times New Roman" w:ascii="Times New Roman" w:hAnsi="Times New Roman"/>
        </w:rPr>
        <w:t>     </w:t>
      </w:r>
      <w:r>
        <w:rPr>
          <w:rFonts w:cs="Times New Roman" w:ascii="Times New Roman" w:hAnsi="Times New Roman"/>
        </w:rPr>
        <w:t>4.5.2 take such steps as may be reasonably necessary to prevent the disclosure of Confidential Information using not less than the same degree of care that the receiving party uses to prevent the unauthorized use, dissemination or publication of its own most valuable confidential and proprietary information (but with at least the same degree of care used by a reasonably prudent business person);</w:t>
      </w:r>
    </w:p>
    <w:p>
      <w:pPr>
        <w:pStyle w:val="Normal"/>
        <w:spacing w:lineRule="auto" w:line="240" w:before="0" w:after="0"/>
        <w:jc w:val="both"/>
        <w:rPr>
          <w:rFonts w:ascii="Times New Roman" w:hAnsi="Times New Roman" w:cs="Times New Roman"/>
        </w:rPr>
      </w:pPr>
      <w:r>
        <w:rPr>
          <w:rFonts w:cs="Times New Roman" w:ascii="Times New Roman" w:hAnsi="Times New Roman"/>
        </w:rPr>
      </w:r>
    </w:p>
    <w:p>
      <w:pPr>
        <w:pStyle w:val="Normal"/>
        <w:spacing w:lineRule="auto" w:line="240" w:before="0" w:after="0"/>
        <w:jc w:val="both"/>
        <w:rPr>
          <w:rFonts w:ascii="Times New Roman" w:hAnsi="Times New Roman" w:cs="Times New Roman"/>
        </w:rPr>
      </w:pPr>
      <w:r>
        <w:rPr>
          <w:rFonts w:cs="Times New Roman" w:ascii="Times New Roman" w:hAnsi="Times New Roman"/>
        </w:rPr>
        <w:t>     </w:t>
      </w:r>
      <w:r>
        <w:rPr>
          <w:rFonts w:cs="Times New Roman" w:ascii="Times New Roman" w:hAnsi="Times New Roman"/>
        </w:rPr>
        <w:t>4.5.3 not disclose such Confidential Information to any third party for any purpose whatsoever without (a) the prior written approval from the disclosing party; and (b) the agreement on the part of such third party to be bound by the restrictions on use and non-disclosure set forth in this Agreement; provided, however, that the receiving party may disclose Confidential Information to the receiving party's Representatives (as defined herein), who are bound by the confidentiality and use provisions of this Agreement;</w:t>
      </w:r>
    </w:p>
    <w:p>
      <w:pPr>
        <w:pStyle w:val="Normal"/>
        <w:spacing w:lineRule="auto" w:line="240" w:before="0" w:after="0"/>
        <w:jc w:val="both"/>
        <w:rPr>
          <w:rFonts w:ascii="Times New Roman" w:hAnsi="Times New Roman" w:cs="Times New Roman"/>
          <w:sz w:val="16"/>
          <w:szCs w:val="16"/>
        </w:rPr>
      </w:pPr>
      <w:r>
        <w:rPr>
          <w:rFonts w:cs="Times New Roman" w:ascii="Times New Roman" w:hAnsi="Times New Roman"/>
          <w:sz w:val="16"/>
          <w:szCs w:val="16"/>
        </w:rPr>
      </w:r>
    </w:p>
    <w:p>
      <w:pPr>
        <w:pStyle w:val="Normal"/>
        <w:spacing w:lineRule="auto" w:line="240" w:before="0" w:after="0"/>
        <w:jc w:val="both"/>
        <w:rPr>
          <w:rFonts w:ascii="Times New Roman" w:hAnsi="Times New Roman" w:cs="Times New Roman"/>
        </w:rPr>
      </w:pPr>
      <w:r>
        <w:rPr>
          <w:rFonts w:cs="Times New Roman" w:ascii="Times New Roman" w:hAnsi="Times New Roman"/>
        </w:rPr>
        <w:t>     </w:t>
      </w:r>
      <w:r>
        <w:rPr>
          <w:rFonts w:cs="Times New Roman" w:ascii="Times New Roman" w:hAnsi="Times New Roman"/>
        </w:rPr>
        <w:t>4.5.4 not permit access to the Confidential Information to anyone other than employees, officers, directors, advisors, and consultants of the Parties or their Enterprises (collectively, the “Representatives”) and then, only to the extent those individuals (a) need to know the Confidential Information to carry out the Purpose; (b) are informed by the receiving party of the confidential nature of the Confidential Information; and (c) are bound by the terms of their employment or engagement to treat the Confidential Information in a manner consistent with the terms of this Agreement;</w:t>
      </w:r>
    </w:p>
    <w:p>
      <w:pPr>
        <w:pStyle w:val="Normal"/>
        <w:spacing w:lineRule="auto" w:line="240" w:before="0" w:after="0"/>
        <w:jc w:val="both"/>
        <w:rPr>
          <w:rFonts w:ascii="Times New Roman" w:hAnsi="Times New Roman" w:cs="Times New Roman"/>
          <w:sz w:val="16"/>
          <w:szCs w:val="16"/>
        </w:rPr>
      </w:pPr>
      <w:r>
        <w:rPr>
          <w:rFonts w:cs="Times New Roman" w:ascii="Times New Roman" w:hAnsi="Times New Roman"/>
          <w:sz w:val="16"/>
          <w:szCs w:val="16"/>
        </w:rPr>
      </w:r>
    </w:p>
    <w:p>
      <w:pPr>
        <w:pStyle w:val="Normal"/>
        <w:spacing w:lineRule="auto" w:line="240" w:before="0" w:after="0"/>
        <w:jc w:val="both"/>
        <w:rPr>
          <w:rFonts w:ascii="Times New Roman" w:hAnsi="Times New Roman" w:cs="Times New Roman"/>
        </w:rPr>
      </w:pPr>
      <w:r>
        <w:rPr>
          <w:rFonts w:cs="Times New Roman" w:ascii="Times New Roman" w:hAnsi="Times New Roman"/>
        </w:rPr>
        <w:t>     </w:t>
      </w:r>
      <w:r>
        <w:rPr>
          <w:rFonts w:cs="Times New Roman" w:ascii="Times New Roman" w:hAnsi="Times New Roman"/>
        </w:rPr>
        <w:t>4.5.5 not disclose, or permit any of its Representatives to disclose, without the prior written consent of the disclosing party, to any other person the fact that the Confidential Information has been made available, that discussions or evaluations are taking place concerning the Purpose, or any of the terms, conditions, or other facts with respect thereto;</w:t>
      </w:r>
    </w:p>
    <w:p>
      <w:pPr>
        <w:pStyle w:val="Normal"/>
        <w:spacing w:lineRule="auto" w:line="240" w:before="0" w:after="0"/>
        <w:jc w:val="both"/>
        <w:rPr>
          <w:rFonts w:ascii="Times New Roman" w:hAnsi="Times New Roman" w:cs="Times New Roman"/>
          <w:sz w:val="16"/>
          <w:szCs w:val="16"/>
        </w:rPr>
      </w:pPr>
      <w:r>
        <w:rPr>
          <w:rFonts w:cs="Times New Roman" w:ascii="Times New Roman" w:hAnsi="Times New Roman"/>
          <w:sz w:val="16"/>
          <w:szCs w:val="16"/>
        </w:rPr>
      </w:r>
    </w:p>
    <w:p>
      <w:pPr>
        <w:pStyle w:val="Normal"/>
        <w:spacing w:lineRule="auto" w:line="240" w:before="0" w:after="0"/>
        <w:jc w:val="both"/>
        <w:rPr>
          <w:rFonts w:ascii="Times New Roman" w:hAnsi="Times New Roman" w:cs="Times New Roman"/>
        </w:rPr>
      </w:pPr>
      <w:r>
        <w:rPr>
          <w:rFonts w:cs="Times New Roman" w:ascii="Times New Roman" w:hAnsi="Times New Roman"/>
        </w:rPr>
        <w:t>     </w:t>
      </w:r>
      <w:r>
        <w:rPr>
          <w:rFonts w:cs="Times New Roman" w:ascii="Times New Roman" w:hAnsi="Times New Roman"/>
        </w:rPr>
        <w:t>4.5.6 acknowledge that the Confidential Information is, and will at all times remain, the exclusive property of the disclosing party; and</w:t>
      </w:r>
    </w:p>
    <w:p>
      <w:pPr>
        <w:pStyle w:val="Normal"/>
        <w:spacing w:lineRule="auto" w:line="240" w:before="0" w:after="0"/>
        <w:jc w:val="both"/>
        <w:rPr>
          <w:rFonts w:ascii="Times New Roman" w:hAnsi="Times New Roman" w:cs="Times New Roman"/>
          <w:sz w:val="16"/>
          <w:szCs w:val="16"/>
        </w:rPr>
      </w:pPr>
      <w:r>
        <w:rPr>
          <w:rFonts w:cs="Times New Roman" w:ascii="Times New Roman" w:hAnsi="Times New Roman"/>
          <w:sz w:val="16"/>
          <w:szCs w:val="16"/>
        </w:rPr>
      </w:r>
    </w:p>
    <w:p>
      <w:pPr>
        <w:pStyle w:val="Normal"/>
        <w:spacing w:lineRule="auto" w:line="240" w:before="0" w:after="0"/>
        <w:jc w:val="both"/>
        <w:rPr>
          <w:rFonts w:ascii="Times New Roman" w:hAnsi="Times New Roman" w:cs="Times New Roman"/>
        </w:rPr>
      </w:pPr>
      <w:r>
        <w:rPr>
          <w:rFonts w:cs="Times New Roman" w:ascii="Times New Roman" w:hAnsi="Times New Roman"/>
        </w:rPr>
        <w:t>     </w:t>
      </w:r>
      <w:r>
        <w:rPr>
          <w:rFonts w:cs="Times New Roman" w:ascii="Times New Roman" w:hAnsi="Times New Roman"/>
        </w:rPr>
        <w:t>4.5.7 use the disclosing party's Confidential Information only for the strictly-limited purpose and for no other purpose whatsoever. Notwithstanding the foregoing provisions of this Section 4, the receiving party is specifically prohibited from (a) using, directly or indirectly, any of the Confidential Information furnished to it hereunder for its own benefit or for the benefit of others, except for the Purpose as set forth above; or (b) creating any improvements, modifications, or derivative or related works or materials which incorporate or utilize, directly or indirectly, any Confidential Information (such improvements, modifications, derivative or related works, if any, receiving party acknowledges and agrees shall be deemed Confidential Information of the disclosing party).</w:t>
      </w:r>
    </w:p>
    <w:p>
      <w:pPr>
        <w:pStyle w:val="Normal"/>
        <w:spacing w:lineRule="auto" w:line="240" w:before="0" w:after="0"/>
        <w:jc w:val="both"/>
        <w:rPr>
          <w:rFonts w:ascii="Times New Roman" w:hAnsi="Times New Roman" w:cs="Times New Roman"/>
          <w:sz w:val="16"/>
          <w:szCs w:val="16"/>
        </w:rPr>
      </w:pPr>
      <w:r>
        <w:rPr>
          <w:rFonts w:cs="Times New Roman" w:ascii="Times New Roman" w:hAnsi="Times New Roman"/>
          <w:sz w:val="16"/>
          <w:szCs w:val="16"/>
        </w:rPr>
      </w:r>
    </w:p>
    <w:p>
      <w:pPr>
        <w:pStyle w:val="Normal"/>
        <w:spacing w:lineRule="auto" w:line="240" w:before="0" w:after="0"/>
        <w:jc w:val="both"/>
        <w:rPr>
          <w:rFonts w:ascii="Times New Roman" w:hAnsi="Times New Roman" w:cs="Times New Roman"/>
        </w:rPr>
      </w:pPr>
      <w:r>
        <w:rPr>
          <w:rFonts w:cs="Times New Roman" w:ascii="Times New Roman" w:hAnsi="Times New Roman"/>
        </w:rPr>
        <w:t xml:space="preserve">4.6 </w:t>
      </w:r>
      <w:r>
        <w:rPr>
          <w:rFonts w:cs="Times New Roman" w:ascii="Times New Roman" w:hAnsi="Times New Roman"/>
          <w:b/>
          <w:bCs/>
        </w:rPr>
        <w:t>Compelled Disclosure</w:t>
      </w:r>
      <w:r>
        <w:rPr>
          <w:rFonts w:cs="Times New Roman" w:ascii="Times New Roman" w:hAnsi="Times New Roman"/>
        </w:rPr>
        <w:t>. Notwithstanding the foregoing, if the receiving party is requested or required (by oral questions, interrogatories, requests for information or documents, subpoena, civil investigative demand, or other process) to disclose any Confidential Information, it will provide the disclosing party with prompt notice of such request so that the disclosing party may seek an appropriate protective order and/or waive compliance herewith. If, in the absence of such protective order or waiver, the receiving party is compelled to disclose Confidential Information to any tribunal or other authority, the receiving party shall (a) disclose only that part of the Confidential Information that, in the opinion of its legal counsel, is required to be disclosed; (b) deliver to the disclosing party written notice of the Confidential Information to be disclosed as far in advance of its disclosure as is practicable; and (c) use commercially reasonable efforts to obtain an order or other reliable assurance that confidential treatment will be accorded to such portion of the Confidential Information required to be disclosed.</w:t>
      </w:r>
    </w:p>
    <w:p>
      <w:pPr>
        <w:pStyle w:val="Normal"/>
        <w:spacing w:lineRule="auto" w:line="240" w:before="0" w:after="0"/>
        <w:jc w:val="both"/>
        <w:rPr>
          <w:rFonts w:ascii="Times New Roman" w:hAnsi="Times New Roman" w:cs="Times New Roman"/>
          <w:sz w:val="16"/>
          <w:szCs w:val="16"/>
        </w:rPr>
      </w:pPr>
      <w:r>
        <w:rPr>
          <w:rFonts w:cs="Times New Roman" w:ascii="Times New Roman" w:hAnsi="Times New Roman"/>
          <w:sz w:val="16"/>
          <w:szCs w:val="16"/>
        </w:rPr>
      </w:r>
    </w:p>
    <w:p>
      <w:pPr>
        <w:pStyle w:val="Normal"/>
        <w:spacing w:lineRule="auto" w:line="240" w:before="0" w:after="0"/>
        <w:jc w:val="both"/>
        <w:rPr>
          <w:rFonts w:ascii="Times New Roman" w:hAnsi="Times New Roman" w:cs="Times New Roman"/>
        </w:rPr>
      </w:pPr>
      <w:r>
        <w:rPr>
          <w:rFonts w:cs="Times New Roman" w:ascii="Times New Roman" w:hAnsi="Times New Roman"/>
        </w:rPr>
        <w:t xml:space="preserve">4.7 </w:t>
      </w:r>
      <w:r>
        <w:rPr>
          <w:rFonts w:cs="Times New Roman" w:ascii="Times New Roman" w:hAnsi="Times New Roman"/>
          <w:b/>
          <w:bCs/>
        </w:rPr>
        <w:t>Return of Materials</w:t>
      </w:r>
      <w:r>
        <w:rPr>
          <w:rFonts w:cs="Times New Roman" w:ascii="Times New Roman" w:hAnsi="Times New Roman"/>
        </w:rPr>
        <w:t>. Upon request of the disclosing party, in the disclosing party's sole discretion, the receiving party shall either return to the disclosing party or destroy all documents and other writings supplied by the disclosing party, together with all copies of any such documents or other writings, and shall certify to the return or destruction of all tangible Confidential Information and references thereto and the destruction of any references thereto on magnetic or other intangible media. In addition, that portion of the Confidential Information which consists of analyses, compilations, data, studies, or other documents prepared by the receiving party or its Representatives will be immediately destroyed at the written request of the disclosing party and such destruction will be confirmed to the disclosing party in writing. The return to the disclosing party or destruction of such Confidential Information shall not relieve the receiving party of any obligation of confidentiality contained herein.</w:t>
      </w:r>
    </w:p>
    <w:p>
      <w:pPr>
        <w:pStyle w:val="Normal"/>
        <w:spacing w:lineRule="auto" w:line="240" w:before="0" w:after="0"/>
        <w:jc w:val="both"/>
        <w:rPr>
          <w:rFonts w:ascii="Times New Roman" w:hAnsi="Times New Roman" w:cs="Times New Roman"/>
        </w:rPr>
      </w:pPr>
      <w:r>
        <w:rPr>
          <w:rFonts w:cs="Times New Roman" w:ascii="Times New Roman" w:hAnsi="Times New Roman"/>
        </w:rPr>
      </w:r>
    </w:p>
    <w:p>
      <w:pPr>
        <w:pStyle w:val="Normal"/>
        <w:spacing w:lineRule="auto" w:line="240" w:before="0" w:after="0"/>
        <w:jc w:val="both"/>
        <w:rPr>
          <w:rFonts w:ascii="Times New Roman" w:hAnsi="Times New Roman" w:cs="Times New Roman"/>
        </w:rPr>
      </w:pPr>
      <w:r>
        <w:rPr>
          <w:rFonts w:cs="Times New Roman" w:ascii="Times New Roman" w:hAnsi="Times New Roman"/>
        </w:rPr>
        <w:t xml:space="preserve">4.8 </w:t>
      </w:r>
      <w:r>
        <w:rPr>
          <w:rFonts w:cs="Times New Roman" w:ascii="Times New Roman" w:hAnsi="Times New Roman"/>
          <w:b/>
          <w:bCs/>
        </w:rPr>
        <w:t>Injunctive Relief</w:t>
      </w:r>
      <w:r>
        <w:rPr>
          <w:rFonts w:cs="Times New Roman" w:ascii="Times New Roman" w:hAnsi="Times New Roman"/>
        </w:rPr>
        <w:t>. The Parties acknowledge that money damages will be both incalculable and an insufficient remedy for a breach of this Agreement by either Party. Accordingly, the Parties agree that, in the event of any breach of this Agreement, the non-breaching Party shall be entitled to equitable relief, including, without limitation, injunctive relief or specific performance. If either Party elects to seek injunctive relief for breach of this Agreement, such election shall not preclude the non-breaching Party from pursuing other legal remedies at law. Notwithstanding Section 11.9, below, regarding choice of forum, the Parties agree that equitable relief may be sought in any court of competent jurisdiction for the sake of expediency.</w:t>
      </w:r>
    </w:p>
    <w:p>
      <w:pPr>
        <w:pStyle w:val="Normal"/>
        <w:spacing w:lineRule="auto" w:line="240" w:before="0" w:after="0"/>
        <w:jc w:val="both"/>
        <w:rPr>
          <w:rFonts w:ascii="Times New Roman" w:hAnsi="Times New Roman" w:cs="Times New Roman"/>
          <w:sz w:val="16"/>
          <w:szCs w:val="16"/>
        </w:rPr>
      </w:pPr>
      <w:r>
        <w:rPr>
          <w:rFonts w:cs="Times New Roman" w:ascii="Times New Roman" w:hAnsi="Times New Roman"/>
          <w:sz w:val="16"/>
          <w:szCs w:val="16"/>
        </w:rPr>
      </w:r>
    </w:p>
    <w:p>
      <w:pPr>
        <w:pStyle w:val="Normal"/>
        <w:spacing w:lineRule="auto" w:line="240" w:before="0" w:after="0"/>
        <w:jc w:val="both"/>
        <w:rPr>
          <w:rFonts w:ascii="Times New Roman" w:hAnsi="Times New Roman" w:cs="Times New Roman"/>
        </w:rPr>
      </w:pPr>
      <w:r>
        <w:rPr>
          <w:rFonts w:cs="Times New Roman" w:ascii="Times New Roman" w:hAnsi="Times New Roman"/>
        </w:rPr>
        <w:t xml:space="preserve">4.9 </w:t>
      </w:r>
      <w:r>
        <w:rPr>
          <w:rFonts w:cs="Times New Roman" w:ascii="Times New Roman" w:hAnsi="Times New Roman"/>
          <w:b/>
          <w:bCs/>
        </w:rPr>
        <w:t>No Representation or Warranty</w:t>
      </w:r>
      <w:r>
        <w:rPr>
          <w:rFonts w:cs="Times New Roman" w:ascii="Times New Roman" w:hAnsi="Times New Roman"/>
        </w:rPr>
        <w:t xml:space="preserve">. The Parties understand, acknowledge, and agree that neither the disclosing party nor its Representatives is making any representation or warranty as to the accuracy, reliability, or completeness of any Confidential Information and that neither the disclosing party nor its Representatives shall have any responsibility or liability (including, without limitation, in contract, tort, or otherwise) to the receiving party or any of its Representatives arising from use or reliance on the Confidential Information. </w:t>
      </w:r>
    </w:p>
    <w:p>
      <w:pPr>
        <w:pStyle w:val="Normal"/>
        <w:spacing w:lineRule="auto" w:line="240" w:before="0" w:after="0"/>
        <w:jc w:val="both"/>
        <w:rPr>
          <w:rFonts w:ascii="Times New Roman" w:hAnsi="Times New Roman" w:cs="Times New Roman"/>
          <w:sz w:val="16"/>
          <w:szCs w:val="16"/>
        </w:rPr>
      </w:pPr>
      <w:r>
        <w:rPr>
          <w:rFonts w:cs="Times New Roman" w:ascii="Times New Roman" w:hAnsi="Times New Roman"/>
          <w:sz w:val="16"/>
          <w:szCs w:val="16"/>
        </w:rPr>
      </w:r>
    </w:p>
    <w:p>
      <w:pPr>
        <w:pStyle w:val="Normal"/>
        <w:spacing w:lineRule="auto" w:line="240" w:before="0" w:after="0"/>
        <w:jc w:val="both"/>
        <w:rPr>
          <w:rFonts w:ascii="Times New Roman" w:hAnsi="Times New Roman" w:cs="Times New Roman"/>
        </w:rPr>
      </w:pPr>
      <w:r>
        <w:rPr>
          <w:rFonts w:cs="Times New Roman" w:ascii="Times New Roman" w:hAnsi="Times New Roman"/>
        </w:rPr>
        <w:t>5. INSIDER INFORMATION</w:t>
      </w:r>
    </w:p>
    <w:p>
      <w:pPr>
        <w:pStyle w:val="Normal"/>
        <w:spacing w:lineRule="auto" w:line="240" w:before="0" w:after="0"/>
        <w:jc w:val="both"/>
        <w:rPr>
          <w:rFonts w:ascii="Times New Roman" w:hAnsi="Times New Roman" w:cs="Times New Roman"/>
          <w:sz w:val="16"/>
          <w:szCs w:val="16"/>
        </w:rPr>
      </w:pPr>
      <w:r>
        <w:rPr>
          <w:rFonts w:cs="Times New Roman" w:ascii="Times New Roman" w:hAnsi="Times New Roman"/>
          <w:sz w:val="16"/>
          <w:szCs w:val="16"/>
        </w:rPr>
      </w:r>
    </w:p>
    <w:p>
      <w:pPr>
        <w:pStyle w:val="Normal"/>
        <w:spacing w:lineRule="auto" w:line="240" w:before="0" w:after="0"/>
        <w:jc w:val="both"/>
        <w:rPr>
          <w:rFonts w:ascii="Times New Roman" w:hAnsi="Times New Roman" w:cs="Times New Roman"/>
        </w:rPr>
      </w:pPr>
      <w:r>
        <w:rPr>
          <w:rFonts w:cs="Times New Roman" w:ascii="Times New Roman" w:hAnsi="Times New Roman"/>
        </w:rPr>
        <w:t xml:space="preserve">5.1 </w:t>
      </w:r>
      <w:r>
        <w:rPr>
          <w:rFonts w:cs="Times New Roman" w:ascii="Times New Roman" w:hAnsi="Times New Roman"/>
          <w:b/>
          <w:bCs/>
        </w:rPr>
        <w:t>Insider Information</w:t>
      </w:r>
      <w:r>
        <w:rPr>
          <w:rFonts w:cs="Times New Roman" w:ascii="Times New Roman" w:hAnsi="Times New Roman"/>
        </w:rPr>
        <w:t>.  The Enterprise acknowledges that pursuant to this Agreement the Enterprise may receive confidential insider information about the Company’s Enterprises and/or its subsidiaries. The Enterprise agrees not to disclose such information to anyone, including, but not limited to, the Enterprisee’s family, friends, business associates or other Enterprises, until such information has been approved for release by the Company and is released to the general public. The Enterprise shall not use such confidential insider information to arrange for or solicit to buy or sell shares of the Company or Enterprises referred by the Company either directly or indirectly through any person, until such information has been approved for release by the Company and is released to the general public.  Published documentation created by the Company on behalf of an enterprise that is provided to the Enterprise, by the Company, as it relates to a third-party enterprise is not considered Insider Information.</w:t>
      </w:r>
    </w:p>
    <w:p>
      <w:pPr>
        <w:pStyle w:val="Normal"/>
        <w:spacing w:lineRule="auto" w:line="240" w:before="0" w:after="0"/>
        <w:jc w:val="both"/>
        <w:rPr>
          <w:rFonts w:ascii="Times New Roman" w:hAnsi="Times New Roman" w:cs="Times New Roman"/>
          <w:sz w:val="16"/>
          <w:szCs w:val="16"/>
        </w:rPr>
      </w:pPr>
      <w:r>
        <w:rPr>
          <w:rFonts w:cs="Times New Roman" w:ascii="Times New Roman" w:hAnsi="Times New Roman"/>
          <w:sz w:val="16"/>
          <w:szCs w:val="16"/>
        </w:rPr>
      </w:r>
    </w:p>
    <w:p>
      <w:pPr>
        <w:pStyle w:val="Normal"/>
        <w:spacing w:lineRule="auto" w:line="240" w:before="0" w:after="0"/>
        <w:jc w:val="both"/>
        <w:rPr>
          <w:rFonts w:ascii="Times New Roman" w:hAnsi="Times New Roman" w:cs="Times New Roman"/>
        </w:rPr>
      </w:pPr>
      <w:r>
        <w:rPr>
          <w:rFonts w:cs="Times New Roman" w:ascii="Times New Roman" w:hAnsi="Times New Roman"/>
        </w:rPr>
        <w:t>6. RELATIONSHIP AMONG THE PARTIES</w:t>
      </w:r>
    </w:p>
    <w:p>
      <w:pPr>
        <w:pStyle w:val="Normal"/>
        <w:spacing w:lineRule="auto" w:line="240" w:before="0" w:after="0"/>
        <w:jc w:val="both"/>
        <w:rPr>
          <w:rFonts w:ascii="Times New Roman" w:hAnsi="Times New Roman" w:cs="Times New Roman"/>
          <w:sz w:val="16"/>
          <w:szCs w:val="16"/>
        </w:rPr>
      </w:pPr>
      <w:r>
        <w:rPr>
          <w:rFonts w:cs="Times New Roman" w:ascii="Times New Roman" w:hAnsi="Times New Roman"/>
          <w:sz w:val="16"/>
          <w:szCs w:val="16"/>
        </w:rPr>
      </w:r>
    </w:p>
    <w:p>
      <w:pPr>
        <w:pStyle w:val="Normal"/>
        <w:spacing w:lineRule="auto" w:line="240" w:before="0" w:after="0"/>
        <w:jc w:val="both"/>
        <w:rPr>
          <w:rFonts w:ascii="Times New Roman" w:hAnsi="Times New Roman" w:cs="Times New Roman"/>
        </w:rPr>
      </w:pPr>
      <w:r>
        <w:rPr>
          <w:rFonts w:cs="Times New Roman" w:ascii="Times New Roman" w:hAnsi="Times New Roman"/>
        </w:rPr>
        <w:t xml:space="preserve">6.1 </w:t>
      </w:r>
      <w:r>
        <w:rPr>
          <w:rFonts w:cs="Times New Roman" w:ascii="Times New Roman" w:hAnsi="Times New Roman"/>
          <w:b/>
          <w:bCs/>
        </w:rPr>
        <w:t>Relationship Among the Parties</w:t>
      </w:r>
      <w:r>
        <w:rPr>
          <w:rFonts w:cs="Times New Roman" w:ascii="Times New Roman" w:hAnsi="Times New Roman"/>
        </w:rPr>
        <w:t>.  Nothing contained in this Agreement shall be construed to (i) constitute the parties as joint venturers, partners, co-owners or otherwise as participants in a joint undertaking; (ii) constitute the Enterprise as an agent, legal representative or employee of the Company; or (iii) authorize or permit the Enterprise or any director, officer, employee, agent or other person acting on its behalf to incur on behalf of the other party any obligation of any kind, either express or implied, or do, sign or execute any things, deeds, or documents which may have the effect of legally binding or obligating the Company in any manner in favor of any individual, business, trust, unincorporated association, corporation, partnership, joint venture, limited liability Company or other entity of any kind. The Enterprise and the Company agree that the relationship among the parties shall be that of an Independent Contractor.</w:t>
      </w:r>
    </w:p>
    <w:p>
      <w:pPr>
        <w:pStyle w:val="Normal"/>
        <w:spacing w:lineRule="auto" w:line="240" w:before="0" w:after="0"/>
        <w:jc w:val="both"/>
        <w:rPr>
          <w:rFonts w:ascii="Times New Roman" w:hAnsi="Times New Roman" w:cs="Times New Roman"/>
          <w:sz w:val="16"/>
          <w:szCs w:val="16"/>
        </w:rPr>
      </w:pPr>
      <w:r>
        <w:rPr>
          <w:rFonts w:cs="Times New Roman" w:ascii="Times New Roman" w:hAnsi="Times New Roman"/>
          <w:sz w:val="16"/>
          <w:szCs w:val="16"/>
        </w:rPr>
      </w:r>
    </w:p>
    <w:p>
      <w:pPr>
        <w:pStyle w:val="Normal"/>
        <w:spacing w:lineRule="auto" w:line="240" w:before="0" w:after="0"/>
        <w:jc w:val="both"/>
        <w:rPr>
          <w:rFonts w:ascii="Times New Roman" w:hAnsi="Times New Roman" w:cs="Times New Roman"/>
        </w:rPr>
      </w:pPr>
      <w:r>
        <w:rPr>
          <w:rFonts w:cs="Times New Roman" w:ascii="Times New Roman" w:hAnsi="Times New Roman"/>
        </w:rPr>
        <w:t>7. EFFECTIVE DATE, TERM AND TERMINATION</w:t>
      </w:r>
    </w:p>
    <w:p>
      <w:pPr>
        <w:pStyle w:val="Normal"/>
        <w:spacing w:lineRule="auto" w:line="240" w:before="0" w:after="0"/>
        <w:jc w:val="both"/>
        <w:rPr>
          <w:rFonts w:ascii="Times New Roman" w:hAnsi="Times New Roman" w:cs="Times New Roman"/>
          <w:sz w:val="16"/>
          <w:szCs w:val="16"/>
        </w:rPr>
      </w:pPr>
      <w:r>
        <w:rPr>
          <w:rFonts w:cs="Times New Roman" w:ascii="Times New Roman" w:hAnsi="Times New Roman"/>
          <w:sz w:val="16"/>
          <w:szCs w:val="16"/>
        </w:rPr>
      </w:r>
    </w:p>
    <w:p>
      <w:pPr>
        <w:pStyle w:val="Normal"/>
        <w:spacing w:lineRule="auto" w:line="240" w:before="0" w:after="0"/>
        <w:jc w:val="both"/>
        <w:rPr>
          <w:rFonts w:ascii="Times New Roman" w:hAnsi="Times New Roman" w:cs="Times New Roman"/>
        </w:rPr>
      </w:pPr>
      <w:r>
        <w:rPr>
          <w:rFonts w:cs="Times New Roman" w:ascii="Times New Roman" w:hAnsi="Times New Roman"/>
        </w:rPr>
        <w:t xml:space="preserve">7.1 </w:t>
      </w:r>
      <w:r>
        <w:rPr>
          <w:rFonts w:cs="Times New Roman" w:ascii="Times New Roman" w:hAnsi="Times New Roman"/>
          <w:b/>
          <w:bCs/>
        </w:rPr>
        <w:t>Effective Date</w:t>
      </w:r>
      <w:r>
        <w:rPr>
          <w:rFonts w:cs="Times New Roman" w:ascii="Times New Roman" w:hAnsi="Times New Roman"/>
        </w:rPr>
        <w:t>. The term (the "Term") of this Agreement shall commence on _________________ and shall continue for a period of twelve (12) months or until terminated by the Company in its sole discretion. The Enterprise and the Company may terminate this Agreement for cause at any time by providing written notice of same</w:t>
      </w:r>
    </w:p>
    <w:p>
      <w:pPr>
        <w:pStyle w:val="Normal"/>
        <w:spacing w:lineRule="auto" w:line="240" w:before="0" w:after="0"/>
        <w:jc w:val="both"/>
        <w:rPr>
          <w:rFonts w:ascii="Times New Roman" w:hAnsi="Times New Roman" w:cs="Times New Roman"/>
          <w:sz w:val="16"/>
          <w:szCs w:val="16"/>
        </w:rPr>
      </w:pPr>
      <w:r>
        <w:rPr>
          <w:rFonts w:cs="Times New Roman" w:ascii="Times New Roman" w:hAnsi="Times New Roman"/>
          <w:sz w:val="16"/>
          <w:szCs w:val="16"/>
        </w:rPr>
      </w:r>
    </w:p>
    <w:p>
      <w:pPr>
        <w:pStyle w:val="Normal"/>
        <w:spacing w:lineRule="auto" w:line="240" w:before="0" w:after="0"/>
        <w:jc w:val="both"/>
        <w:rPr>
          <w:rFonts w:ascii="Times New Roman" w:hAnsi="Times New Roman" w:cs="Times New Roman"/>
        </w:rPr>
      </w:pPr>
      <w:r>
        <w:rPr>
          <w:rFonts w:cs="Times New Roman" w:ascii="Times New Roman" w:hAnsi="Times New Roman"/>
        </w:rPr>
        <w:t>8.  MISCELLANEOUS PROVISIONS</w:t>
      </w:r>
    </w:p>
    <w:p>
      <w:pPr>
        <w:pStyle w:val="Normal"/>
        <w:spacing w:lineRule="auto" w:line="240" w:before="0" w:after="0"/>
        <w:jc w:val="both"/>
        <w:rPr>
          <w:rFonts w:ascii="Times New Roman" w:hAnsi="Times New Roman" w:cs="Times New Roman"/>
          <w:sz w:val="16"/>
          <w:szCs w:val="16"/>
        </w:rPr>
      </w:pPr>
      <w:r>
        <w:rPr>
          <w:rFonts w:cs="Times New Roman" w:ascii="Times New Roman" w:hAnsi="Times New Roman"/>
          <w:sz w:val="16"/>
          <w:szCs w:val="16"/>
        </w:rPr>
      </w:r>
    </w:p>
    <w:p>
      <w:pPr>
        <w:pStyle w:val="Normal"/>
        <w:spacing w:lineRule="auto" w:line="240" w:before="0" w:after="0"/>
        <w:jc w:val="both"/>
        <w:rPr>
          <w:rFonts w:ascii="Times New Roman" w:hAnsi="Times New Roman" w:cs="Times New Roman"/>
        </w:rPr>
      </w:pPr>
      <w:r>
        <w:rPr>
          <w:rFonts w:cs="Times New Roman" w:ascii="Times New Roman" w:hAnsi="Times New Roman"/>
        </w:rPr>
        <w:t xml:space="preserve">8.1 </w:t>
      </w:r>
      <w:r>
        <w:rPr>
          <w:rFonts w:cs="Times New Roman" w:ascii="Times New Roman" w:hAnsi="Times New Roman"/>
          <w:b/>
          <w:bCs/>
        </w:rPr>
        <w:t>Currency</w:t>
      </w:r>
      <w:r>
        <w:rPr>
          <w:rFonts w:cs="Times New Roman" w:ascii="Times New Roman" w:hAnsi="Times New Roman"/>
        </w:rPr>
        <w:t>. All currency referred to in this Agreement is in USD dollars.</w:t>
      </w:r>
    </w:p>
    <w:p>
      <w:pPr>
        <w:pStyle w:val="Normal"/>
        <w:spacing w:lineRule="auto" w:line="240" w:before="0" w:after="0"/>
        <w:jc w:val="both"/>
        <w:rPr>
          <w:rFonts w:ascii="Times New Roman" w:hAnsi="Times New Roman" w:cs="Times New Roman"/>
          <w:sz w:val="16"/>
          <w:szCs w:val="16"/>
        </w:rPr>
      </w:pPr>
      <w:r>
        <w:rPr>
          <w:rFonts w:cs="Times New Roman" w:ascii="Times New Roman" w:hAnsi="Times New Roman"/>
          <w:sz w:val="16"/>
          <w:szCs w:val="16"/>
        </w:rPr>
      </w:r>
    </w:p>
    <w:p>
      <w:pPr>
        <w:pStyle w:val="Normal"/>
        <w:spacing w:lineRule="auto" w:line="240" w:before="0" w:after="0"/>
        <w:jc w:val="both"/>
        <w:rPr>
          <w:rFonts w:ascii="Times New Roman" w:hAnsi="Times New Roman" w:cs="Times New Roman"/>
        </w:rPr>
      </w:pPr>
      <w:r>
        <w:rPr>
          <w:rFonts w:cs="Times New Roman" w:ascii="Times New Roman" w:hAnsi="Times New Roman"/>
        </w:rPr>
        <w:t xml:space="preserve">8.2 </w:t>
      </w:r>
      <w:r>
        <w:rPr>
          <w:rFonts w:cs="Times New Roman" w:ascii="Times New Roman" w:hAnsi="Times New Roman"/>
          <w:b/>
          <w:bCs/>
        </w:rPr>
        <w:t>Further Action</w:t>
      </w:r>
      <w:r>
        <w:rPr>
          <w:rFonts w:cs="Times New Roman" w:ascii="Times New Roman" w:hAnsi="Times New Roman"/>
        </w:rPr>
        <w:t>. The parties hereto shall execute and deliver all documents, provide all information, and take or forbear from all such action as may be necessary or appropriate to achieve the purposes of this Agreement.</w:t>
      </w:r>
    </w:p>
    <w:p>
      <w:pPr>
        <w:pStyle w:val="Normal"/>
        <w:spacing w:lineRule="auto" w:line="240" w:before="0" w:after="0"/>
        <w:jc w:val="both"/>
        <w:rPr>
          <w:rFonts w:ascii="Times New Roman" w:hAnsi="Times New Roman" w:cs="Times New Roman"/>
          <w:sz w:val="16"/>
          <w:szCs w:val="16"/>
        </w:rPr>
      </w:pPr>
      <w:r>
        <w:rPr>
          <w:rFonts w:cs="Times New Roman" w:ascii="Times New Roman" w:hAnsi="Times New Roman"/>
          <w:sz w:val="16"/>
          <w:szCs w:val="16"/>
        </w:rPr>
      </w:r>
    </w:p>
    <w:p>
      <w:pPr>
        <w:pStyle w:val="Normal"/>
        <w:spacing w:lineRule="auto" w:line="240" w:before="0" w:after="0"/>
        <w:jc w:val="both"/>
        <w:rPr>
          <w:rFonts w:ascii="Times New Roman" w:hAnsi="Times New Roman" w:cs="Times New Roman"/>
        </w:rPr>
      </w:pPr>
      <w:r>
        <w:rPr>
          <w:rFonts w:cs="Times New Roman" w:ascii="Times New Roman" w:hAnsi="Times New Roman"/>
        </w:rPr>
        <w:t xml:space="preserve">8.3 </w:t>
      </w:r>
      <w:r>
        <w:rPr>
          <w:rFonts w:cs="Times New Roman" w:ascii="Times New Roman" w:hAnsi="Times New Roman"/>
          <w:b/>
          <w:bCs/>
        </w:rPr>
        <w:t>Good Faith, Cooperation and Due Diligence</w:t>
      </w:r>
      <w:r>
        <w:rPr>
          <w:rFonts w:cs="Times New Roman" w:ascii="Times New Roman" w:hAnsi="Times New Roman"/>
        </w:rPr>
        <w:t>. The parties hereto covenant, warrant and represent to each other good faith, complete cooperation, due diligence, and honesty in fact in the performance of all obligations of the parties pursuant to this Agreement. All promises and covenants are mutual and dependent.</w:t>
      </w:r>
    </w:p>
    <w:p>
      <w:pPr>
        <w:pStyle w:val="Normal"/>
        <w:spacing w:lineRule="auto" w:line="240" w:before="0" w:after="0"/>
        <w:jc w:val="both"/>
        <w:rPr>
          <w:rFonts w:ascii="Times New Roman" w:hAnsi="Times New Roman" w:cs="Times New Roman"/>
          <w:sz w:val="16"/>
          <w:szCs w:val="16"/>
        </w:rPr>
      </w:pPr>
      <w:r>
        <w:rPr>
          <w:rFonts w:cs="Times New Roman" w:ascii="Times New Roman" w:hAnsi="Times New Roman"/>
          <w:sz w:val="16"/>
          <w:szCs w:val="16"/>
        </w:rPr>
      </w:r>
    </w:p>
    <w:p>
      <w:pPr>
        <w:pStyle w:val="Normal"/>
        <w:spacing w:lineRule="auto" w:line="240" w:before="0" w:after="0"/>
        <w:jc w:val="both"/>
        <w:rPr>
          <w:rFonts w:ascii="Times New Roman" w:hAnsi="Times New Roman" w:cs="Times New Roman"/>
        </w:rPr>
      </w:pPr>
      <w:r>
        <w:rPr>
          <w:rFonts w:cs="Times New Roman" w:ascii="Times New Roman" w:hAnsi="Times New Roman"/>
        </w:rPr>
        <w:t xml:space="preserve">8.4 </w:t>
      </w:r>
      <w:r>
        <w:rPr>
          <w:rFonts w:cs="Times New Roman" w:ascii="Times New Roman" w:hAnsi="Times New Roman"/>
          <w:b/>
          <w:bCs/>
        </w:rPr>
        <w:t>Assignment</w:t>
      </w:r>
      <w:r>
        <w:rPr>
          <w:rFonts w:cs="Times New Roman" w:ascii="Times New Roman" w:hAnsi="Times New Roman"/>
        </w:rPr>
        <w:t>. This Agreement may not be assigned by either party hereto without the written consent of the other but shall be binding upon the successors of the parties.</w:t>
      </w:r>
    </w:p>
    <w:p>
      <w:pPr>
        <w:pStyle w:val="Normal"/>
        <w:spacing w:lineRule="auto" w:line="240" w:before="0" w:after="0"/>
        <w:jc w:val="both"/>
        <w:rPr>
          <w:rFonts w:ascii="Times New Roman" w:hAnsi="Times New Roman" w:cs="Times New Roman"/>
          <w:sz w:val="16"/>
          <w:szCs w:val="16"/>
        </w:rPr>
      </w:pPr>
      <w:r>
        <w:rPr>
          <w:rFonts w:cs="Times New Roman" w:ascii="Times New Roman" w:hAnsi="Times New Roman"/>
          <w:sz w:val="16"/>
          <w:szCs w:val="16"/>
        </w:rPr>
      </w:r>
    </w:p>
    <w:p>
      <w:pPr>
        <w:pStyle w:val="Normal"/>
        <w:spacing w:lineRule="auto" w:line="240" w:before="0" w:after="0"/>
        <w:jc w:val="both"/>
        <w:rPr>
          <w:rFonts w:ascii="Times New Roman" w:hAnsi="Times New Roman" w:cs="Times New Roman"/>
        </w:rPr>
      </w:pPr>
      <w:r>
        <w:rPr>
          <w:rFonts w:cs="Times New Roman" w:ascii="Times New Roman" w:hAnsi="Times New Roman"/>
        </w:rPr>
        <w:t xml:space="preserve">8.5 </w:t>
      </w:r>
      <w:r>
        <w:rPr>
          <w:rFonts w:cs="Times New Roman" w:ascii="Times New Roman" w:hAnsi="Times New Roman"/>
          <w:b/>
          <w:bCs/>
        </w:rPr>
        <w:t>Notices</w:t>
      </w:r>
      <w:r>
        <w:rPr>
          <w:rFonts w:cs="Times New Roman" w:ascii="Times New Roman" w:hAnsi="Times New Roman"/>
        </w:rPr>
        <w:t>. All notices required or permitted to be given under this Agreement shall be given in writing and shall be delivered, either personally or by express delivery service, to the party to be notified. Notice to each party shall be deemed to have been duly given upon delivery, personally or by courier, addressed to the attention of the officer at the address set forth heretofore, or to such other officer or addresses as either party may designate upon at least ten days written notice to the other party.</w:t>
      </w:r>
    </w:p>
    <w:p>
      <w:pPr>
        <w:pStyle w:val="Normal"/>
        <w:spacing w:lineRule="auto" w:line="240" w:before="0" w:after="0"/>
        <w:jc w:val="both"/>
        <w:rPr>
          <w:rFonts w:ascii="Times New Roman" w:hAnsi="Times New Roman" w:cs="Times New Roman"/>
          <w:sz w:val="16"/>
          <w:szCs w:val="16"/>
        </w:rPr>
      </w:pPr>
      <w:r>
        <w:rPr>
          <w:rFonts w:cs="Times New Roman" w:ascii="Times New Roman" w:hAnsi="Times New Roman"/>
          <w:sz w:val="16"/>
          <w:szCs w:val="16"/>
        </w:rPr>
      </w:r>
    </w:p>
    <w:p>
      <w:pPr>
        <w:pStyle w:val="Normal"/>
        <w:spacing w:lineRule="auto" w:line="240" w:before="0" w:after="0"/>
        <w:jc w:val="both"/>
        <w:rPr>
          <w:rFonts w:ascii="Times New Roman" w:hAnsi="Times New Roman" w:cs="Times New Roman"/>
        </w:rPr>
      </w:pPr>
      <w:r>
        <w:rPr>
          <w:rFonts w:cs="Times New Roman" w:ascii="Times New Roman" w:hAnsi="Times New Roman"/>
        </w:rPr>
        <w:t xml:space="preserve">8.6 </w:t>
      </w:r>
      <w:r>
        <w:rPr>
          <w:rFonts w:cs="Times New Roman" w:ascii="Times New Roman" w:hAnsi="Times New Roman"/>
          <w:b/>
          <w:bCs/>
        </w:rPr>
        <w:t>Entire Agreement</w:t>
      </w:r>
      <w:r>
        <w:rPr>
          <w:rFonts w:cs="Times New Roman" w:ascii="Times New Roman" w:hAnsi="Times New Roman"/>
        </w:rPr>
        <w:t>. This Agreement contains the entire understanding and agreement among the parties. There are no other agreements, conditions, or representations, oral or written, express or implied, with regard thereto. This Agreement may be amended only in writing signed by all parties.</w:t>
      </w:r>
    </w:p>
    <w:p>
      <w:pPr>
        <w:pStyle w:val="Normal"/>
        <w:spacing w:lineRule="auto" w:line="240" w:before="0" w:after="0"/>
        <w:jc w:val="both"/>
        <w:rPr>
          <w:rFonts w:ascii="Times New Roman" w:hAnsi="Times New Roman" w:cs="Times New Roman"/>
          <w:sz w:val="16"/>
          <w:szCs w:val="16"/>
        </w:rPr>
      </w:pPr>
      <w:r>
        <w:rPr>
          <w:rFonts w:cs="Times New Roman" w:ascii="Times New Roman" w:hAnsi="Times New Roman"/>
          <w:sz w:val="16"/>
          <w:szCs w:val="16"/>
        </w:rPr>
      </w:r>
    </w:p>
    <w:p>
      <w:pPr>
        <w:pStyle w:val="Normal"/>
        <w:spacing w:lineRule="auto" w:line="240" w:before="0" w:after="0"/>
        <w:jc w:val="both"/>
        <w:rPr>
          <w:rFonts w:ascii="Times New Roman" w:hAnsi="Times New Roman" w:cs="Times New Roman"/>
        </w:rPr>
      </w:pPr>
      <w:r>
        <w:rPr>
          <w:rFonts w:cs="Times New Roman" w:ascii="Times New Roman" w:hAnsi="Times New Roman"/>
        </w:rPr>
        <w:t xml:space="preserve">8.7 </w:t>
      </w:r>
      <w:r>
        <w:rPr>
          <w:rFonts w:cs="Times New Roman" w:ascii="Times New Roman" w:hAnsi="Times New Roman"/>
          <w:b/>
          <w:bCs/>
        </w:rPr>
        <w:t>Waiver</w:t>
      </w:r>
      <w:r>
        <w:rPr>
          <w:rFonts w:cs="Times New Roman" w:ascii="Times New Roman" w:hAnsi="Times New Roman"/>
        </w:rPr>
        <w:t>. A delay or failure by any party to exercise a right under this Agreement, or a partial or single exercise of that right, shall not constitute a waiver of that or any other right.</w:t>
      </w:r>
    </w:p>
    <w:p>
      <w:pPr>
        <w:pStyle w:val="Normal"/>
        <w:spacing w:lineRule="auto" w:line="240" w:before="0" w:after="0"/>
        <w:jc w:val="both"/>
        <w:rPr>
          <w:rFonts w:ascii="Times New Roman" w:hAnsi="Times New Roman" w:cs="Times New Roman"/>
          <w:sz w:val="16"/>
          <w:szCs w:val="16"/>
        </w:rPr>
      </w:pPr>
      <w:r>
        <w:rPr>
          <w:rFonts w:cs="Times New Roman" w:ascii="Times New Roman" w:hAnsi="Times New Roman"/>
          <w:sz w:val="16"/>
          <w:szCs w:val="16"/>
        </w:rPr>
      </w:r>
    </w:p>
    <w:p>
      <w:pPr>
        <w:pStyle w:val="Normal"/>
        <w:spacing w:lineRule="auto" w:line="240" w:before="0" w:after="0"/>
        <w:jc w:val="both"/>
        <w:rPr>
          <w:rFonts w:ascii="Times New Roman" w:hAnsi="Times New Roman" w:cs="Times New Roman"/>
        </w:rPr>
      </w:pPr>
      <w:r>
        <w:rPr>
          <w:rFonts w:cs="Times New Roman" w:ascii="Times New Roman" w:hAnsi="Times New Roman"/>
        </w:rPr>
        <w:t xml:space="preserve">8.8 </w:t>
      </w:r>
      <w:r>
        <w:rPr>
          <w:rFonts w:cs="Times New Roman" w:ascii="Times New Roman" w:hAnsi="Times New Roman"/>
          <w:b/>
          <w:bCs/>
        </w:rPr>
        <w:t>Counterparts</w:t>
      </w:r>
      <w:r>
        <w:rPr>
          <w:rFonts w:cs="Times New Roman" w:ascii="Times New Roman" w:hAnsi="Times New Roman"/>
        </w:rPr>
        <w:t>. This Agreement may be executed in duplicate counterparts, each of which shall be deemed an original, but all of which together shall constitute one and the same Agreement. In the event that the document is signed by one party and faxed (or emailed) to another the parties agree that a faxed (or emailed) signature shall be binding upon the parties to this agreement as though the signature was original.</w:t>
      </w:r>
    </w:p>
    <w:p>
      <w:pPr>
        <w:pStyle w:val="Normal"/>
        <w:spacing w:lineRule="auto" w:line="240" w:before="0" w:after="0"/>
        <w:jc w:val="both"/>
        <w:rPr>
          <w:rFonts w:ascii="Times New Roman" w:hAnsi="Times New Roman" w:cs="Times New Roman"/>
          <w:sz w:val="16"/>
          <w:szCs w:val="16"/>
        </w:rPr>
      </w:pPr>
      <w:r>
        <w:rPr>
          <w:rFonts w:cs="Times New Roman" w:ascii="Times New Roman" w:hAnsi="Times New Roman"/>
          <w:sz w:val="16"/>
          <w:szCs w:val="16"/>
        </w:rPr>
      </w:r>
    </w:p>
    <w:p>
      <w:pPr>
        <w:pStyle w:val="Normal"/>
        <w:spacing w:lineRule="auto" w:line="240" w:before="0" w:after="0"/>
        <w:jc w:val="both"/>
        <w:rPr>
          <w:rFonts w:ascii="Times New Roman" w:hAnsi="Times New Roman" w:cs="Times New Roman"/>
        </w:rPr>
      </w:pPr>
      <w:r>
        <w:rPr>
          <w:rFonts w:cs="Times New Roman" w:ascii="Times New Roman" w:hAnsi="Times New Roman"/>
        </w:rPr>
        <w:t xml:space="preserve">8.9 </w:t>
      </w:r>
      <w:r>
        <w:rPr>
          <w:rFonts w:cs="Times New Roman" w:ascii="Times New Roman" w:hAnsi="Times New Roman"/>
          <w:b/>
          <w:bCs/>
        </w:rPr>
        <w:t>Jurisdiction</w:t>
      </w:r>
      <w:r>
        <w:rPr>
          <w:rFonts w:cs="Times New Roman" w:ascii="Times New Roman" w:hAnsi="Times New Roman"/>
        </w:rPr>
        <w:t>. This Agreement, its terms and clauses shall be governed in the State of Nevada, Clark County.</w:t>
      </w:r>
    </w:p>
    <w:p>
      <w:pPr>
        <w:pStyle w:val="Normal"/>
        <w:spacing w:lineRule="auto" w:line="240" w:before="0" w:after="0"/>
        <w:jc w:val="both"/>
        <w:rPr>
          <w:rFonts w:ascii="Times New Roman" w:hAnsi="Times New Roman" w:cs="Times New Roman"/>
        </w:rPr>
      </w:pPr>
      <w:r>
        <w:rPr>
          <w:rFonts w:cs="Times New Roman" w:ascii="Times New Roman" w:hAnsi="Times New Roman"/>
        </w:rPr>
      </w:r>
    </w:p>
    <w:p>
      <w:pPr>
        <w:pStyle w:val="Normal"/>
        <w:spacing w:lineRule="auto" w:line="240" w:before="0" w:after="0"/>
        <w:jc w:val="both"/>
        <w:rPr>
          <w:rFonts w:ascii="Times New Roman" w:hAnsi="Times New Roman" w:cs="Times New Roman"/>
        </w:rPr>
      </w:pPr>
      <w:r>
        <w:rPr>
          <w:rFonts w:cs="Times New Roman" w:ascii="Times New Roman" w:hAnsi="Times New Roman"/>
        </w:rPr>
        <w:t xml:space="preserve">IN WITNESS WHEREOF this Agreement has been executed by the parties to it and is effective as of the date of the last signature appearing below.  Upon payment of consideration and signatures of the parties below, the Company hereby agrees to provide the services defined in section 3.0, and the Enterprise hereby agrees to hire </w:t>
      </w:r>
      <w:r>
        <w:rPr>
          <w:rFonts w:cs="Times New Roman" w:ascii="Times New Roman" w:hAnsi="Times New Roman"/>
          <w:b/>
          <w:bCs/>
        </w:rPr>
        <w:t xml:space="preserve">FINFIRE </w:t>
      </w:r>
      <w:r>
        <w:rPr>
          <w:rFonts w:cs="Times New Roman" w:ascii="Times New Roman" w:hAnsi="Times New Roman"/>
        </w:rPr>
        <w:t>for the services defined in section 3.0.</w:t>
      </w:r>
    </w:p>
    <w:p>
      <w:pPr>
        <w:pStyle w:val="Normal"/>
        <w:spacing w:lineRule="auto" w:line="240" w:before="0" w:after="0"/>
        <w:rPr>
          <w:rFonts w:ascii="Times New Roman" w:hAnsi="Times New Roman" w:cs="Times New Roman"/>
        </w:rPr>
      </w:pPr>
      <w:r>
        <w:rPr>
          <w:rFonts w:cs="Times New Roman" w:ascii="Times New Roman" w:hAnsi="Times New Roman"/>
        </w:rPr>
      </w:r>
    </w:p>
    <w:p>
      <w:pPr>
        <w:pStyle w:val="Normal"/>
        <w:spacing w:lineRule="auto" w:line="240" w:before="0" w:after="0"/>
        <w:rPr>
          <w:rFonts w:ascii="Times New Roman" w:hAnsi="Times New Roman" w:cs="Times New Roman"/>
          <w:b/>
          <w:bCs/>
        </w:rPr>
      </w:pPr>
      <w:r>
        <w:rPr>
          <w:rFonts w:cs="Times New Roman" w:ascii="Times New Roman" w:hAnsi="Times New Roman"/>
          <w:b/>
          <w:bCs/>
        </w:rPr>
        <w:t xml:space="preserve">COMPANY, FINFIRE, INC. </w:t>
        <w:tab/>
        <w:tab/>
        <w:tab/>
        <w:t>ENTERPRISE,</w:t>
        <w:tab/>
      </w:r>
    </w:p>
    <w:p>
      <w:pPr>
        <w:pStyle w:val="Normal"/>
        <w:spacing w:lineRule="auto" w:line="240" w:before="0" w:after="0"/>
        <w:rPr>
          <w:rFonts w:ascii="Times New Roman" w:hAnsi="Times New Roman" w:cs="Times New Roman"/>
        </w:rPr>
      </w:pPr>
      <w:r>
        <w:rPr>
          <w:rFonts w:cs="Times New Roman" w:ascii="Times New Roman" w:hAnsi="Times New Roman"/>
        </w:rPr>
      </w:r>
    </w:p>
    <w:p>
      <w:pPr>
        <w:pStyle w:val="Normal"/>
        <w:spacing w:lineRule="auto" w:line="240" w:before="0" w:after="0"/>
        <w:rPr>
          <w:rFonts w:ascii="Times New Roman" w:hAnsi="Times New Roman" w:cs="Times New Roman"/>
        </w:rPr>
      </w:pPr>
      <w:r>
        <w:rPr>
          <w:rFonts w:cs="Times New Roman" w:ascii="Times New Roman" w:hAnsi="Times New Roman"/>
        </w:rPr>
        <w:t>______________________________</w:t>
        <w:tab/>
        <w:tab/>
        <w:t>______________________________</w:t>
      </w:r>
    </w:p>
    <w:p>
      <w:pPr>
        <w:pStyle w:val="Normal"/>
        <w:spacing w:lineRule="auto" w:line="240" w:before="0" w:after="0"/>
        <w:rPr>
          <w:rFonts w:ascii="Times New Roman" w:hAnsi="Times New Roman" w:cs="Times New Roman"/>
        </w:rPr>
      </w:pPr>
      <w:r>
        <w:rPr>
          <w:rFonts w:cs="Times New Roman" w:ascii="Times New Roman" w:hAnsi="Times New Roman"/>
        </w:rPr>
        <w:t>Tony Drexel Smith</w:t>
        <w:tab/>
        <w:tab/>
        <w:tab/>
        <w:tab/>
        <w:tab/>
      </w:r>
    </w:p>
    <w:p>
      <w:pPr>
        <w:pStyle w:val="Normal"/>
        <w:spacing w:lineRule="auto" w:line="240" w:before="0" w:after="0"/>
        <w:rPr>
          <w:rFonts w:ascii="Times New Roman" w:hAnsi="Times New Roman" w:cs="Times New Roman"/>
        </w:rPr>
      </w:pPr>
      <w:r>
        <w:rPr>
          <w:rFonts w:cs="Times New Roman" w:ascii="Times New Roman" w:hAnsi="Times New Roman"/>
        </w:rPr>
        <w:t>Company Representative</w:t>
        <w:tab/>
        <w:tab/>
        <w:tab/>
        <w:tab/>
        <w:t>Enterprise Representative</w:t>
      </w:r>
    </w:p>
    <w:p>
      <w:pPr>
        <w:pStyle w:val="Normal"/>
        <w:spacing w:lineRule="auto" w:line="240" w:before="0" w:after="0"/>
        <w:rPr>
          <w:rFonts w:ascii="Times New Roman" w:hAnsi="Times New Roman" w:cs="Times New Roman"/>
        </w:rPr>
      </w:pPr>
      <w:bookmarkStart w:id="1" w:name="_Hlk88961143"/>
      <w:r>
        <w:rPr>
          <w:rFonts w:cs="Times New Roman" w:ascii="Times New Roman" w:hAnsi="Times New Roman"/>
        </w:rPr>
        <w:t>Date:  _________________________</w:t>
        <w:tab/>
        <w:tab/>
        <w:t>Date:  _________________________</w:t>
      </w:r>
      <w:bookmarkEnd w:id="1"/>
    </w:p>
    <w:sectPr>
      <w:type w:val="continuous"/>
      <w:pgSz w:w="12240" w:h="15840"/>
      <w:pgMar w:left="1440" w:right="1440" w:gutter="0" w:header="0" w:top="1440" w:footer="720" w:bottom="1440"/>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72875947"/>
    </w:sdtPr>
    <w:sdtContent>
      <w:p>
        <w:pPr>
          <w:pStyle w:val="Footer"/>
          <w:jc w:val="right"/>
          <w:rPr/>
        </w:pPr>
        <w:r>
          <w:rPr/>
          <w:fldChar w:fldCharType="begin"/>
        </w:r>
        <w:r>
          <w:rPr/>
          <w:instrText xml:space="preserve"> PAGE </w:instrText>
        </w:r>
        <w:r>
          <w:rPr/>
          <w:fldChar w:fldCharType="separate"/>
        </w:r>
        <w:r>
          <w:rPr/>
          <w:t>7</w:t>
        </w:r>
        <w:r>
          <w:rPr/>
          <w:fldChar w:fldCharType="end"/>
        </w:r>
      </w:p>
      <w:p>
        <w:pPr>
          <w:pStyle w:val="Footer"/>
          <w:rPr/>
        </w:pPr>
        <w:r>
          <w:rPr/>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72875947"/>
    </w:sdtPr>
    <w:sdtContent>
      <w:p>
        <w:pPr>
          <w:pStyle w:val="Footer"/>
          <w:jc w:val="right"/>
          <w:rPr/>
        </w:pPr>
        <w:r>
          <w:rPr/>
          <w:fldChar w:fldCharType="begin"/>
        </w:r>
        <w:r>
          <w:rPr/>
          <w:instrText xml:space="preserve"> PAGE </w:instrText>
        </w:r>
        <w:r>
          <w:rPr/>
          <w:fldChar w:fldCharType="separate"/>
        </w:r>
        <w:r>
          <w:rPr/>
          <w:t>7</w:t>
        </w:r>
        <w:r>
          <w:rPr/>
          <w:fldChar w:fldCharType="end"/>
        </w:r>
      </w:p>
      <w:p>
        <w:pPr>
          <w:pStyle w:val="Footer"/>
          <w:rPr/>
        </w:pPr>
        <w:r>
          <w:rPr/>
        </w:r>
      </w:p>
    </w:sdtContent>
  </w:sdt>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b6ac2"/>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1d7c65"/>
    <w:rPr/>
  </w:style>
  <w:style w:type="character" w:styleId="FooterChar" w:customStyle="1">
    <w:name w:val="Footer Char"/>
    <w:basedOn w:val="DefaultParagraphFont"/>
    <w:link w:val="Footer"/>
    <w:uiPriority w:val="99"/>
    <w:qFormat/>
    <w:rsid w:val="001d7c65"/>
    <w:rPr/>
  </w:style>
  <w:style w:type="character" w:styleId="Hyperlink">
    <w:name w:val="Hyperlink"/>
    <w:basedOn w:val="DefaultParagraphFont"/>
    <w:uiPriority w:val="99"/>
    <w:unhideWhenUsed/>
    <w:rsid w:val="002d51cd"/>
    <w:rPr>
      <w:color w:val="0000FF"/>
      <w:u w:val="single"/>
    </w:rPr>
  </w:style>
  <w:style w:type="character" w:styleId="UnresolvedMention">
    <w:name w:val="Unresolved Mention"/>
    <w:basedOn w:val="DefaultParagraphFont"/>
    <w:uiPriority w:val="99"/>
    <w:semiHidden/>
    <w:unhideWhenUsed/>
    <w:qFormat/>
    <w:rsid w:val="00fb15be"/>
    <w:rPr>
      <w:color w:val="605E5C"/>
      <w:shd w:fill="E1DFDD" w:val="clear"/>
    </w:rPr>
  </w:style>
  <w:style w:type="character" w:styleId="FootnoteTextChar" w:customStyle="1">
    <w:name w:val="Footnote Text Char"/>
    <w:basedOn w:val="DefaultParagraphFont"/>
    <w:link w:val="FootnoteText"/>
    <w:uiPriority w:val="99"/>
    <w:semiHidden/>
    <w:qFormat/>
    <w:rsid w:val="006979ef"/>
    <w:rPr>
      <w:sz w:val="20"/>
      <w:szCs w:val="20"/>
    </w:rPr>
  </w:style>
  <w:style w:type="character" w:styleId="FootnoteCharacters">
    <w:name w:val="Footnote Characters"/>
    <w:basedOn w:val="DefaultParagraphFont"/>
    <w:uiPriority w:val="99"/>
    <w:unhideWhenUsed/>
    <w:qFormat/>
    <w:rsid w:val="006979ef"/>
    <w:rPr>
      <w:vertAlign w:val="superscript"/>
    </w:rPr>
  </w:style>
  <w:style w:type="character" w:styleId="FootnoteReference">
    <w:name w:val="Footnote Reference"/>
    <w:rPr>
      <w:vertAlign w:val="superscript"/>
    </w:rPr>
  </w:style>
  <w:style w:type="character" w:styleId="PlainTextChar" w:customStyle="1">
    <w:name w:val="Plain Text Char"/>
    <w:basedOn w:val="DefaultParagraphFont"/>
    <w:link w:val="PlainText"/>
    <w:uiPriority w:val="99"/>
    <w:qFormat/>
    <w:rsid w:val="001a3716"/>
    <w:rPr>
      <w:rFonts w:ascii="Calibri" w:hAnsi="Calibri" w:eastAsia="Times New Roman"/>
      <w:kern w:val="2"/>
      <w:szCs w:val="21"/>
      <w14:ligatures w14:val="standardContextua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1d7c65"/>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1d7c65"/>
    <w:pPr>
      <w:tabs>
        <w:tab w:val="clear" w:pos="720"/>
        <w:tab w:val="center" w:pos="4680" w:leader="none"/>
        <w:tab w:val="right" w:pos="9360" w:leader="none"/>
      </w:tabs>
      <w:spacing w:lineRule="auto" w:line="240" w:before="0" w:after="0"/>
    </w:pPr>
    <w:rPr/>
  </w:style>
  <w:style w:type="paragraph" w:styleId="ListParagraph">
    <w:name w:val="List Paragraph"/>
    <w:basedOn w:val="Normal"/>
    <w:uiPriority w:val="34"/>
    <w:qFormat/>
    <w:rsid w:val="001d7c65"/>
    <w:pPr>
      <w:spacing w:before="0" w:after="160"/>
      <w:ind w:left="720"/>
      <w:contextualSpacing/>
    </w:pPr>
    <w:rPr/>
  </w:style>
  <w:style w:type="paragraph" w:styleId="FootnoteText">
    <w:name w:val="Footnote Text"/>
    <w:basedOn w:val="Normal"/>
    <w:link w:val="FootnoteTextChar"/>
    <w:uiPriority w:val="99"/>
    <w:semiHidden/>
    <w:unhideWhenUsed/>
    <w:rsid w:val="006979ef"/>
    <w:pPr>
      <w:spacing w:lineRule="auto" w:line="240" w:before="0" w:after="0"/>
    </w:pPr>
    <w:rPr>
      <w:sz w:val="20"/>
      <w:szCs w:val="20"/>
    </w:rPr>
  </w:style>
  <w:style w:type="paragraph" w:styleId="PlainText">
    <w:name w:val="Plain Text"/>
    <w:basedOn w:val="Normal"/>
    <w:link w:val="PlainTextChar"/>
    <w:uiPriority w:val="99"/>
    <w:unhideWhenUsed/>
    <w:qFormat/>
    <w:rsid w:val="001a3716"/>
    <w:pPr>
      <w:spacing w:lineRule="auto" w:line="240" w:before="0" w:after="0"/>
    </w:pPr>
    <w:rPr>
      <w:rFonts w:ascii="Calibri" w:hAnsi="Calibri" w:eastAsia="Times New Roman"/>
      <w:kern w:val="2"/>
      <w:szCs w:val="21"/>
      <w14:ligatures w14:val="standardContextual"/>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Relationship Id="rId11" Type="http://schemas.openxmlformats.org/officeDocument/2006/relationships/customXml" Target="../customXml/item2.xml"/><Relationship Id="rId12"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3C420A8B0BE64FB4C3F7B9B80A0DC7" ma:contentTypeVersion="4" ma:contentTypeDescription="Create a new document." ma:contentTypeScope="" ma:versionID="bfc702bf89d8e629547ceed4c870a791">
  <xsd:schema xmlns:xsd="http://www.w3.org/2001/XMLSchema" xmlns:xs="http://www.w3.org/2001/XMLSchema" xmlns:p="http://schemas.microsoft.com/office/2006/metadata/properties" xmlns:ns3="c2e365dd-b1d9-42ed-8b2b-53fc9767253d" targetNamespace="http://schemas.microsoft.com/office/2006/metadata/properties" ma:root="true" ma:fieldsID="6571e2a6ca6da2bdf5e93759f7ee4a0f" ns3:_="">
    <xsd:import namespace="c2e365dd-b1d9-42ed-8b2b-53fc9767253d"/>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e365dd-b1d9-42ed-8b2b-53fc976725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1C7BA32-588B-48A8-A10B-71F59CDFF2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e365dd-b1d9-42ed-8b2b-53fc976725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9564266-61BA-45DA-B6F9-6BE0C6F9A4EE}">
  <ds:schemaRefs>
    <ds:schemaRef ds:uri="http://schemas.microsoft.com/sharepoint/v3/contenttype/forms"/>
  </ds:schemaRefs>
</ds:datastoreItem>
</file>

<file path=customXml/itemProps3.xml><?xml version="1.0" encoding="utf-8"?>
<ds:datastoreItem xmlns:ds="http://schemas.openxmlformats.org/officeDocument/2006/customXml" ds:itemID="{51A21BA7-3BEF-4C54-A0EE-6C42319711D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TotalTime>
  <Application>LibreOffice/24.2.7.2$Linux_X86_64 LibreOffice_project/420$Build-2</Application>
  <AppVersion>15.0000</AppVersion>
  <Pages>13</Pages>
  <Words>3710</Words>
  <Characters>20902</Characters>
  <CharactersWithSpaces>24710</CharactersWithSpaces>
  <Paragraphs>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2025-01-27T19:46:00Z</dcterms:created>
  <dc:creator>Tony Smith</dc:creator>
  <dc:description/>
  <dc:language>en-US</dc:language>
  <cp:lastModifiedBy/>
  <cp:lastPrinted>2024-12-19T12:14:00Z</cp:lastPrinted>
  <dcterms:modified xsi:type="dcterms:W3CDTF">2025-01-30T21:35:44Z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0x010100293C420A8B0BE64FB4C3F7B9B80A0DC7</vt:lpwstr>
  </property>
</Properties>
</file>