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Analyse des performances avec graphiques : 120 vs 200 utilisateurs</w:t>
      </w:r>
    </w:p>
    <w:p>
      <w:pPr>
        <w:pStyle w:val="Heading2"/>
      </w:pPr>
      <w:r>
        <w:t>Temps de réponse moyen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temps_moyen_120_2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Ce graphique illustre les différences de temps de réponse moyen pour plusieurs transactions clés entre les tests réalisés à 120 et 200 utilisateurs. La charge plus élevée à 200 utilisateurs entraîne une augmentation sensible des temps sur la majorité des étapes.</w:t>
      </w:r>
    </w:p>
    <w:p>
      <w:pPr>
        <w:pStyle w:val="Heading2"/>
      </w:pPr>
      <w:r>
        <w:t>Temps de réponse au 90e percentile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_90e_percentile_120_2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 90e percentile met en évidence les cas les plus défavorables en termes de latence. On note une nette dégradation pour certaines transactions à 200 utilisateurs, indiquant une pression plus forte sur le système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