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Rapport d'Analyse - Pic de Consommation CPU</w:t>
      </w:r>
    </w:p>
    <w:p>
      <w:r>
        <w:t>Ce rapport présente les observations relatives aux pics de consommation CPU constatés sur différents services UAT le 30 mars 2025. Ces pics sont survenus pendant une phase de montée en charge, ce qui explique l'augmentation soudaine de la consommation des ressources processeur.</w:t>
      </w:r>
    </w:p>
    <w:p>
      <w:pPr>
        <w:pStyle w:val="Heading2"/>
      </w:pPr>
      <w:r>
        <w:t>1. Observations</w:t>
      </w:r>
    </w:p>
    <w:p>
      <w:r>
        <w:t>Des pics CPU ont été observés à des moments spécifiques, correspondant à une montée en charge contrôlée dans l'environnement UAT. Voici les services impactés et les pics relevés :</w:t>
      </w:r>
    </w:p>
    <w:p>
      <w:pPr>
        <w:pStyle w:val="ListBullet"/>
      </w:pPr>
      <w:r>
        <w:t>- wsseccre-uat-service : pic à 0.0168 à 16:32</w:t>
      </w:r>
    </w:p>
    <w:p>
      <w:pPr>
        <w:pStyle w:val="ListBullet"/>
      </w:pPr>
      <w:r>
        <w:t>- wsssccpar-uat-service : pic à 0.0180 à 17:31</w:t>
      </w:r>
    </w:p>
    <w:p>
      <w:pPr>
        <w:pStyle w:val="ListBullet"/>
      </w:pPr>
      <w:r>
        <w:t>- wssecpfi-uat-service : pic à 0.0270 à 16:32</w:t>
      </w:r>
    </w:p>
    <w:p>
      <w:pPr>
        <w:pStyle w:val="ListBullet"/>
      </w:pPr>
      <w:r>
        <w:t>- wssscpph-uat-service : pic le plus élevé à 0.0540 à 15:49</w:t>
      </w:r>
    </w:p>
    <w:p>
      <w:pPr>
        <w:pStyle w:val="Heading2"/>
      </w:pPr>
      <w:r>
        <w:t>2. Explication</w:t>
      </w:r>
    </w:p>
    <w:p>
      <w:r>
        <w:t>Les pics sont survenus lors de la montée en charge simulée par des outils de test (comme LoadRunner), entraînant une augmentation temporaire de la charge sur les pods. Cela est considéré comme un comportement attendu lors de tests de performance ou de résistance.</w:t>
      </w:r>
    </w:p>
    <w:p>
      <w:pPr>
        <w:pStyle w:val="Heading2"/>
      </w:pPr>
      <w:r>
        <w:t>3. Recommandations</w:t>
      </w:r>
    </w:p>
    <w:p>
      <w:pPr>
        <w:pStyle w:val="ListNumber"/>
      </w:pPr>
      <w:r>
        <w:t>Analyser les logs techniques et applicatifs aux heures concernées pour affiner l'origine précise de la montée en charge.</w:t>
      </w:r>
    </w:p>
    <w:p>
      <w:pPr>
        <w:pStyle w:val="ListNumber"/>
      </w:pPr>
      <w:r>
        <w:t>Mettre en place des alertes sur les seuils CPU via Prometheus/Grafana.</w:t>
      </w:r>
    </w:p>
    <w:p>
      <w:pPr>
        <w:pStyle w:val="ListNumber"/>
      </w:pPr>
      <w:r>
        <w:t>Optimiser le code ou les traitements déclenchés à ces moments si la charge dépasse les limites prévues.</w:t>
      </w:r>
    </w:p>
    <w:p>
      <w:pPr>
        <w:pStyle w:val="ListNumber"/>
      </w:pPr>
      <w:r>
        <w:t>S'assurer que les ressources CPU (requests/limits) sont correctement définies pour chaque pod dans Kubernetes.</w:t>
      </w:r>
    </w:p>
    <w:p>
      <w:pPr>
        <w:pStyle w:val="Heading2"/>
      </w:pPr>
      <w:r>
        <w:t>4. Conclusion</w:t>
      </w:r>
    </w:p>
    <w:p>
      <w:r>
        <w:t>Les pics observés sont directement liés à une montée en charge volontaire. Il est important de continuer à surveiller l’évolution des ressources lors des tests, afin d’assurer la stabilité et la performance de l’application dans des conditions de charge réelles.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