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Aptos"/>
          <w:b/>
          <w:color w:val="595959"/>
          <w:sz w:val="26"/>
        </w:rPr>
        <w:t>Plantky / Check Before You Plant</w:t>
      </w:r>
    </w:p>
    <w:p>
      <w:pPr>
        <w:jc w:val="center"/>
      </w:pPr>
      <w:r>
        <w:rPr>
          <w:rFonts w:ascii="Aptos" w:hAnsi="Aptos" w:eastAsia="Aptos"/>
          <w:b/>
          <w:color w:val="1F4E79"/>
          <w:sz w:val="50"/>
        </w:rPr>
        <w:t>Iteration 1 Backend API Test Document</w:t>
      </w:r>
    </w:p>
    <w:p>
      <w:pPr>
        <w:jc w:val="center"/>
      </w:pPr>
      <w:r>
        <w:rPr>
          <w:rFonts w:ascii="Aptos" w:hAnsi="Aptos" w:eastAsia="Aptos"/>
          <w:b/>
          <w:color w:val="2F5474"/>
          <w:sz w:val="32"/>
        </w:rPr>
        <w:t>Apifox Test Plan &amp; Test Cases</w:t>
      </w:r>
    </w:p>
    <w:p>
      <w:pPr>
        <w:spacing w:before="320"/>
        <w:jc w:val="center"/>
      </w:pPr>
      <w:r>
        <w:rPr>
          <w:rFonts w:ascii="Aptos" w:hAnsi="Aptos" w:eastAsia="Aptos"/>
          <w:color w:val="595959"/>
          <w:sz w:val="22"/>
        </w:rPr>
        <w:t>City of Monash · Sustainable Urban Ecosystems</w:t>
      </w:r>
    </w:p>
    <w:p>
      <w:pPr>
        <w:jc w:val="center"/>
      </w:pPr>
      <w:r>
        <w:rPr>
          <w:rFonts w:ascii="Aptos" w:hAnsi="Aptos" w:eastAsia="Aptos"/>
          <w:color w:val="595959"/>
          <w:sz w:val="20"/>
        </w:rPr>
        <w:t>Vue 3 · Java / Spring Boot / MyBatis-Plus · MySQL</w:t>
      </w:r>
    </w:p>
    <w:p>
      <w:pPr>
        <w:spacing w:before="900"/>
        <w:jc w:val="center"/>
      </w:pPr>
      <w:r>
        <w:rPr>
          <w:rFonts w:ascii="Aptos" w:hAnsi="Aptos" w:eastAsia="Aptos"/>
          <w:b/>
          <w:sz w:val="20"/>
        </w:rPr>
        <w:t>Version 1.0 · Iteration 1</w:t>
      </w:r>
    </w:p>
    <w:p>
      <w:r>
        <w:br w:type="page"/>
      </w:r>
    </w:p>
    <w:p>
      <w:pPr>
        <w:pStyle w:val="Heading1"/>
      </w:pPr>
      <w:r>
        <w:t>1. Purpose and Test Scope</w:t>
      </w:r>
    </w:p>
    <w:p>
      <w:r>
        <w:t>This document defines how Apifox is used to test the Plantky Iteration 1 backend API, validate business rules, and run regression checks before acceptance. The test target is the two confirmed GET APIs for Iteration 1. The focus is on HTTP status codes, JSON structure, database-to-API mapping, risk states, City of Monash VBA occurrence evidence, recommendation rules, error handling, and key response-time checks.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DDEBF7"/>
            <w:vAlign w:val="center"/>
            <w:tcMar>
              <w:top w:w="90" w:type="dxa"/>
              <w:start w:w="100" w:type="dxa"/>
              <w:bottom w:w="90" w:type="dxa"/>
              <w:end w:w="100" w:type="dxa"/>
            </w:tcMar>
          </w:tcPr>
          <w:p>
            <w:pPr>
              <w:spacing w:after="0"/>
              <w:jc w:val="center"/>
            </w:pPr>
            <w:r>
              <w:rPr>
                <w:rFonts w:ascii="Aptos" w:hAnsi="Aptos" w:eastAsia="Aptos"/>
                <w:b/>
                <w:sz w:val="16"/>
              </w:rPr>
              <w:t>Item</w:t>
            </w:r>
          </w:p>
        </w:tc>
        <w:tc>
          <w:tcPr>
            <w:tcW w:type="dxa" w:w="8064"/>
            <w:shd w:fill="DDEBF7"/>
            <w:vAlign w:val="center"/>
            <w:tcMar>
              <w:top w:w="90" w:type="dxa"/>
              <w:start w:w="100" w:type="dxa"/>
              <w:bottom w:w="90" w:type="dxa"/>
              <w:end w:w="100" w:type="dxa"/>
            </w:tcMar>
          </w:tcPr>
          <w:p>
            <w:pPr>
              <w:spacing w:after="0"/>
              <w:jc w:val="center"/>
            </w:pPr>
            <w:r>
              <w:rPr>
                <w:rFonts w:ascii="Aptos" w:hAnsi="Aptos" w:eastAsia="Aptos"/>
                <w:b/>
                <w:sz w:val="16"/>
              </w:rPr>
              <w:t>Details</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Document version</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v1.0</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Test tool</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Apifox</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Backend</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Java / Spring Boot / MyBatis-Plus</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Database</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MySQL - species_data</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Number of APIs</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2 core GET APIs</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Test environments</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Local development + later public deployment</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Primary basis</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Iteration 1 US/AC technical specification + API interface document + species_data_revised.sql</w:t>
            </w:r>
          </w:p>
        </w:tc>
      </w:tr>
    </w:tbl>
    <w:p>
      <w:pPr>
        <w:spacing w:after="40"/>
      </w:pPr>
    </w:p>
    <w:tbl>
      <w:tblPr>
        <w:tblStyle w:val="TableGrid"/>
        <w:tblW w:type="auto" w:w="0"/>
        <w:jc w:val="center"/>
        <w:tblLook w:firstColumn="1" w:firstRow="1" w:lastColumn="0" w:lastRow="0" w:noHBand="0" w:noVBand="1" w:val="04A0"/>
      </w:tblPr>
      <w:tblGrid>
        <w:gridCol w:w="10282"/>
      </w:tblGrid>
      <w:tr>
        <w:trPr>
          <w:cantSplit/>
        </w:trPr>
        <w:tc>
          <w:tcPr>
            <w:tcW w:type="dxa" w:w="10282"/>
            <w:shd w:fill="FFF2CC"/>
            <w:tcMar>
              <w:top w:w="120" w:type="dxa"/>
              <w:start w:w="140" w:type="dxa"/>
              <w:bottom w:w="120" w:type="dxa"/>
              <w:end w:w="140" w:type="dxa"/>
            </w:tcMar>
          </w:tcPr>
          <w:p>
            <w:r>
              <w:rPr>
                <w:rFonts w:ascii="Aptos" w:hAnsi="Aptos" w:eastAsia="Aptos"/>
                <w:b/>
                <w:sz w:val="18"/>
              </w:rPr>
              <w:t xml:space="preserve">Scope boundary: </w:t>
            </w:r>
            <w:r>
              <w:rPr>
                <w:rFonts w:ascii="Aptos" w:hAnsi="Aptos" w:eastAsia="Aptos"/>
                <w:sz w:val="18"/>
              </w:rPr>
              <w:t>This is a backend API test document. UI behaviour such as whether the search field is visible, whether the autocomplete dropdown appears, whether selecting a result navigates correctly, and whether assessment sections are visually displayed must be verified by frontend or end-to-end testing, not by Apifox alone.</w:t>
            </w:r>
          </w:p>
        </w:tc>
      </w:tr>
    </w:tbl>
    <w:p>
      <w:pPr>
        <w:spacing w:after="40"/>
      </w:pPr>
    </w:p>
    <w:p>
      <w:pPr>
        <w:pStyle w:val="Heading2"/>
      </w:pPr>
      <w:r>
        <w:t>1.1 APIs Covered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DDEBF7"/>
            <w:vAlign w:val="center"/>
            <w:tcMar>
              <w:top w:w="90" w:type="dxa"/>
              <w:start w:w="100" w:type="dxa"/>
              <w:bottom w:w="90" w:type="dxa"/>
              <w:end w:w="100" w:type="dxa"/>
            </w:tcMar>
          </w:tcPr>
          <w:p>
            <w:pPr>
              <w:spacing w:after="0"/>
              <w:jc w:val="center"/>
            </w:pPr>
            <w:r>
              <w:rPr>
                <w:rFonts w:ascii="Aptos" w:hAnsi="Aptos" w:eastAsia="Aptos"/>
                <w:b/>
                <w:sz w:val="16"/>
              </w:rPr>
              <w:t>Method</w:t>
            </w:r>
          </w:p>
        </w:tc>
        <w:tc>
          <w:tcPr>
            <w:tcW w:type="dxa" w:w="4608"/>
            <w:shd w:fill="DDEBF7"/>
            <w:vAlign w:val="center"/>
            <w:tcMar>
              <w:top w:w="90" w:type="dxa"/>
              <w:start w:w="100" w:type="dxa"/>
              <w:bottom w:w="90" w:type="dxa"/>
              <w:end w:w="100" w:type="dxa"/>
            </w:tcMar>
          </w:tcPr>
          <w:p>
            <w:pPr>
              <w:spacing w:after="0"/>
              <w:jc w:val="center"/>
            </w:pPr>
            <w:r>
              <w:rPr>
                <w:rFonts w:ascii="Aptos" w:hAnsi="Aptos" w:eastAsia="Aptos"/>
                <w:b/>
                <w:sz w:val="16"/>
              </w:rPr>
              <w:t>Endpoint</w:t>
            </w:r>
          </w:p>
        </w:tc>
        <w:tc>
          <w:tcPr>
            <w:tcW w:type="dxa" w:w="4608"/>
            <w:shd w:fill="DDEBF7"/>
            <w:vAlign w:val="center"/>
            <w:tcMar>
              <w:top w:w="90" w:type="dxa"/>
              <w:start w:w="100" w:type="dxa"/>
              <w:bottom w:w="90" w:type="dxa"/>
              <w:end w:w="100" w:type="dxa"/>
            </w:tcMar>
          </w:tcPr>
          <w:p>
            <w:pPr>
              <w:spacing w:after="0"/>
              <w:jc w:val="center"/>
            </w:pPr>
            <w:r>
              <w:rPr>
                <w:rFonts w:ascii="Aptos" w:hAnsi="Aptos" w:eastAsia="Aptos"/>
                <w:b/>
                <w:sz w:val="16"/>
              </w:rPr>
              <w:t>Purpose</w:t>
            </w:r>
          </w:p>
        </w:tc>
      </w:tr>
      <w:tr>
        <w:tc>
          <w:tcPr>
            <w:tcW w:type="dxa" w:w="1152"/>
            <w:vAlign w:val="center"/>
            <w:tcMar>
              <w:top w:w="90" w:type="dxa"/>
              <w:start w:w="100" w:type="dxa"/>
              <w:bottom w:w="90" w:type="dxa"/>
              <w:end w:w="100" w:type="dxa"/>
            </w:tcMar>
          </w:tcPr>
          <w:p>
            <w:pPr>
              <w:spacing w:after="0" w:before="0" w:line="240" w:lineRule="auto"/>
            </w:pPr>
            <w:r>
              <w:rPr>
                <w:rFonts w:ascii="Aptos" w:hAnsi="Aptos" w:eastAsia="Aptos"/>
                <w:sz w:val="16"/>
              </w:rPr>
              <w:t>GET</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/api/v1/plants/search?q={keyword}</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Plant Search + data source for autocomplete</w:t>
            </w:r>
          </w:p>
        </w:tc>
      </w:tr>
      <w:tr>
        <w:tc>
          <w:tcPr>
            <w:tcW w:type="dxa" w:w="1152"/>
            <w:vAlign w:val="center"/>
            <w:tcMar>
              <w:top w:w="90" w:type="dxa"/>
              <w:start w:w="100" w:type="dxa"/>
              <w:bottom w:w="90" w:type="dxa"/>
              <w:end w:w="100" w:type="dxa"/>
            </w:tcMar>
          </w:tcPr>
          <w:p>
            <w:pPr>
              <w:spacing w:after="0" w:before="0" w:line="240" w:lineRule="auto"/>
            </w:pPr>
            <w:r>
              <w:rPr>
                <w:rFonts w:ascii="Aptos" w:hAnsi="Aptos" w:eastAsia="Aptos"/>
                <w:sz w:val="16"/>
              </w:rPr>
              <w:t>GET</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/api/v1/plants/{plantId}/assessment</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Return full Plant Assessment + Recommendation</w:t>
            </w:r>
          </w:p>
        </w:tc>
      </w:tr>
    </w:tbl>
    <w:p>
      <w:pPr>
        <w:spacing w:after="40"/>
      </w:pPr>
    </w:p>
    <w:p>
      <w:pPr>
        <w:pStyle w:val="Heading2"/>
      </w:pPr>
      <w:r>
        <w:t>1.2 Out of Scope for Iteration 1 Backend Testing</w:t>
      </w:r>
    </w:p>
    <w:p>
      <w:pPr>
        <w:pStyle w:val="ListBullet"/>
        <w:spacing w:after="40"/>
      </w:pPr>
      <w:r>
        <w:rPr>
          <w:rFonts w:ascii="Aptos" w:hAnsi="Aptos" w:eastAsia="Aptos"/>
          <w:sz w:val="18"/>
        </w:rPr>
        <w:t>Postcode/address and geolocation</w:t>
      </w:r>
    </w:p>
    <w:p>
      <w:pPr>
        <w:pStyle w:val="ListBullet"/>
        <w:spacing w:after="40"/>
      </w:pPr>
      <w:r>
        <w:rPr>
          <w:rFonts w:ascii="Aptos" w:hAnsi="Aptos" w:eastAsia="Aptos"/>
          <w:sz w:val="18"/>
        </w:rPr>
        <w:t>Map / Mapbox</w:t>
      </w:r>
    </w:p>
    <w:p>
      <w:pPr>
        <w:pStyle w:val="ListBullet"/>
        <w:spacing w:after="40"/>
      </w:pPr>
      <w:r>
        <w:rPr>
          <w:rFonts w:ascii="Aptos" w:hAnsi="Aptos" w:eastAsia="Aptos"/>
          <w:sz w:val="18"/>
        </w:rPr>
        <w:t>Legal classification and conservation-area distance</w:t>
      </w:r>
    </w:p>
    <w:p>
      <w:pPr>
        <w:pStyle w:val="ListBullet"/>
        <w:spacing w:after="40"/>
      </w:pPr>
      <w:r>
        <w:rPr>
          <w:rFonts w:ascii="Aptos" w:hAnsi="Aptos" w:eastAsia="Aptos"/>
          <w:sz w:val="18"/>
        </w:rPr>
        <w:t>AI chat / machine learning</w:t>
      </w:r>
    </w:p>
    <w:p>
      <w:pPr>
        <w:pStyle w:val="ListBullet"/>
        <w:spacing w:after="40"/>
      </w:pPr>
      <w:r>
        <w:rPr>
          <w:rFonts w:ascii="Aptos" w:hAnsi="Aptos" w:eastAsia="Aptos"/>
          <w:sz w:val="18"/>
        </w:rPr>
        <w:t>Login, Cookie, Session, JWT</w:t>
      </w:r>
    </w:p>
    <w:p>
      <w:pPr>
        <w:pStyle w:val="ListBullet"/>
        <w:spacing w:after="40"/>
      </w:pPr>
      <w:r>
        <w:rPr>
          <w:rFonts w:ascii="Aptos" w:hAnsi="Aptos" w:eastAsia="Aptos"/>
          <w:sz w:val="18"/>
        </w:rPr>
        <w:t>Redis caching</w:t>
      </w:r>
    </w:p>
    <w:p>
      <w:pPr>
        <w:pStyle w:val="ListBullet"/>
        <w:spacing w:after="40"/>
      </w:pPr>
      <w:r>
        <w:rPr>
          <w:rFonts w:ascii="Aptos" w:hAnsi="Aptos" w:eastAsia="Aptos"/>
          <w:sz w:val="18"/>
        </w:rPr>
        <w:t>Microservices</w:t>
      </w:r>
    </w:p>
    <w:p>
      <w:pPr>
        <w:pStyle w:val="ListBullet"/>
        <w:spacing w:after="40"/>
      </w:pPr>
      <w:r>
        <w:rPr>
          <w:rFonts w:ascii="Aptos" w:hAnsi="Aptos" w:eastAsia="Aptos"/>
          <w:sz w:val="18"/>
        </w:rPr>
        <w:t>Create/update/delete CRUD (Iteration 1 is currently read-only for residents)</w:t>
      </w:r>
    </w:p>
    <w:p>
      <w:pPr>
        <w:pStyle w:val="Heading1"/>
      </w:pPr>
      <w:r>
        <w:t>2. Apifox Test Environment Setup</w:t>
      </w:r>
    </w:p>
    <w:p>
      <w:pPr>
        <w:pStyle w:val="Heading2"/>
      </w:pPr>
      <w:r>
        <w:t>2.1 Environment Variables</w:t>
      </w:r>
    </w:p>
    <w:p>
      <w:r>
        <w:t>Create a Local environment in the Apifox project. After the backend is deployed publicly, duplicate the environment as Dev / Public and only replace baseUrl.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880"/>
            <w:shd w:fill="DDEBF7"/>
            <w:vAlign w:val="center"/>
            <w:tcMar>
              <w:top w:w="90" w:type="dxa"/>
              <w:start w:w="100" w:type="dxa"/>
              <w:bottom w:w="90" w:type="dxa"/>
              <w:end w:w="100" w:type="dxa"/>
            </w:tcMar>
          </w:tcPr>
          <w:p>
            <w:pPr>
              <w:spacing w:after="0"/>
              <w:jc w:val="center"/>
            </w:pPr>
            <w:r>
              <w:rPr>
                <w:rFonts w:ascii="Aptos" w:hAnsi="Aptos" w:eastAsia="Aptos"/>
                <w:b/>
                <w:sz w:val="16"/>
              </w:rPr>
              <w:t>Variable</w:t>
            </w:r>
          </w:p>
        </w:tc>
        <w:tc>
          <w:tcPr>
            <w:tcW w:type="dxa" w:w="3168"/>
            <w:shd w:fill="DDEBF7"/>
            <w:vAlign w:val="center"/>
            <w:tcMar>
              <w:top w:w="90" w:type="dxa"/>
              <w:start w:w="100" w:type="dxa"/>
              <w:bottom w:w="90" w:type="dxa"/>
              <w:end w:w="100" w:type="dxa"/>
            </w:tcMar>
          </w:tcPr>
          <w:p>
            <w:pPr>
              <w:spacing w:after="0"/>
              <w:jc w:val="center"/>
            </w:pPr>
            <w:r>
              <w:rPr>
                <w:rFonts w:ascii="Aptos" w:hAnsi="Aptos" w:eastAsia="Aptos"/>
                <w:b/>
                <w:sz w:val="16"/>
              </w:rPr>
              <w:t>Example Value</w:t>
            </w:r>
          </w:p>
        </w:tc>
        <w:tc>
          <w:tcPr>
            <w:tcW w:type="dxa" w:w="4320"/>
            <w:shd w:fill="DDEBF7"/>
            <w:vAlign w:val="center"/>
            <w:tcMar>
              <w:top w:w="90" w:type="dxa"/>
              <w:start w:w="100" w:type="dxa"/>
              <w:bottom w:w="90" w:type="dxa"/>
              <w:end w:w="100" w:type="dxa"/>
            </w:tcMar>
          </w:tcPr>
          <w:p>
            <w:pPr>
              <w:spacing w:after="0"/>
              <w:jc w:val="center"/>
            </w:pPr>
            <w:r>
              <w:rPr>
                <w:rFonts w:ascii="Aptos" w:hAnsi="Aptos" w:eastAsia="Aptos"/>
                <w:b/>
                <w:sz w:val="16"/>
              </w:rPr>
              <w:t>Purpose</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baseUrl</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http://localhost:8080</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Local Spring Boot address</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plantIdModerateHigh</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3</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baileyana: Moderately High + VBA FOUND</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plantIdNotAssessed</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1</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acinacea: risk NULL + VBA NOT_FOUND</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plantIdHighFound</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8</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decurrens: High + VBA FOUND</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plantIdHighNoRecord</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9</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elata: High + VBA NOT_FOUND</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plantIdMediumNoRecord</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6</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cultriformis: Medium + VBA NOT_FOUND</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plantIdMediumManyRecords</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7</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dealbata: Medium + VBA=20</w:t>
            </w:r>
          </w:p>
        </w:tc>
      </w:tr>
      <w:tr>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6"/>
              </w:rPr>
              <w:t>invalidPlantId</w:t>
            </w:r>
          </w:p>
        </w:tc>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999999</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Non-existent plantId</w:t>
            </w:r>
          </w:p>
        </w:tc>
      </w:tr>
    </w:tbl>
    <w:p>
      <w:pPr>
        <w:spacing w:after="40"/>
      </w:pPr>
    </w:p>
    <w:p>
      <w:pPr>
        <w:pStyle w:val="CodeBlock"/>
        <w:keepLines/>
      </w:pPr>
      <w:r>
        <w:rPr>
          <w:rFonts w:ascii="DejaVu Sans Mono" w:hAnsi="DejaVu Sans Mono" w:eastAsia="DejaVu Sans Mono"/>
          <w:sz w:val="16"/>
        </w:rPr>
        <w:t>{{baseUrl}}/api/v1/plants/search?q=wattle</w:t>
        <w:br/>
      </w:r>
      <w:r>
        <w:rPr>
          <w:rFonts w:ascii="DejaVu Sans Mono" w:hAnsi="DejaVu Sans Mono" w:eastAsia="DejaVu Sans Mono"/>
          <w:sz w:val="16"/>
        </w:rPr>
        <w:t>{{baseUrl}}/api/v1/plants/{{plantIdModerateHigh}}/assessment</w:t>
        <w:br/>
      </w:r>
    </w:p>
    <w:p>
      <w:pPr>
        <w:pStyle w:val="Heading2"/>
      </w:pPr>
      <w:r>
        <w:t>2.2 Recommended Apifox Project Settings</w:t>
      </w:r>
    </w:p>
    <w:p>
      <w:pPr>
        <w:pStyle w:val="ListBullet"/>
        <w:spacing w:after="40"/>
      </w:pPr>
      <w:r>
        <w:rPr>
          <w:rFonts w:ascii="Aptos" w:hAnsi="Aptos" w:eastAsia="Aptos"/>
          <w:sz w:val="18"/>
        </w:rPr>
        <w:t>Create two APIs under API Management: “Plant Search” and “Plant Assessment”.</w:t>
      </w:r>
    </w:p>
    <w:p>
      <w:pPr>
        <w:pStyle w:val="ListBullet"/>
        <w:spacing w:after="40"/>
      </w:pPr>
      <w:r>
        <w:rPr>
          <w:rFonts w:ascii="Aptos" w:hAnsi="Aptos" w:eastAsia="Aptos"/>
          <w:sz w:val="18"/>
        </w:rPr>
        <w:t>Define response examples and schemas for 200 / 400 / 404 / 500, plus 503 if the project adopts it.</w:t>
      </w:r>
    </w:p>
    <w:p>
      <w:pPr>
        <w:pStyle w:val="ListBullet"/>
        <w:spacing w:after="40"/>
      </w:pPr>
      <w:r>
        <w:rPr>
          <w:rFonts w:ascii="Aptos" w:hAnsi="Aptos" w:eastAsia="Aptos"/>
          <w:sz w:val="18"/>
        </w:rPr>
        <w:t>Enable response validation / contract validation so actual status codes, field types, required fields, and enum values remain aligned with the API document.</w:t>
      </w:r>
    </w:p>
    <w:p>
      <w:pPr>
        <w:pStyle w:val="ListBullet"/>
        <w:spacing w:after="40"/>
      </w:pPr>
      <w:r>
        <w:rPr>
          <w:rFonts w:ascii="Aptos" w:hAnsi="Aptos" w:eastAsia="Aptos"/>
          <w:sz w:val="18"/>
        </w:rPr>
        <w:t>Add visual assertions in “Post-processors” for each test case; use JavaScript post-scripts for more complex business rules.</w:t>
      </w:r>
    </w:p>
    <w:p>
      <w:pPr>
        <w:pStyle w:val="ListBullet"/>
        <w:spacing w:after="40"/>
      </w:pPr>
      <w:r>
        <w:rPr>
          <w:rFonts w:ascii="Aptos" w:hAnsi="Aptos" w:eastAsia="Aptos"/>
          <w:sz w:val="18"/>
        </w:rPr>
        <w:t>Create an automated scenario named “Iteration 1 Backend Regression” and include the P0/P1 cases defined in this document.</w:t>
      </w:r>
    </w:p>
    <w:p>
      <w:pPr>
        <w:pStyle w:val="Heading1"/>
      </w:pPr>
      <w:r>
        <w:t>3. Test Data Baseline</w:t>
      </w:r>
    </w:p>
    <w:p>
      <w:r>
        <w:t>The following fixtures are based on the current species_data_revised.sql insertion order and values. After re-importing the SQL into a clean test database, ids auto-increment from 1 and can be used as stable Iteration 1 test fixtures.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936"/>
            <w:shd w:fill="DDEBF7"/>
            <w:vAlign w:val="center"/>
            <w:tcMar>
              <w:top w:w="90" w:type="dxa"/>
              <w:start w:w="100" w:type="dxa"/>
              <w:bottom w:w="90" w:type="dxa"/>
              <w:end w:w="100" w:type="dxa"/>
            </w:tcMar>
          </w:tcPr>
          <w:p>
            <w:pPr>
              <w:spacing w:after="0"/>
              <w:jc w:val="center"/>
            </w:pPr>
            <w:r>
              <w:rPr>
                <w:rFonts w:ascii="Aptos" w:hAnsi="Aptos" w:eastAsia="Aptos"/>
                <w:b/>
                <w:sz w:val="15"/>
              </w:rPr>
              <w:t>plantId</w:t>
            </w:r>
          </w:p>
        </w:tc>
        <w:tc>
          <w:tcPr>
            <w:tcW w:type="dxa" w:w="2448"/>
            <w:shd w:fill="DDEBF7"/>
            <w:vAlign w:val="center"/>
            <w:tcMar>
              <w:top w:w="90" w:type="dxa"/>
              <w:start w:w="100" w:type="dxa"/>
              <w:bottom w:w="90" w:type="dxa"/>
              <w:end w:w="100" w:type="dxa"/>
            </w:tcMar>
          </w:tcPr>
          <w:p>
            <w:pPr>
              <w:spacing w:after="0"/>
              <w:jc w:val="center"/>
            </w:pPr>
            <w:r>
              <w:rPr>
                <w:rFonts w:ascii="Aptos" w:hAnsi="Aptos" w:eastAsia="Aptos"/>
                <w:b/>
                <w:sz w:val="15"/>
              </w:rPr>
              <w:t>Scientific Name</w:t>
            </w:r>
          </w:p>
        </w:tc>
        <w:tc>
          <w:tcPr>
            <w:tcW w:type="dxa" w:w="2376"/>
            <w:shd w:fill="DDEBF7"/>
            <w:vAlign w:val="center"/>
            <w:tcMar>
              <w:top w:w="90" w:type="dxa"/>
              <w:start w:w="100" w:type="dxa"/>
              <w:bottom w:w="90" w:type="dxa"/>
              <w:end w:w="100" w:type="dxa"/>
            </w:tcMar>
          </w:tcPr>
          <w:p>
            <w:pPr>
              <w:spacing w:after="0"/>
              <w:jc w:val="center"/>
            </w:pPr>
            <w:r>
              <w:rPr>
                <w:rFonts w:ascii="Aptos" w:hAnsi="Aptos" w:eastAsia="Aptos"/>
                <w:b/>
                <w:sz w:val="15"/>
              </w:rPr>
              <w:t>Common Name</w:t>
            </w:r>
          </w:p>
        </w:tc>
        <w:tc>
          <w:tcPr>
            <w:tcW w:type="dxa" w:w="1944"/>
            <w:shd w:fill="DDEBF7"/>
            <w:vAlign w:val="center"/>
            <w:tcMar>
              <w:top w:w="90" w:type="dxa"/>
              <w:start w:w="100" w:type="dxa"/>
              <w:bottom w:w="90" w:type="dxa"/>
              <w:end w:w="100" w:type="dxa"/>
            </w:tcMar>
          </w:tcPr>
          <w:p>
            <w:pPr>
              <w:spacing w:after="0"/>
              <w:jc w:val="center"/>
            </w:pPr>
            <w:r>
              <w:rPr>
                <w:rFonts w:ascii="Aptos" w:hAnsi="Aptos" w:eastAsia="Aptos"/>
                <w:b/>
                <w:sz w:val="15"/>
              </w:rPr>
              <w:t>Risk</w:t>
            </w:r>
          </w:p>
        </w:tc>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5"/>
              </w:rPr>
              <w:t>VBA</w:t>
            </w:r>
          </w:p>
        </w:tc>
        <w:tc>
          <w:tcPr>
            <w:tcW w:type="dxa" w:w="1944"/>
            <w:shd w:fill="DDEBF7"/>
            <w:vAlign w:val="center"/>
            <w:tcMar>
              <w:top w:w="90" w:type="dxa"/>
              <w:start w:w="100" w:type="dxa"/>
              <w:bottom w:w="90" w:type="dxa"/>
              <w:end w:w="100" w:type="dxa"/>
            </w:tcMar>
          </w:tcPr>
          <w:p>
            <w:pPr>
              <w:spacing w:after="0"/>
              <w:jc w:val="center"/>
            </w:pPr>
            <w:r>
              <w:rPr>
                <w:rFonts w:ascii="Aptos" w:hAnsi="Aptos" w:eastAsia="Aptos"/>
                <w:b/>
                <w:sz w:val="15"/>
              </w:rPr>
              <w:t>Expected Verdict</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1</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acinacea</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Gold-dust Wattle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NULL</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0 / NULL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Not Assessed</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3</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baileyana</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Cootamundra Wattle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Moderately High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1 / 2020</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Use Caution</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4</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boormanii</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NULL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Moderately High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0 / NULL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Use Caution</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6</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cultriformis</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NULL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Medium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0 / NULL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Use Caution</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7</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dealbata</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Silver Wattle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Medium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20 / 2023</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Use Caution</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8</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decurrens</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Early Black-wattle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High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1 / 2022</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Reconsider Planting</w:t>
            </w:r>
          </w:p>
        </w:tc>
      </w:tr>
      <w:tr>
        <w:tc>
          <w:tcPr>
            <w:tcW w:type="dxa" w:w="936"/>
            <w:vAlign w:val="center"/>
            <w:tcMar>
              <w:top w:w="90" w:type="dxa"/>
              <w:start w:w="100" w:type="dxa"/>
              <w:bottom w:w="90" w:type="dxa"/>
              <w:end w:w="100" w:type="dxa"/>
            </w:tcMar>
          </w:tcPr>
          <w:p>
            <w:pPr>
              <w:spacing w:after="0" w:before="0" w:line="240" w:lineRule="auto"/>
            </w:pPr>
            <w:r>
              <w:rPr>
                <w:rFonts w:ascii="Aptos" w:hAnsi="Aptos" w:eastAsia="Aptos"/>
                <w:sz w:val="15"/>
              </w:rPr>
              <w:t>9</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Acacia elata</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5"/>
              </w:rPr>
              <w:t>Cedar Wattle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High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0 / NULL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Reconsider Planting</w:t>
            </w:r>
          </w:p>
        </w:tc>
      </w:tr>
    </w:tbl>
    <w:p>
      <w:pPr>
        <w:spacing w:after="40"/>
      </w:pPr>
    </w:p>
    <w:tbl>
      <w:tblPr>
        <w:tblStyle w:val="TableGrid"/>
        <w:tblW w:type="auto" w:w="0"/>
        <w:jc w:val="center"/>
        <w:tblLook w:firstColumn="1" w:firstRow="1" w:lastColumn="0" w:lastRow="0" w:noHBand="0" w:noVBand="1" w:val="04A0"/>
      </w:tblPr>
      <w:tblGrid>
        <w:gridCol w:w="10282"/>
      </w:tblGrid>
      <w:tr>
        <w:trPr>
          <w:cantSplit/>
        </w:trPr>
        <w:tc>
          <w:tcPr>
            <w:tcW w:type="dxa" w:w="10282"/>
            <w:shd w:fill="FFF2CC"/>
            <w:tcMar>
              <w:top w:w="120" w:type="dxa"/>
              <w:start w:w="140" w:type="dxa"/>
              <w:bottom w:w="120" w:type="dxa"/>
              <w:end w:w="140" w:type="dxa"/>
            </w:tcMar>
          </w:tcPr>
          <w:p>
            <w:r>
              <w:rPr>
                <w:rFonts w:ascii="Aptos" w:hAnsi="Aptos" w:eastAsia="Aptos"/>
                <w:b/>
                <w:sz w:val="18"/>
              </w:rPr>
              <w:t xml:space="preserve">Note: </w:t>
            </w:r>
            <w:r>
              <w:rPr>
                <w:rFonts w:ascii="Aptos" w:hAnsi="Aptos" w:eastAsia="Aptos"/>
                <w:sz w:val="18"/>
              </w:rPr>
              <w:t>plantId=6 and plantId=7 are both Medium Risk, but their VBA record counts are 0 and 20 respectively. Both must return Use Caution. This pair is specifically used to prove that VBA record count must not independently increase or decrease the verdict severity.</w:t>
            </w:r>
          </w:p>
        </w:tc>
      </w:tr>
    </w:tbl>
    <w:p>
      <w:pPr>
        <w:spacing w:after="40"/>
      </w:pPr>
    </w:p>
    <w:p>
      <w:pPr>
        <w:pStyle w:val="Heading1"/>
      </w:pPr>
      <w:r>
        <w:t>4. Assertion Design in Apifox</w:t>
      </w:r>
    </w:p>
    <w:p>
      <w:pPr>
        <w:pStyle w:val="Heading2"/>
      </w:pPr>
      <w:r>
        <w:t>4.1 Recommended Visual Assertions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584"/>
            <w:shd w:fill="DDEBF7"/>
            <w:vAlign w:val="center"/>
            <w:tcMar>
              <w:top w:w="90" w:type="dxa"/>
              <w:start w:w="100" w:type="dxa"/>
              <w:bottom w:w="90" w:type="dxa"/>
              <w:end w:w="100" w:type="dxa"/>
            </w:tcMar>
          </w:tcPr>
          <w:p>
            <w:pPr>
              <w:spacing w:after="0"/>
              <w:jc w:val="center"/>
            </w:pPr>
            <w:r>
              <w:rPr>
                <w:rFonts w:ascii="Aptos" w:hAnsi="Aptos" w:eastAsia="Aptos"/>
                <w:b/>
                <w:sz w:val="15"/>
              </w:rPr>
              <w:t>Type</w:t>
            </w:r>
          </w:p>
        </w:tc>
        <w:tc>
          <w:tcPr>
            <w:tcW w:type="dxa" w:w="3960"/>
            <w:shd w:fill="DDEBF7"/>
            <w:vAlign w:val="center"/>
            <w:tcMar>
              <w:top w:w="90" w:type="dxa"/>
              <w:start w:w="100" w:type="dxa"/>
              <w:bottom w:w="90" w:type="dxa"/>
              <w:end w:w="100" w:type="dxa"/>
            </w:tcMar>
          </w:tcPr>
          <w:p>
            <w:pPr>
              <w:spacing w:after="0"/>
              <w:jc w:val="center"/>
            </w:pPr>
            <w:r>
              <w:rPr>
                <w:rFonts w:ascii="Aptos" w:hAnsi="Aptos" w:eastAsia="Aptos"/>
                <w:b/>
                <w:sz w:val="15"/>
              </w:rPr>
              <w:t>Target / JSONPath</w:t>
            </w:r>
          </w:p>
        </w:tc>
        <w:tc>
          <w:tcPr>
            <w:tcW w:type="dxa" w:w="1944"/>
            <w:shd w:fill="DDEBF7"/>
            <w:vAlign w:val="center"/>
            <w:tcMar>
              <w:top w:w="90" w:type="dxa"/>
              <w:start w:w="100" w:type="dxa"/>
              <w:bottom w:w="90" w:type="dxa"/>
              <w:end w:w="100" w:type="dxa"/>
            </w:tcMar>
          </w:tcPr>
          <w:p>
            <w:pPr>
              <w:spacing w:after="0"/>
              <w:jc w:val="center"/>
            </w:pPr>
            <w:r>
              <w:rPr>
                <w:rFonts w:ascii="Aptos" w:hAnsi="Aptos" w:eastAsia="Aptos"/>
                <w:b/>
                <w:sz w:val="15"/>
              </w:rPr>
              <w:t>Condition</w:t>
            </w:r>
          </w:p>
        </w:tc>
        <w:tc>
          <w:tcPr>
            <w:tcW w:type="dxa" w:w="2880"/>
            <w:shd w:fill="DDEBF7"/>
            <w:vAlign w:val="center"/>
            <w:tcMar>
              <w:top w:w="90" w:type="dxa"/>
              <w:start w:w="100" w:type="dxa"/>
              <w:bottom w:w="90" w:type="dxa"/>
              <w:end w:w="100" w:type="dxa"/>
            </w:tcMar>
          </w:tcPr>
          <w:p>
            <w:pPr>
              <w:spacing w:after="0"/>
              <w:jc w:val="center"/>
            </w:pPr>
            <w:r>
              <w:rPr>
                <w:rFonts w:ascii="Aptos" w:hAnsi="Aptos" w:eastAsia="Aptos"/>
                <w:b/>
                <w:sz w:val="15"/>
              </w:rPr>
              <w:t>Expected</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Status code</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HTTP Status</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equals</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200 / 400 / 404</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Response header</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Content-Type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contains</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application/json</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Search results</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$.results</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type / length</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Array; empty or non-empty by scenario</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Scientific name</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$.results[0].scientificName</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equals</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Acacia baileyana</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Occurrence</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$.localOccurrence.status</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equals</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FOUND / NOT_FOUND / UNAVAILABLE</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Risk</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$.environmentalRisk.assessmentStatus</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equals</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ASSESSED / NOT_ASSESSED / UNAVAILABLE</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Verdict</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$.recommendation.displayLabel</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equals</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Use Caution, etc.</w:t>
            </w:r>
          </w:p>
        </w:tc>
      </w:tr>
      <w:tr>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5"/>
              </w:rPr>
              <w:t>Warnings</w:t>
            </w:r>
          </w:p>
        </w:tc>
        <w:tc>
          <w:tcPr>
            <w:tcW w:type="dxa" w:w="3960"/>
            <w:vAlign w:val="center"/>
            <w:tcMar>
              <w:top w:w="90" w:type="dxa"/>
              <w:start w:w="100" w:type="dxa"/>
              <w:bottom w:w="90" w:type="dxa"/>
              <w:end w:w="100" w:type="dxa"/>
            </w:tcMar>
          </w:tcPr>
          <w:p>
            <w:pPr>
              <w:spacing w:after="0" w:before="0" w:line="240" w:lineRule="auto"/>
            </w:pPr>
            <w:r>
              <w:rPr>
                <w:rFonts w:ascii="Aptos" w:hAnsi="Aptos" w:eastAsia="Aptos"/>
                <w:sz w:val="15"/>
              </w:rPr>
              <w:t>$.warnings</w:t>
            </w:r>
          </w:p>
        </w:tc>
        <w:tc>
          <w:tcPr>
            <w:tcW w:type="dxa" w:w="1944"/>
            <w:vAlign w:val="center"/>
            <w:tcMar>
              <w:top w:w="90" w:type="dxa"/>
              <w:start w:w="100" w:type="dxa"/>
              <w:bottom w:w="90" w:type="dxa"/>
              <w:end w:w="100" w:type="dxa"/>
            </w:tcMar>
          </w:tcPr>
          <w:p>
            <w:pPr>
              <w:spacing w:after="0" w:before="0" w:line="240" w:lineRule="auto"/>
            </w:pPr>
            <w:r>
              <w:rPr>
                <w:rFonts w:ascii="Aptos" w:hAnsi="Aptos" w:eastAsia="Aptos"/>
                <w:sz w:val="15"/>
              </w:rPr>
              <w:t>type</w:t>
            </w:r>
          </w:p>
        </w:tc>
        <w:tc>
          <w:tcPr>
            <w:tcW w:type="dxa" w:w="2880"/>
            <w:vAlign w:val="center"/>
            <w:tcMar>
              <w:top w:w="90" w:type="dxa"/>
              <w:start w:w="100" w:type="dxa"/>
              <w:bottom w:w="90" w:type="dxa"/>
              <w:end w:w="100" w:type="dxa"/>
            </w:tcMar>
          </w:tcPr>
          <w:p>
            <w:pPr>
              <w:spacing w:after="0" w:before="0" w:line="240" w:lineRule="auto"/>
            </w:pPr>
            <w:r>
              <w:rPr>
                <w:rFonts w:ascii="Aptos" w:hAnsi="Aptos" w:eastAsia="Aptos"/>
                <w:sz w:val="15"/>
              </w:rPr>
              <w:t>Array</w:t>
            </w:r>
          </w:p>
        </w:tc>
      </w:tr>
    </w:tbl>
    <w:p>
      <w:pPr>
        <w:spacing w:after="40"/>
      </w:pPr>
    </w:p>
    <w:p>
      <w:pPr>
        <w:pStyle w:val="Heading2"/>
      </w:pPr>
      <w:r>
        <w:t>4.2 Post-Script Example</w:t>
      </w:r>
    </w:p>
    <w:p>
      <w:r>
        <w:t>Apifox scripts are compatible with the Postman pm object. The following script can be placed under “Post-processors → Custom Script”.</w:t>
      </w:r>
    </w:p>
    <w:p>
      <w:pPr>
        <w:pStyle w:val="CodeBlock"/>
        <w:keepLines/>
      </w:pPr>
      <w:r>
        <w:rPr>
          <w:rFonts w:ascii="DejaVu Sans Mono" w:hAnsi="DejaVu Sans Mono" w:eastAsia="DejaVu Sans Mono"/>
          <w:sz w:val="16"/>
        </w:rPr>
        <w:t>pm.test("HTTP 200", function () {</w:t>
        <w:br/>
      </w:r>
      <w:r>
        <w:rPr>
          <w:rFonts w:ascii="DejaVu Sans Mono" w:hAnsi="DejaVu Sans Mono" w:eastAsia="DejaVu Sans Mono"/>
          <w:sz w:val="16"/>
        </w:rPr>
        <w:t xml:space="preserve">    pm.response.to.have.status(200);</w:t>
        <w:br/>
      </w:r>
      <w:r>
        <w:rPr>
          <w:rFonts w:ascii="DejaVu Sans Mono" w:hAnsi="DejaVu Sans Mono" w:eastAsia="DejaVu Sans Mono"/>
          <w:sz w:val="16"/>
        </w:rPr>
        <w:t>});</w:t>
        <w:br/>
      </w:r>
      <w:r>
        <w:rPr>
          <w:rFonts w:ascii="DejaVu Sans Mono" w:hAnsi="DejaVu Sans Mono" w:eastAsia="DejaVu Sans Mono"/>
          <w:sz w:val="16"/>
        </w:rPr>
        <w:br/>
      </w:r>
      <w:r>
        <w:rPr>
          <w:rFonts w:ascii="DejaVu Sans Mono" w:hAnsi="DejaVu Sans Mono" w:eastAsia="DejaVu Sans Mono"/>
          <w:sz w:val="16"/>
        </w:rPr>
        <w:t>const body = pm.response.json();</w:t>
        <w:br/>
      </w:r>
      <w:r>
        <w:rPr>
          <w:rFonts w:ascii="DejaVu Sans Mono" w:hAnsi="DejaVu Sans Mono" w:eastAsia="DejaVu Sans Mono"/>
          <w:sz w:val="16"/>
        </w:rPr>
        <w:br/>
      </w:r>
      <w:r>
        <w:rPr>
          <w:rFonts w:ascii="DejaVu Sans Mono" w:hAnsi="DejaVu Sans Mono" w:eastAsia="DejaVu Sans Mono"/>
          <w:sz w:val="16"/>
        </w:rPr>
        <w:t>pm.test("results is an array", function () {</w:t>
        <w:br/>
      </w:r>
      <w:r>
        <w:rPr>
          <w:rFonts w:ascii="DejaVu Sans Mono" w:hAnsi="DejaVu Sans Mono" w:eastAsia="DejaVu Sans Mono"/>
          <w:sz w:val="16"/>
        </w:rPr>
        <w:t xml:space="preserve">    pm.expect(body.results).to.be.an('array');</w:t>
        <w:br/>
      </w:r>
      <w:r>
        <w:rPr>
          <w:rFonts w:ascii="DejaVu Sans Mono" w:hAnsi="DejaVu Sans Mono" w:eastAsia="DejaVu Sans Mono"/>
          <w:sz w:val="16"/>
        </w:rPr>
        <w:t>});</w:t>
        <w:br/>
      </w:r>
      <w:r>
        <w:rPr>
          <w:rFonts w:ascii="DejaVu Sans Mono" w:hAnsi="DejaVu Sans Mono" w:eastAsia="DejaVu Sans Mono"/>
          <w:sz w:val="16"/>
        </w:rPr>
        <w:br/>
      </w:r>
      <w:r>
        <w:rPr>
          <w:rFonts w:ascii="DejaVu Sans Mono" w:hAnsi="DejaVu Sans Mono" w:eastAsia="DejaVu Sans Mono"/>
          <w:sz w:val="16"/>
        </w:rPr>
        <w:t>pm.test("response time &lt; 1000 ms", function () {</w:t>
        <w:br/>
      </w:r>
      <w:r>
        <w:rPr>
          <w:rFonts w:ascii="DejaVu Sans Mono" w:hAnsi="DejaVu Sans Mono" w:eastAsia="DejaVu Sans Mono"/>
          <w:sz w:val="16"/>
        </w:rPr>
        <w:t xml:space="preserve">    pm.expect(pm.response.responseTime).to.be.below(1000);</w:t>
        <w:br/>
      </w:r>
      <w:r>
        <w:rPr>
          <w:rFonts w:ascii="DejaVu Sans Mono" w:hAnsi="DejaVu Sans Mono" w:eastAsia="DejaVu Sans Mono"/>
          <w:sz w:val="16"/>
        </w:rPr>
        <w:t>});</w:t>
        <w:br/>
      </w:r>
    </w:p>
    <w:tbl>
      <w:tblPr>
        <w:tblStyle w:val="TableGrid"/>
        <w:tblW w:type="auto" w:w="0"/>
        <w:jc w:val="center"/>
        <w:tblLook w:firstColumn="1" w:firstRow="1" w:lastColumn="0" w:lastRow="0" w:noHBand="0" w:noVBand="1" w:val="04A0"/>
      </w:tblPr>
      <w:tblGrid>
        <w:gridCol w:w="10282"/>
      </w:tblGrid>
      <w:tr>
        <w:trPr>
          <w:cantSplit/>
        </w:trPr>
        <w:tc>
          <w:tcPr>
            <w:tcW w:type="dxa" w:w="10282"/>
            <w:shd w:fill="FFF2CC"/>
            <w:tcMar>
              <w:top w:w="120" w:type="dxa"/>
              <w:start w:w="140" w:type="dxa"/>
              <w:bottom w:w="120" w:type="dxa"/>
              <w:end w:w="140" w:type="dxa"/>
            </w:tcMar>
          </w:tcPr>
          <w:p>
            <w:r>
              <w:rPr>
                <w:rFonts w:ascii="Aptos" w:hAnsi="Aptos" w:eastAsia="Aptos"/>
                <w:b/>
                <w:sz w:val="18"/>
              </w:rPr>
              <w:t xml:space="preserve">Note: </w:t>
            </w:r>
            <w:r>
              <w:rPr>
                <w:rFonts w:ascii="Aptos" w:hAnsi="Aptos" w:eastAsia="Aptos"/>
                <w:sz w:val="18"/>
              </w:rPr>
              <w:t>“Autocomplete suggestions appear within 1 second” is an end-to-end acceptance criterion that includes Vue debounce, network latency, and backend processing. Apifox can only verify backend response time. Therefore, &lt;1000 ms is a supporting backend check and cannot by itself prove that AC 1.2.1 is fully satisfied.</w:t>
            </w:r>
          </w:p>
        </w:tc>
      </w:tr>
    </w:tbl>
    <w:p>
      <w:pPr>
        <w:spacing w:after="40"/>
      </w:pPr>
    </w:p>
    <w:p>
      <w:pPr>
        <w:pStyle w:val="Heading1"/>
      </w:pPr>
      <w:r>
        <w:t>5. Plant Search API Test Cases</w:t>
      </w:r>
    </w:p>
    <w:p>
      <w:pPr>
        <w:pStyle w:val="Heading2"/>
      </w:pPr>
      <w:r>
        <w:t>5.1 API Overview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DDEBF7"/>
            <w:vAlign w:val="center"/>
            <w:tcMar>
              <w:top w:w="90" w:type="dxa"/>
              <w:start w:w="100" w:type="dxa"/>
              <w:bottom w:w="90" w:type="dxa"/>
              <w:end w:w="100" w:type="dxa"/>
            </w:tcMar>
          </w:tcPr>
          <w:p>
            <w:pPr>
              <w:spacing w:after="0"/>
              <w:jc w:val="center"/>
            </w:pPr>
            <w:r>
              <w:rPr>
                <w:rFonts w:ascii="Aptos" w:hAnsi="Aptos" w:eastAsia="Aptos"/>
                <w:b/>
                <w:sz w:val="16"/>
              </w:rPr>
              <w:t>Item</w:t>
            </w:r>
          </w:p>
        </w:tc>
        <w:tc>
          <w:tcPr>
            <w:tcW w:type="dxa" w:w="8064"/>
            <w:shd w:fill="DDEBF7"/>
            <w:vAlign w:val="center"/>
            <w:tcMar>
              <w:top w:w="90" w:type="dxa"/>
              <w:start w:w="100" w:type="dxa"/>
              <w:bottom w:w="90" w:type="dxa"/>
              <w:end w:w="100" w:type="dxa"/>
            </w:tcMar>
          </w:tcPr>
          <w:p>
            <w:pPr>
              <w:spacing w:after="0"/>
              <w:jc w:val="center"/>
            </w:pPr>
            <w:r>
              <w:rPr>
                <w:rFonts w:ascii="Aptos" w:hAnsi="Aptos" w:eastAsia="Aptos"/>
                <w:b/>
                <w:sz w:val="16"/>
              </w:rPr>
              <w:t>Details</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Method</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GET</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Path</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/api/v1/plants/search?q={keyword}</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Success status</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200</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No match</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200 + results: []</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Primary AC coverage</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AC 1.1.2, 1.1.4, 1.1.5; backend data support for AC 1.2.x</w:t>
            </w:r>
          </w:p>
        </w:tc>
      </w:tr>
    </w:tbl>
    <w:p>
      <w:pPr>
        <w:spacing w:after="40"/>
      </w:pP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24"/>
            <w:shd w:fill="DDEBF7"/>
            <w:vAlign w:val="center"/>
            <w:tcMar>
              <w:top w:w="90" w:type="dxa"/>
              <w:start w:w="100" w:type="dxa"/>
              <w:bottom w:w="90" w:type="dxa"/>
              <w:end w:w="100" w:type="dxa"/>
            </w:tcMar>
          </w:tcPr>
          <w:p>
            <w:pPr>
              <w:spacing w:after="0"/>
              <w:jc w:val="center"/>
            </w:pPr>
            <w:r>
              <w:rPr>
                <w:rFonts w:ascii="Aptos" w:hAnsi="Aptos" w:eastAsia="Aptos"/>
                <w:b/>
                <w:sz w:val="13"/>
              </w:rPr>
              <w:t>ID</w:t>
            </w:r>
          </w:p>
        </w:tc>
        <w:tc>
          <w:tcPr>
            <w:tcW w:type="dxa" w:w="792"/>
            <w:shd w:fill="DDEBF7"/>
            <w:vAlign w:val="center"/>
            <w:tcMar>
              <w:top w:w="90" w:type="dxa"/>
              <w:start w:w="100" w:type="dxa"/>
              <w:bottom w:w="90" w:type="dxa"/>
              <w:end w:w="100" w:type="dxa"/>
            </w:tcMar>
          </w:tcPr>
          <w:p>
            <w:pPr>
              <w:spacing w:after="0"/>
              <w:jc w:val="center"/>
            </w:pPr>
            <w:r>
              <w:rPr>
                <w:rFonts w:ascii="Aptos" w:hAnsi="Aptos" w:eastAsia="Aptos"/>
                <w:b/>
                <w:sz w:val="13"/>
              </w:rPr>
              <w:t>Priority</w:t>
            </w:r>
          </w:p>
        </w:tc>
        <w:tc>
          <w:tcPr>
            <w:tcW w:type="dxa" w:w="2016"/>
            <w:shd w:fill="DDEBF7"/>
            <w:vAlign w:val="center"/>
            <w:tcMar>
              <w:top w:w="90" w:type="dxa"/>
              <w:start w:w="100" w:type="dxa"/>
              <w:bottom w:w="90" w:type="dxa"/>
              <w:end w:w="100" w:type="dxa"/>
            </w:tcMar>
          </w:tcPr>
          <w:p>
            <w:pPr>
              <w:spacing w:after="0"/>
              <w:jc w:val="center"/>
            </w:pPr>
            <w:r>
              <w:rPr>
                <w:rFonts w:ascii="Aptos" w:hAnsi="Aptos" w:eastAsia="Aptos"/>
                <w:b/>
                <w:sz w:val="13"/>
              </w:rPr>
              <w:t>Scenario</w:t>
            </w:r>
          </w:p>
        </w:tc>
        <w:tc>
          <w:tcPr>
            <w:tcW w:type="dxa" w:w="2088"/>
            <w:shd w:fill="DDEBF7"/>
            <w:vAlign w:val="center"/>
            <w:tcMar>
              <w:top w:w="90" w:type="dxa"/>
              <w:start w:w="100" w:type="dxa"/>
              <w:bottom w:w="90" w:type="dxa"/>
              <w:end w:w="100" w:type="dxa"/>
            </w:tcMar>
          </w:tcPr>
          <w:p>
            <w:pPr>
              <w:spacing w:after="0"/>
              <w:jc w:val="center"/>
            </w:pPr>
            <w:r>
              <w:rPr>
                <w:rFonts w:ascii="Aptos" w:hAnsi="Aptos" w:eastAsia="Aptos"/>
                <w:b/>
                <w:sz w:val="13"/>
              </w:rPr>
              <w:t>Request</w:t>
            </w:r>
          </w:p>
        </w:tc>
        <w:tc>
          <w:tcPr>
            <w:tcW w:type="dxa" w:w="4320"/>
            <w:shd w:fill="DDEBF7"/>
            <w:vAlign w:val="center"/>
            <w:tcMar>
              <w:top w:w="90" w:type="dxa"/>
              <w:start w:w="100" w:type="dxa"/>
              <w:bottom w:w="90" w:type="dxa"/>
              <w:end w:w="100" w:type="dxa"/>
            </w:tcMar>
          </w:tcPr>
          <w:p>
            <w:pPr>
              <w:spacing w:after="0"/>
              <w:jc w:val="center"/>
            </w:pPr>
            <w:r>
              <w:rPr>
                <w:rFonts w:ascii="Aptos" w:hAnsi="Aptos" w:eastAsia="Aptos"/>
                <w:b/>
                <w:sz w:val="13"/>
              </w:rPr>
              <w:t>Main Apifox Assertions</w:t>
            </w:r>
          </w:p>
        </w:tc>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3"/>
              </w:rPr>
              <w:t>Basis</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APX-S-001</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Valid scientific-name search</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q=Acacia baileyana</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200; results&gt;=1; includes plantId=3; scientificName=Acacia baileyana; commonName=Cootamundra Wattle</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1.1.2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APX-S-002</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Valid common-name search</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q=Cootamundra Wattle</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200; returns Acacia baileyana; result may include plantId=3</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1.1.2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APX-S-003</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Partial match / multiple matches</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q=wattle</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200; results&gt;1; multiple distinct species; must not return only one result</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1.1.5</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APX-S-004</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No match</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q=zzzzz</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200; query=zzzzz; results=[]; must not return 404</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1.1.4</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APX-S-005</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Missing common name</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q=Acacia boormanii</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200; matched result commonName=null; API must not return the UI string “Not available”</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Missing data</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APX-S-006</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Case-insensitive search</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request wattle / WATTLE separately</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Both succeed; core result-set logic is equivalent</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Search rule</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APX-S-007</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Blank query parameter</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   or omit q</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400; error code=INVALID_SEARCH_QUERY; must not return 500</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Engineering validation</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APX-S-008</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3"/>
              </w:rPr>
              <w:t>Response-time support check</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q=wat or wattle</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3"/>
              </w:rPr>
              <w:t>Backend response &lt;1000ms under normal local conditions; record actual time</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Supports AC 1.2.1</w:t>
            </w:r>
          </w:p>
        </w:tc>
      </w:tr>
    </w:tbl>
    <w:p>
      <w:pPr>
        <w:spacing w:after="40"/>
      </w:pPr>
    </w:p>
    <w:p>
      <w:pPr>
        <w:pStyle w:val="Heading2"/>
      </w:pPr>
      <w:r>
        <w:t>5.2 APX-S-001 Example Configuration</w:t>
      </w:r>
    </w:p>
    <w:p>
      <w:pPr>
        <w:pStyle w:val="CodeBlock"/>
        <w:keepLines/>
      </w:pPr>
      <w:r>
        <w:rPr>
          <w:rFonts w:ascii="DejaVu Sans Mono" w:hAnsi="DejaVu Sans Mono" w:eastAsia="DejaVu Sans Mono"/>
          <w:sz w:val="16"/>
        </w:rPr>
        <w:t>GET {{baseUrl}}/api/v1/plants/search?q=Acacia%20baileyana</w:t>
        <w:br/>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56"/>
            <w:shd w:fill="DDEBF7"/>
            <w:vAlign w:val="center"/>
            <w:tcMar>
              <w:top w:w="90" w:type="dxa"/>
              <w:start w:w="100" w:type="dxa"/>
              <w:bottom w:w="90" w:type="dxa"/>
              <w:end w:w="100" w:type="dxa"/>
            </w:tcMar>
          </w:tcPr>
          <w:p>
            <w:pPr>
              <w:spacing w:after="0"/>
              <w:jc w:val="center"/>
            </w:pPr>
            <w:r>
              <w:rPr>
                <w:rFonts w:ascii="Aptos" w:hAnsi="Aptos" w:eastAsia="Aptos"/>
                <w:b/>
                <w:sz w:val="16"/>
              </w:rPr>
              <w:t>Assertion Target</w:t>
            </w:r>
          </w:p>
        </w:tc>
        <w:tc>
          <w:tcPr>
            <w:tcW w:type="dxa" w:w="2160"/>
            <w:shd w:fill="DDEBF7"/>
            <w:vAlign w:val="center"/>
            <w:tcMar>
              <w:top w:w="90" w:type="dxa"/>
              <w:start w:w="100" w:type="dxa"/>
              <w:bottom w:w="90" w:type="dxa"/>
              <w:end w:w="100" w:type="dxa"/>
            </w:tcMar>
          </w:tcPr>
          <w:p>
            <w:pPr>
              <w:spacing w:after="0"/>
              <w:jc w:val="center"/>
            </w:pPr>
            <w:r>
              <w:rPr>
                <w:rFonts w:ascii="Aptos" w:hAnsi="Aptos" w:eastAsia="Aptos"/>
                <w:b/>
                <w:sz w:val="16"/>
              </w:rPr>
              <w:t>Condition</w:t>
            </w:r>
          </w:p>
        </w:tc>
        <w:tc>
          <w:tcPr>
            <w:tcW w:type="dxa" w:w="4320"/>
            <w:shd w:fill="DDEBF7"/>
            <w:vAlign w:val="center"/>
            <w:tcMar>
              <w:top w:w="90" w:type="dxa"/>
              <w:start w:w="100" w:type="dxa"/>
              <w:bottom w:w="90" w:type="dxa"/>
              <w:end w:w="100" w:type="dxa"/>
            </w:tcMar>
          </w:tcPr>
          <w:p>
            <w:pPr>
              <w:spacing w:after="0"/>
              <w:jc w:val="center"/>
            </w:pPr>
            <w:r>
              <w:rPr>
                <w:rFonts w:ascii="Aptos" w:hAnsi="Aptos" w:eastAsia="Aptos"/>
                <w:b/>
                <w:sz w:val="16"/>
              </w:rPr>
              <w:t>Expected Value</w:t>
            </w:r>
          </w:p>
        </w:tc>
      </w:tr>
      <w:tr>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6"/>
              </w:rPr>
              <w:t>Status code</w:t>
            </w:r>
          </w:p>
        </w:tc>
        <w:tc>
          <w:tcPr>
            <w:tcW w:type="dxa" w:w="2160"/>
            <w:vAlign w:val="center"/>
            <w:tcMar>
              <w:top w:w="90" w:type="dxa"/>
              <w:start w:w="100" w:type="dxa"/>
              <w:bottom w:w="90" w:type="dxa"/>
              <w:end w:w="100" w:type="dxa"/>
            </w:tcMar>
          </w:tcPr>
          <w:p>
            <w:pPr>
              <w:spacing w:after="0" w:before="0" w:line="240" w:lineRule="auto"/>
            </w:pPr>
            <w:r>
              <w:rPr>
                <w:rFonts w:ascii="Aptos" w:hAnsi="Aptos" w:eastAsia="Aptos"/>
                <w:sz w:val="16"/>
              </w:rPr>
              <w:t>equals</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200</w:t>
            </w:r>
          </w:p>
        </w:tc>
      </w:tr>
      <w:tr>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6"/>
              </w:rPr>
              <w:t>$.query</w:t>
            </w:r>
          </w:p>
        </w:tc>
        <w:tc>
          <w:tcPr>
            <w:tcW w:type="dxa" w:w="2160"/>
            <w:vAlign w:val="center"/>
            <w:tcMar>
              <w:top w:w="90" w:type="dxa"/>
              <w:start w:w="100" w:type="dxa"/>
              <w:bottom w:w="90" w:type="dxa"/>
              <w:end w:w="100" w:type="dxa"/>
            </w:tcMar>
          </w:tcPr>
          <w:p>
            <w:pPr>
              <w:spacing w:after="0" w:before="0" w:line="240" w:lineRule="auto"/>
            </w:pPr>
            <w:r>
              <w:rPr>
                <w:rFonts w:ascii="Aptos" w:hAnsi="Aptos" w:eastAsia="Aptos"/>
                <w:sz w:val="16"/>
              </w:rPr>
              <w:t>equals</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baileyana</w:t>
            </w:r>
          </w:p>
        </w:tc>
      </w:tr>
      <w:tr>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6"/>
              </w:rPr>
              <w:t>$.results[0].plantId</w:t>
            </w:r>
          </w:p>
        </w:tc>
        <w:tc>
          <w:tcPr>
            <w:tcW w:type="dxa" w:w="2160"/>
            <w:vAlign w:val="center"/>
            <w:tcMar>
              <w:top w:w="90" w:type="dxa"/>
              <w:start w:w="100" w:type="dxa"/>
              <w:bottom w:w="90" w:type="dxa"/>
              <w:end w:w="100" w:type="dxa"/>
            </w:tcMar>
          </w:tcPr>
          <w:p>
            <w:pPr>
              <w:spacing w:after="0" w:before="0" w:line="240" w:lineRule="auto"/>
            </w:pPr>
            <w:r>
              <w:rPr>
                <w:rFonts w:ascii="Aptos" w:hAnsi="Aptos" w:eastAsia="Aptos"/>
                <w:sz w:val="16"/>
              </w:rPr>
              <w:t>equals</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3</w:t>
            </w:r>
          </w:p>
        </w:tc>
      </w:tr>
      <w:tr>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6"/>
              </w:rPr>
              <w:t>$.results[0].scientificName</w:t>
            </w:r>
          </w:p>
        </w:tc>
        <w:tc>
          <w:tcPr>
            <w:tcW w:type="dxa" w:w="2160"/>
            <w:vAlign w:val="center"/>
            <w:tcMar>
              <w:top w:w="90" w:type="dxa"/>
              <w:start w:w="100" w:type="dxa"/>
              <w:bottom w:w="90" w:type="dxa"/>
              <w:end w:w="100" w:type="dxa"/>
            </w:tcMar>
          </w:tcPr>
          <w:p>
            <w:pPr>
              <w:spacing w:after="0" w:before="0" w:line="240" w:lineRule="auto"/>
            </w:pPr>
            <w:r>
              <w:rPr>
                <w:rFonts w:ascii="Aptos" w:hAnsi="Aptos" w:eastAsia="Aptos"/>
                <w:sz w:val="16"/>
              </w:rPr>
              <w:t>equals</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Acacia baileyana</w:t>
            </w:r>
          </w:p>
        </w:tc>
      </w:tr>
      <w:tr>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6"/>
              </w:rPr>
              <w:t>$.results[0].commonName</w:t>
            </w:r>
          </w:p>
        </w:tc>
        <w:tc>
          <w:tcPr>
            <w:tcW w:type="dxa" w:w="2160"/>
            <w:vAlign w:val="center"/>
            <w:tcMar>
              <w:top w:w="90" w:type="dxa"/>
              <w:start w:w="100" w:type="dxa"/>
              <w:bottom w:w="90" w:type="dxa"/>
              <w:end w:w="100" w:type="dxa"/>
            </w:tcMar>
          </w:tcPr>
          <w:p>
            <w:pPr>
              <w:spacing w:after="0" w:before="0" w:line="240" w:lineRule="auto"/>
            </w:pPr>
            <w:r>
              <w:rPr>
                <w:rFonts w:ascii="Aptos" w:hAnsi="Aptos" w:eastAsia="Aptos"/>
                <w:sz w:val="16"/>
              </w:rPr>
              <w:t>equals</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6"/>
              </w:rPr>
              <w:t>Cootamundra Wattle</w:t>
            </w:r>
          </w:p>
        </w:tc>
      </w:tr>
    </w:tbl>
    <w:p>
      <w:pPr>
        <w:spacing w:after="40"/>
      </w:pPr>
    </w:p>
    <w:p>
      <w:pPr>
        <w:pStyle w:val="CodeBlock"/>
        <w:keepLines/>
      </w:pPr>
      <w:r>
        <w:rPr>
          <w:rFonts w:ascii="DejaVu Sans Mono" w:hAnsi="DejaVu Sans Mono" w:eastAsia="DejaVu Sans Mono"/>
          <w:sz w:val="16"/>
        </w:rPr>
        <w:t>pm.test("valid scientific name returns result", function () {</w:t>
        <w:br/>
      </w:r>
      <w:r>
        <w:rPr>
          <w:rFonts w:ascii="DejaVu Sans Mono" w:hAnsi="DejaVu Sans Mono" w:eastAsia="DejaVu Sans Mono"/>
          <w:sz w:val="16"/>
        </w:rPr>
        <w:t xml:space="preserve">    const body = pm.response.json();</w:t>
        <w:br/>
      </w:r>
      <w:r>
        <w:rPr>
          <w:rFonts w:ascii="DejaVu Sans Mono" w:hAnsi="DejaVu Sans Mono" w:eastAsia="DejaVu Sans Mono"/>
          <w:sz w:val="16"/>
        </w:rPr>
        <w:t xml:space="preserve">    pm.expect(body.results.length).to.be.above(0);</w:t>
        <w:br/>
      </w:r>
      <w:r>
        <w:rPr>
          <w:rFonts w:ascii="DejaVu Sans Mono" w:hAnsi="DejaVu Sans Mono" w:eastAsia="DejaVu Sans Mono"/>
          <w:sz w:val="16"/>
        </w:rPr>
        <w:t xml:space="preserve">    pm.expect(body.results.some(x =&gt; x.plantId === 3)).to.eql(true);</w:t>
        <w:br/>
      </w:r>
      <w:r>
        <w:rPr>
          <w:rFonts w:ascii="DejaVu Sans Mono" w:hAnsi="DejaVu Sans Mono" w:eastAsia="DejaVu Sans Mono"/>
          <w:sz w:val="16"/>
        </w:rPr>
        <w:t>});</w:t>
        <w:br/>
      </w:r>
    </w:p>
    <w:p>
      <w:pPr>
        <w:pStyle w:val="Heading2"/>
      </w:pPr>
      <w:r>
        <w:t>5.3 APX-S-003 Multiple-Match Script</w:t>
      </w:r>
    </w:p>
    <w:p>
      <w:pPr>
        <w:pStyle w:val="CodeBlock"/>
        <w:keepLines/>
      </w:pPr>
      <w:r>
        <w:rPr>
          <w:rFonts w:ascii="DejaVu Sans Mono" w:hAnsi="DejaVu Sans Mono" w:eastAsia="DejaVu Sans Mono"/>
          <w:sz w:val="16"/>
        </w:rPr>
        <w:t>pm.test("wattle returns multiple distinct species", function () {</w:t>
        <w:br/>
      </w:r>
      <w:r>
        <w:rPr>
          <w:rFonts w:ascii="DejaVu Sans Mono" w:hAnsi="DejaVu Sans Mono" w:eastAsia="DejaVu Sans Mono"/>
          <w:sz w:val="16"/>
        </w:rPr>
        <w:t xml:space="preserve">    const body = pm.response.json();</w:t>
        <w:br/>
      </w:r>
      <w:r>
        <w:rPr>
          <w:rFonts w:ascii="DejaVu Sans Mono" w:hAnsi="DejaVu Sans Mono" w:eastAsia="DejaVu Sans Mono"/>
          <w:sz w:val="16"/>
        </w:rPr>
        <w:t xml:space="preserve">    pm.expect(body.results.length).to.be.above(1);</w:t>
        <w:br/>
      </w:r>
      <w:r>
        <w:rPr>
          <w:rFonts w:ascii="DejaVu Sans Mono" w:hAnsi="DejaVu Sans Mono" w:eastAsia="DejaVu Sans Mono"/>
          <w:sz w:val="16"/>
        </w:rPr>
        <w:t xml:space="preserve">    const ids = body.results.map(x =&gt; x.plantId);</w:t>
        <w:br/>
      </w:r>
      <w:r>
        <w:rPr>
          <w:rFonts w:ascii="DejaVu Sans Mono" w:hAnsi="DejaVu Sans Mono" w:eastAsia="DejaVu Sans Mono"/>
          <w:sz w:val="16"/>
        </w:rPr>
        <w:t xml:space="preserve">    pm.expect(new Set(ids).size).to.eql(ids.length);</w:t>
        <w:br/>
      </w:r>
      <w:r>
        <w:rPr>
          <w:rFonts w:ascii="DejaVu Sans Mono" w:hAnsi="DejaVu Sans Mono" w:eastAsia="DejaVu Sans Mono"/>
          <w:sz w:val="16"/>
        </w:rPr>
        <w:t>});</w:t>
        <w:br/>
      </w:r>
    </w:p>
    <w:p>
      <w:pPr>
        <w:pStyle w:val="Heading1"/>
      </w:pPr>
      <w:r>
        <w:t>6. Plant Assessment API Test Cases</w:t>
      </w:r>
    </w:p>
    <w:p>
      <w:pPr>
        <w:pStyle w:val="Heading2"/>
      </w:pPr>
      <w:r>
        <w:t>6.1 API Overview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DDEBF7"/>
            <w:vAlign w:val="center"/>
            <w:tcMar>
              <w:top w:w="90" w:type="dxa"/>
              <w:start w:w="100" w:type="dxa"/>
              <w:bottom w:w="90" w:type="dxa"/>
              <w:end w:w="100" w:type="dxa"/>
            </w:tcMar>
          </w:tcPr>
          <w:p>
            <w:pPr>
              <w:spacing w:after="0"/>
              <w:jc w:val="center"/>
            </w:pPr>
            <w:r>
              <w:rPr>
                <w:rFonts w:ascii="Aptos" w:hAnsi="Aptos" w:eastAsia="Aptos"/>
                <w:b/>
                <w:sz w:val="16"/>
              </w:rPr>
              <w:t>Item</w:t>
            </w:r>
          </w:p>
        </w:tc>
        <w:tc>
          <w:tcPr>
            <w:tcW w:type="dxa" w:w="8064"/>
            <w:shd w:fill="DDEBF7"/>
            <w:vAlign w:val="center"/>
            <w:tcMar>
              <w:top w:w="90" w:type="dxa"/>
              <w:start w:w="100" w:type="dxa"/>
              <w:bottom w:w="90" w:type="dxa"/>
              <w:end w:w="100" w:type="dxa"/>
            </w:tcMar>
          </w:tcPr>
          <w:p>
            <w:pPr>
              <w:spacing w:after="0"/>
              <w:jc w:val="center"/>
            </w:pPr>
            <w:r>
              <w:rPr>
                <w:rFonts w:ascii="Aptos" w:hAnsi="Aptos" w:eastAsia="Aptos"/>
                <w:b/>
                <w:sz w:val="16"/>
              </w:rPr>
              <w:t>Details</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Method</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GET</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Path</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/api/v1/plants/{plantId}/assessment</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Success status</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200</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Non-existent plantId</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404</w:t>
            </w:r>
          </w:p>
        </w:tc>
      </w:tr>
      <w:tr>
        <w:tc>
          <w:tcPr>
            <w:tcW w:type="dxa" w:w="2304"/>
            <w:vAlign w:val="center"/>
            <w:tcMar>
              <w:top w:w="90" w:type="dxa"/>
              <w:start w:w="100" w:type="dxa"/>
              <w:bottom w:w="90" w:type="dxa"/>
              <w:end w:w="100" w:type="dxa"/>
            </w:tcMar>
          </w:tcPr>
          <w:p>
            <w:pPr>
              <w:spacing w:after="0" w:before="0" w:line="240" w:lineRule="auto"/>
            </w:pPr>
            <w:r>
              <w:rPr>
                <w:rFonts w:ascii="Aptos" w:hAnsi="Aptos" w:eastAsia="Aptos"/>
                <w:sz w:val="16"/>
              </w:rPr>
              <w:t>Primary verification</w:t>
            </w:r>
          </w:p>
        </w:tc>
        <w:tc>
          <w:tcPr>
            <w:tcW w:type="dxa" w:w="8064"/>
            <w:vAlign w:val="center"/>
            <w:tcMar>
              <w:top w:w="90" w:type="dxa"/>
              <w:start w:w="100" w:type="dxa"/>
              <w:bottom w:w="90" w:type="dxa"/>
              <w:end w:w="100" w:type="dxa"/>
            </w:tcMar>
          </w:tcPr>
          <w:p>
            <w:pPr>
              <w:spacing w:after="0" w:before="0" w:line="240" w:lineRule="auto"/>
            </w:pPr>
            <w:r>
              <w:rPr>
                <w:rFonts w:ascii="Aptos" w:hAnsi="Aptos" w:eastAsia="Aptos"/>
                <w:sz w:val="16"/>
              </w:rPr>
              <w:t>Identity, Establishment, Occurrence, Risk, Recommendation, Sources, Warnings</w:t>
            </w:r>
          </w:p>
        </w:tc>
      </w:tr>
    </w:tbl>
    <w:p>
      <w:pPr>
        <w:spacing w:after="40"/>
      </w:pP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24"/>
            <w:shd w:fill="DDEBF7"/>
            <w:vAlign w:val="center"/>
            <w:tcMar>
              <w:top w:w="90" w:type="dxa"/>
              <w:start w:w="100" w:type="dxa"/>
              <w:bottom w:w="90" w:type="dxa"/>
              <w:end w:w="100" w:type="dxa"/>
            </w:tcMar>
          </w:tcPr>
          <w:p>
            <w:pPr>
              <w:spacing w:after="0"/>
              <w:jc w:val="center"/>
            </w:pPr>
            <w:r>
              <w:rPr>
                <w:rFonts w:ascii="Aptos" w:hAnsi="Aptos" w:eastAsia="Aptos"/>
                <w:b/>
                <w:sz w:val="13"/>
              </w:rPr>
              <w:t>ID</w:t>
            </w:r>
          </w:p>
        </w:tc>
        <w:tc>
          <w:tcPr>
            <w:tcW w:type="dxa" w:w="792"/>
            <w:shd w:fill="DDEBF7"/>
            <w:vAlign w:val="center"/>
            <w:tcMar>
              <w:top w:w="90" w:type="dxa"/>
              <w:start w:w="100" w:type="dxa"/>
              <w:bottom w:w="90" w:type="dxa"/>
              <w:end w:w="100" w:type="dxa"/>
            </w:tcMar>
          </w:tcPr>
          <w:p>
            <w:pPr>
              <w:spacing w:after="0"/>
              <w:jc w:val="center"/>
            </w:pPr>
            <w:r>
              <w:rPr>
                <w:rFonts w:ascii="Aptos" w:hAnsi="Aptos" w:eastAsia="Aptos"/>
                <w:b/>
                <w:sz w:val="13"/>
              </w:rPr>
              <w:t>Priority</w:t>
            </w:r>
          </w:p>
        </w:tc>
        <w:tc>
          <w:tcPr>
            <w:tcW w:type="dxa" w:w="2088"/>
            <w:shd w:fill="DDEBF7"/>
            <w:vAlign w:val="center"/>
            <w:tcMar>
              <w:top w:w="90" w:type="dxa"/>
              <w:start w:w="100" w:type="dxa"/>
              <w:bottom w:w="90" w:type="dxa"/>
              <w:end w:w="100" w:type="dxa"/>
            </w:tcMar>
          </w:tcPr>
          <w:p>
            <w:pPr>
              <w:spacing w:after="0"/>
              <w:jc w:val="center"/>
            </w:pPr>
            <w:r>
              <w:rPr>
                <w:rFonts w:ascii="Aptos" w:hAnsi="Aptos" w:eastAsia="Aptos"/>
                <w:b/>
                <w:sz w:val="13"/>
              </w:rPr>
              <w:t>Scenario</w:t>
            </w:r>
          </w:p>
        </w:tc>
        <w:tc>
          <w:tcPr>
            <w:tcW w:type="dxa" w:w="1728"/>
            <w:shd w:fill="DDEBF7"/>
            <w:vAlign w:val="center"/>
            <w:tcMar>
              <w:top w:w="90" w:type="dxa"/>
              <w:start w:w="100" w:type="dxa"/>
              <w:bottom w:w="90" w:type="dxa"/>
              <w:end w:w="100" w:type="dxa"/>
            </w:tcMar>
          </w:tcPr>
          <w:p>
            <w:pPr>
              <w:spacing w:after="0"/>
              <w:jc w:val="center"/>
            </w:pPr>
            <w:r>
              <w:rPr>
                <w:rFonts w:ascii="Aptos" w:hAnsi="Aptos" w:eastAsia="Aptos"/>
                <w:b/>
                <w:sz w:val="13"/>
              </w:rPr>
              <w:t>Request</w:t>
            </w:r>
          </w:p>
        </w:tc>
        <w:tc>
          <w:tcPr>
            <w:tcW w:type="dxa" w:w="4608"/>
            <w:shd w:fill="DDEBF7"/>
            <w:vAlign w:val="center"/>
            <w:tcMar>
              <w:top w:w="90" w:type="dxa"/>
              <w:start w:w="100" w:type="dxa"/>
              <w:bottom w:w="90" w:type="dxa"/>
              <w:end w:w="100" w:type="dxa"/>
            </w:tcMar>
          </w:tcPr>
          <w:p>
            <w:pPr>
              <w:spacing w:after="0"/>
              <w:jc w:val="center"/>
            </w:pPr>
            <w:r>
              <w:rPr>
                <w:rFonts w:ascii="Aptos" w:hAnsi="Aptos" w:eastAsia="Aptos"/>
                <w:b/>
                <w:sz w:val="13"/>
              </w:rPr>
              <w:t>Main Apifox Assertions</w:t>
            </w:r>
          </w:p>
        </w:tc>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3"/>
              </w:rPr>
              <w:t>Basis</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APX-A-001</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Full assessed + FOUND</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plantId=3</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plantId=3; FOUND/1/2020; ASSESSED/Moderately High; Use Caution; warnings=[]</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US 1.3/1.4, 2.1, 2.2, 3.1/3.2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APX-A-002</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Not Assessed + NOT_FOUND</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plantId=1</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NOT_FOUND/0/null; NOT_ASSESSED; rating=null; displayLabel=Not Assessed</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2.2.2, 3.1.2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APX-A-003</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High Risk → Reconsider</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plantId=8</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rating=High; displayLabel=Reconsider Planting</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3.1.2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APX-A-004</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High Risk + VBA=0</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plantId=9</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NOT_FOUND, but still Reconsider Planting</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3.1.2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APX-A-005</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Medium + VBA=0</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plantId=6</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Use Caution</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3.1.2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APX-A-006</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Medium + VBA=20</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plantId=7</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FOUND/20/2023; still Use Caution</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3.1.2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APX-A-007</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Missing common name</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plantId=4</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plant.commonName=null; other assessment data remains valid</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Missing data</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APX-A-008</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Non-existent plantId</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plantId=999999</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404; code=PLANT_NOT_FOUND; path correct</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HTTP/error contract</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APX-A-009</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Invalid plantId type</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plantId=abc</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400; standard error JSON; no stack trace</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Engineering validation</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APX-A-010</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P0</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Partial source unavailable</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Use a test profile to force occurrence or risk check failure</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Corresponding section=UNAVAILABLE; warnings non-empty; must not fabricate 0 / Low Risk</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3.1.3</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APX-A-011</w:t>
            </w:r>
          </w:p>
        </w:tc>
        <w:tc>
          <w:tcPr>
            <w:tcW w:type="dxa" w:w="792"/>
            <w:vAlign w:val="center"/>
            <w:tcMar>
              <w:top w:w="90" w:type="dxa"/>
              <w:start w:w="100" w:type="dxa"/>
              <w:bottom w:w="90" w:type="dxa"/>
              <w:end w:w="100" w:type="dxa"/>
            </w:tcMar>
          </w:tcPr>
          <w:p>
            <w:pPr>
              <w:spacing w:after="0" w:before="0" w:line="240" w:lineRule="auto"/>
            </w:pPr>
            <w:r>
              <w:rPr>
                <w:rFonts w:ascii="Aptos" w:hAnsi="Aptos" w:eastAsia="Aptos"/>
                <w:sz w:val="13"/>
              </w:rPr>
              <w:t>P1</w:t>
            </w:r>
          </w:p>
        </w:tc>
        <w:tc>
          <w:tcPr>
            <w:tcW w:type="dxa" w:w="2088"/>
            <w:vAlign w:val="center"/>
            <w:tcMar>
              <w:top w:w="90" w:type="dxa"/>
              <w:start w:w="100" w:type="dxa"/>
              <w:bottom w:w="90" w:type="dxa"/>
              <w:end w:w="100" w:type="dxa"/>
            </w:tcMar>
          </w:tcPr>
          <w:p>
            <w:pPr>
              <w:spacing w:after="0" w:before="0" w:line="240" w:lineRule="auto"/>
            </w:pPr>
            <w:r>
              <w:rPr>
                <w:rFonts w:ascii="Aptos" w:hAnsi="Aptos" w:eastAsia="Aptos"/>
                <w:sz w:val="13"/>
              </w:rPr>
              <w:t>No raw database fields leaked</w:t>
            </w:r>
          </w:p>
        </w:tc>
        <w:tc>
          <w:tcPr>
            <w:tcW w:type="dxa" w:w="1728"/>
            <w:vAlign w:val="center"/>
            <w:tcMar>
              <w:top w:w="90" w:type="dxa"/>
              <w:start w:w="100" w:type="dxa"/>
              <w:bottom w:w="90" w:type="dxa"/>
              <w:end w:w="100" w:type="dxa"/>
            </w:tcMar>
          </w:tcPr>
          <w:p>
            <w:pPr>
              <w:spacing w:after="0" w:before="0" w:line="240" w:lineRule="auto"/>
            </w:pPr>
            <w:r>
              <w:rPr>
                <w:rFonts w:ascii="Aptos" w:hAnsi="Aptos" w:eastAsia="Aptos"/>
                <w:sz w:val="13"/>
              </w:rPr>
              <w:t>Any successful assessment</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3"/>
              </w:rPr>
              <w:t>Body must not expose risk_rating, vba_record_count, match_key or other raw DB field names</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3"/>
              </w:rPr>
              <w:t>AC 3.2.2</w:t>
            </w:r>
          </w:p>
        </w:tc>
      </w:tr>
    </w:tbl>
    <w:p>
      <w:pPr>
        <w:spacing w:after="40"/>
      </w:pPr>
    </w:p>
    <w:p>
      <w:pPr>
        <w:pStyle w:val="Heading2"/>
      </w:pPr>
      <w:r>
        <w:t>6.2 APX-A-001: Full Assessment</w:t>
      </w:r>
    </w:p>
    <w:p>
      <w:pPr>
        <w:pStyle w:val="CodeBlock"/>
        <w:keepLines/>
      </w:pPr>
      <w:r>
        <w:rPr>
          <w:rFonts w:ascii="DejaVu Sans Mono" w:hAnsi="DejaVu Sans Mono" w:eastAsia="DejaVu Sans Mono"/>
          <w:sz w:val="16"/>
        </w:rPr>
        <w:t>GET {{baseUrl}}/api/v1/plants/{{plantIdModerateHigh}}/assessment</w:t>
        <w:br/>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84"/>
            <w:shd w:fill="DDEBF7"/>
            <w:vAlign w:val="center"/>
            <w:tcMar>
              <w:top w:w="90" w:type="dxa"/>
              <w:start w:w="100" w:type="dxa"/>
              <w:bottom w:w="90" w:type="dxa"/>
              <w:end w:w="100" w:type="dxa"/>
            </w:tcMar>
          </w:tcPr>
          <w:p>
            <w:pPr>
              <w:spacing w:after="0"/>
              <w:jc w:val="center"/>
            </w:pPr>
            <w:r>
              <w:rPr>
                <w:rFonts w:ascii="Aptos" w:hAnsi="Aptos" w:eastAsia="Aptos"/>
                <w:b/>
                <w:sz w:val="16"/>
              </w:rPr>
              <w:t>JSONPath</w:t>
            </w:r>
          </w:p>
        </w:tc>
        <w:tc>
          <w:tcPr>
            <w:tcW w:type="dxa" w:w="4608"/>
            <w:shd w:fill="DDEBF7"/>
            <w:vAlign w:val="center"/>
            <w:tcMar>
              <w:top w:w="90" w:type="dxa"/>
              <w:start w:w="100" w:type="dxa"/>
              <w:bottom w:w="90" w:type="dxa"/>
              <w:end w:w="100" w:type="dxa"/>
            </w:tcMar>
          </w:tcPr>
          <w:p>
            <w:pPr>
              <w:spacing w:after="0"/>
              <w:jc w:val="center"/>
            </w:pPr>
            <w:r>
              <w:rPr>
                <w:rFonts w:ascii="Aptos" w:hAnsi="Aptos" w:eastAsia="Aptos"/>
                <w:b/>
                <w:sz w:val="16"/>
              </w:rPr>
              <w:t>Expected</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$.plant.plantId</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3</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$.plant.scientificName</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Acacia baileyana</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$.plant.commonName</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Cootamundra Wattle</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$.plant.establishmentMeans</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Introduced</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$.plant.degreeOfEstablishment</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Naturalised</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$.localOccurrence.status</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FOUND</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$.localOccurrence.recordCount</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1</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$.localOccurrence.mostRecentRecordYear</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2020</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$.environmentalRisk.assessmentStatus</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ASSESSED</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$.environmentalRisk.rating</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Moderately High</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$.recommendation.level</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USE_CAUTION</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$.recommendation.displayLabel</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Use Caution</w:t>
            </w:r>
          </w:p>
        </w:tc>
      </w:tr>
      <w:tr>
        <w:tc>
          <w:tcPr>
            <w:tcW w:type="dxa" w:w="5184"/>
            <w:vAlign w:val="center"/>
            <w:tcMar>
              <w:top w:w="90" w:type="dxa"/>
              <w:start w:w="100" w:type="dxa"/>
              <w:bottom w:w="90" w:type="dxa"/>
              <w:end w:w="100" w:type="dxa"/>
            </w:tcMar>
          </w:tcPr>
          <w:p>
            <w:pPr>
              <w:spacing w:after="0" w:before="0" w:line="240" w:lineRule="auto"/>
            </w:pPr>
            <w:r>
              <w:rPr>
                <w:rFonts w:ascii="Aptos" w:hAnsi="Aptos" w:eastAsia="Aptos"/>
                <w:sz w:val="16"/>
              </w:rPr>
              <w:t>$.warnings</w:t>
            </w:r>
          </w:p>
        </w:tc>
        <w:tc>
          <w:tcPr>
            <w:tcW w:type="dxa" w:w="4608"/>
            <w:vAlign w:val="center"/>
            <w:tcMar>
              <w:top w:w="90" w:type="dxa"/>
              <w:start w:w="100" w:type="dxa"/>
              <w:bottom w:w="90" w:type="dxa"/>
              <w:end w:w="100" w:type="dxa"/>
            </w:tcMar>
          </w:tcPr>
          <w:p>
            <w:pPr>
              <w:spacing w:after="0" w:before="0" w:line="240" w:lineRule="auto"/>
            </w:pPr>
            <w:r>
              <w:rPr>
                <w:rFonts w:ascii="Aptos" w:hAnsi="Aptos" w:eastAsia="Aptos"/>
                <w:sz w:val="16"/>
              </w:rPr>
              <w:t>[]</w:t>
            </w:r>
          </w:p>
        </w:tc>
      </w:tr>
    </w:tbl>
    <w:p>
      <w:pPr>
        <w:spacing w:after="40"/>
      </w:pPr>
    </w:p>
    <w:p>
      <w:pPr>
        <w:pStyle w:val="CodeBlock"/>
        <w:keepLines/>
      </w:pPr>
      <w:r>
        <w:rPr>
          <w:rFonts w:ascii="DejaVu Sans Mono" w:hAnsi="DejaVu Sans Mono" w:eastAsia="DejaVu Sans Mono"/>
          <w:sz w:val="16"/>
        </w:rPr>
        <w:t>pm.test("assessment business rules are correct", function () {</w:t>
        <w:br/>
      </w:r>
      <w:r>
        <w:rPr>
          <w:rFonts w:ascii="DejaVu Sans Mono" w:hAnsi="DejaVu Sans Mono" w:eastAsia="DejaVu Sans Mono"/>
          <w:sz w:val="16"/>
        </w:rPr>
        <w:t xml:space="preserve">    const b = pm.response.json();</w:t>
        <w:br/>
      </w:r>
      <w:r>
        <w:rPr>
          <w:rFonts w:ascii="DejaVu Sans Mono" w:hAnsi="DejaVu Sans Mono" w:eastAsia="DejaVu Sans Mono"/>
          <w:sz w:val="16"/>
        </w:rPr>
        <w:t xml:space="preserve">    pm.expect(b.localOccurrence.status).to.eql("FOUND");</w:t>
        <w:br/>
      </w:r>
      <w:r>
        <w:rPr>
          <w:rFonts w:ascii="DejaVu Sans Mono" w:hAnsi="DejaVu Sans Mono" w:eastAsia="DejaVu Sans Mono"/>
          <w:sz w:val="16"/>
        </w:rPr>
        <w:t xml:space="preserve">    pm.expect(b.environmentalRisk.assessmentStatus).to.eql("ASSESSED");</w:t>
        <w:br/>
      </w:r>
      <w:r>
        <w:rPr>
          <w:rFonts w:ascii="DejaVu Sans Mono" w:hAnsi="DejaVu Sans Mono" w:eastAsia="DejaVu Sans Mono"/>
          <w:sz w:val="16"/>
        </w:rPr>
        <w:t xml:space="preserve">    pm.expect(b.environmentalRisk.rating).to.eql("Moderately High");</w:t>
        <w:br/>
      </w:r>
      <w:r>
        <w:rPr>
          <w:rFonts w:ascii="DejaVu Sans Mono" w:hAnsi="DejaVu Sans Mono" w:eastAsia="DejaVu Sans Mono"/>
          <w:sz w:val="16"/>
        </w:rPr>
        <w:t xml:space="preserve">    pm.expect(b.recommendation.displayLabel).to.eql("Use Caution");</w:t>
        <w:br/>
      </w:r>
      <w:r>
        <w:rPr>
          <w:rFonts w:ascii="DejaVu Sans Mono" w:hAnsi="DejaVu Sans Mono" w:eastAsia="DejaVu Sans Mono"/>
          <w:sz w:val="16"/>
        </w:rPr>
        <w:t xml:space="preserve">    pm.expect(b.warnings).to.be.an('array').that.is.empty;</w:t>
        <w:br/>
      </w:r>
      <w:r>
        <w:rPr>
          <w:rFonts w:ascii="DejaVu Sans Mono" w:hAnsi="DejaVu Sans Mono" w:eastAsia="DejaVu Sans Mono"/>
          <w:sz w:val="16"/>
        </w:rPr>
        <w:t>});</w:t>
        <w:br/>
      </w:r>
    </w:p>
    <w:p>
      <w:pPr>
        <w:pStyle w:val="Heading2"/>
      </w:pPr>
      <w:r>
        <w:t>6.3 APX-A-002: Not Assessed Must Not Mean Low Risk</w:t>
      </w:r>
    </w:p>
    <w:p>
      <w:pPr>
        <w:pStyle w:val="CodeBlock"/>
        <w:keepLines/>
      </w:pPr>
      <w:r>
        <w:rPr>
          <w:rFonts w:ascii="DejaVu Sans Mono" w:hAnsi="DejaVu Sans Mono" w:eastAsia="DejaVu Sans Mono"/>
          <w:sz w:val="16"/>
        </w:rPr>
        <w:t>GET {{baseUrl}}/api/v1/plants/{{plantIdNotAssessed}}/assessment</w:t>
        <w:br/>
      </w:r>
    </w:p>
    <w:p>
      <w:pPr>
        <w:pStyle w:val="CodeBlock"/>
        <w:keepLines/>
      </w:pPr>
      <w:r>
        <w:rPr>
          <w:rFonts w:ascii="DejaVu Sans Mono" w:hAnsi="DejaVu Sans Mono" w:eastAsia="DejaVu Sans Mono"/>
          <w:sz w:val="16"/>
        </w:rPr>
        <w:t>pm.test("not assessed semantics", function () {</w:t>
        <w:br/>
      </w:r>
      <w:r>
        <w:rPr>
          <w:rFonts w:ascii="DejaVu Sans Mono" w:hAnsi="DejaVu Sans Mono" w:eastAsia="DejaVu Sans Mono"/>
          <w:sz w:val="16"/>
        </w:rPr>
        <w:t xml:space="preserve">    const b = pm.response.json();</w:t>
        <w:br/>
      </w:r>
      <w:r>
        <w:rPr>
          <w:rFonts w:ascii="DejaVu Sans Mono" w:hAnsi="DejaVu Sans Mono" w:eastAsia="DejaVu Sans Mono"/>
          <w:sz w:val="16"/>
        </w:rPr>
        <w:t xml:space="preserve">    pm.expect(b.localOccurrence.status).to.eql("NOT_FOUND");</w:t>
        <w:br/>
      </w:r>
      <w:r>
        <w:rPr>
          <w:rFonts w:ascii="DejaVu Sans Mono" w:hAnsi="DejaVu Sans Mono" w:eastAsia="DejaVu Sans Mono"/>
          <w:sz w:val="16"/>
        </w:rPr>
        <w:t xml:space="preserve">    pm.expect(b.localOccurrence.recordCount).to.eql(0);</w:t>
        <w:br/>
      </w:r>
      <w:r>
        <w:rPr>
          <w:rFonts w:ascii="DejaVu Sans Mono" w:hAnsi="DejaVu Sans Mono" w:eastAsia="DejaVu Sans Mono"/>
          <w:sz w:val="16"/>
        </w:rPr>
        <w:t xml:space="preserve">    pm.expect(b.localOccurrence.mostRecentRecordYear).to.eql(null);</w:t>
        <w:br/>
      </w:r>
      <w:r>
        <w:rPr>
          <w:rFonts w:ascii="DejaVu Sans Mono" w:hAnsi="DejaVu Sans Mono" w:eastAsia="DejaVu Sans Mono"/>
          <w:sz w:val="16"/>
        </w:rPr>
        <w:t xml:space="preserve">    pm.expect(b.environmentalRisk.assessmentStatus).to.eql("NOT_ASSESSED");</w:t>
        <w:br/>
      </w:r>
      <w:r>
        <w:rPr>
          <w:rFonts w:ascii="DejaVu Sans Mono" w:hAnsi="DejaVu Sans Mono" w:eastAsia="DejaVu Sans Mono"/>
          <w:sz w:val="16"/>
        </w:rPr>
        <w:t xml:space="preserve">    pm.expect(b.environmentalRisk.rating).to.eql(null);</w:t>
        <w:br/>
      </w:r>
      <w:r>
        <w:rPr>
          <w:rFonts w:ascii="DejaVu Sans Mono" w:hAnsi="DejaVu Sans Mono" w:eastAsia="DejaVu Sans Mono"/>
          <w:sz w:val="16"/>
        </w:rPr>
        <w:t xml:space="preserve">    pm.expect(b.recommendation.displayLabel).to.eql("Not Assessed");</w:t>
        <w:br/>
      </w:r>
      <w:r>
        <w:rPr>
          <w:rFonts w:ascii="DejaVu Sans Mono" w:hAnsi="DejaVu Sans Mono" w:eastAsia="DejaVu Sans Mono"/>
          <w:sz w:val="16"/>
        </w:rPr>
        <w:t>});</w:t>
        <w:br/>
      </w:r>
    </w:p>
    <w:p>
      <w:pPr>
        <w:pStyle w:val="Heading2"/>
      </w:pPr>
      <w:r>
        <w:t>6.4 APX-A-005 / A-006: Prove VBA Count Does Not Change the Verdict</w:t>
      </w:r>
    </w:p>
    <w:p>
      <w:r>
        <w:t>Run plantId=6 and plantId=7. Both have Medium environmental risk. Although their VBA recordCount values are 0 and 20, their Recommendation must be identical.</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152"/>
            <w:shd w:fill="DDEBF7"/>
            <w:vAlign w:val="center"/>
            <w:tcMar>
              <w:top w:w="90" w:type="dxa"/>
              <w:start w:w="100" w:type="dxa"/>
              <w:bottom w:w="90" w:type="dxa"/>
              <w:end w:w="100" w:type="dxa"/>
            </w:tcMar>
          </w:tcPr>
          <w:p>
            <w:pPr>
              <w:spacing w:after="0"/>
              <w:jc w:val="center"/>
            </w:pPr>
            <w:r>
              <w:rPr>
                <w:rFonts w:ascii="Aptos" w:hAnsi="Aptos" w:eastAsia="Aptos"/>
                <w:b/>
                <w:sz w:val="16"/>
              </w:rPr>
              <w:t>plantId</w:t>
            </w:r>
          </w:p>
        </w:tc>
        <w:tc>
          <w:tcPr>
            <w:tcW w:type="dxa" w:w="1800"/>
            <w:shd w:fill="DDEBF7"/>
            <w:vAlign w:val="center"/>
            <w:tcMar>
              <w:top w:w="90" w:type="dxa"/>
              <w:start w:w="100" w:type="dxa"/>
              <w:bottom w:w="90" w:type="dxa"/>
              <w:end w:w="100" w:type="dxa"/>
            </w:tcMar>
          </w:tcPr>
          <w:p>
            <w:pPr>
              <w:spacing w:after="0"/>
              <w:jc w:val="center"/>
            </w:pPr>
            <w:r>
              <w:rPr>
                <w:rFonts w:ascii="Aptos" w:hAnsi="Aptos" w:eastAsia="Aptos"/>
                <w:b/>
                <w:sz w:val="16"/>
              </w:rPr>
              <w:t>Risk</w:t>
            </w:r>
          </w:p>
        </w:tc>
        <w:tc>
          <w:tcPr>
            <w:tcW w:type="dxa" w:w="1584"/>
            <w:shd w:fill="DDEBF7"/>
            <w:vAlign w:val="center"/>
            <w:tcMar>
              <w:top w:w="90" w:type="dxa"/>
              <w:start w:w="100" w:type="dxa"/>
              <w:bottom w:w="90" w:type="dxa"/>
              <w:end w:w="100" w:type="dxa"/>
            </w:tcMar>
          </w:tcPr>
          <w:p>
            <w:pPr>
              <w:spacing w:after="0"/>
              <w:jc w:val="center"/>
            </w:pPr>
            <w:r>
              <w:rPr>
                <w:rFonts w:ascii="Aptos" w:hAnsi="Aptos" w:eastAsia="Aptos"/>
                <w:b/>
                <w:sz w:val="16"/>
              </w:rPr>
              <w:t>VBA count</w:t>
            </w:r>
          </w:p>
        </w:tc>
        <w:tc>
          <w:tcPr>
            <w:tcW w:type="dxa" w:w="2016"/>
            <w:shd w:fill="DDEBF7"/>
            <w:vAlign w:val="center"/>
            <w:tcMar>
              <w:top w:w="90" w:type="dxa"/>
              <w:start w:w="100" w:type="dxa"/>
              <w:bottom w:w="90" w:type="dxa"/>
              <w:end w:w="100" w:type="dxa"/>
            </w:tcMar>
          </w:tcPr>
          <w:p>
            <w:pPr>
              <w:spacing w:after="0"/>
              <w:jc w:val="center"/>
            </w:pPr>
            <w:r>
              <w:rPr>
                <w:rFonts w:ascii="Aptos" w:hAnsi="Aptos" w:eastAsia="Aptos"/>
                <w:b/>
                <w:sz w:val="16"/>
              </w:rPr>
              <w:t>Occurrence</w:t>
            </w:r>
          </w:p>
        </w:tc>
        <w:tc>
          <w:tcPr>
            <w:tcW w:type="dxa" w:w="2376"/>
            <w:shd w:fill="DDEBF7"/>
            <w:vAlign w:val="center"/>
            <w:tcMar>
              <w:top w:w="90" w:type="dxa"/>
              <w:start w:w="100" w:type="dxa"/>
              <w:bottom w:w="90" w:type="dxa"/>
              <w:end w:w="100" w:type="dxa"/>
            </w:tcMar>
          </w:tcPr>
          <w:p>
            <w:pPr>
              <w:spacing w:after="0"/>
              <w:jc w:val="center"/>
            </w:pPr>
            <w:r>
              <w:rPr>
                <w:rFonts w:ascii="Aptos" w:hAnsi="Aptos" w:eastAsia="Aptos"/>
                <w:b/>
                <w:sz w:val="16"/>
              </w:rPr>
              <w:t>Expected Verdict</w:t>
            </w:r>
          </w:p>
        </w:tc>
      </w:tr>
      <w:tr>
        <w:tc>
          <w:tcPr>
            <w:tcW w:type="dxa" w:w="1152"/>
            <w:vAlign w:val="center"/>
            <w:tcMar>
              <w:top w:w="90" w:type="dxa"/>
              <w:start w:w="100" w:type="dxa"/>
              <w:bottom w:w="90" w:type="dxa"/>
              <w:end w:w="100" w:type="dxa"/>
            </w:tcMar>
          </w:tcPr>
          <w:p>
            <w:pPr>
              <w:spacing w:after="0" w:before="0" w:line="240" w:lineRule="auto"/>
            </w:pPr>
            <w:r>
              <w:rPr>
                <w:rFonts w:ascii="Aptos" w:hAnsi="Aptos" w:eastAsia="Aptos"/>
                <w:sz w:val="16"/>
              </w:rPr>
              <w:t>6</w:t>
            </w:r>
          </w:p>
        </w:tc>
        <w:tc>
          <w:tcPr>
            <w:tcW w:type="dxa" w:w="1800"/>
            <w:vAlign w:val="center"/>
            <w:tcMar>
              <w:top w:w="90" w:type="dxa"/>
              <w:start w:w="100" w:type="dxa"/>
              <w:bottom w:w="90" w:type="dxa"/>
              <w:end w:w="100" w:type="dxa"/>
            </w:tcMar>
          </w:tcPr>
          <w:p>
            <w:pPr>
              <w:spacing w:after="0" w:before="0" w:line="240" w:lineRule="auto"/>
            </w:pPr>
            <w:r>
              <w:rPr>
                <w:rFonts w:ascii="Aptos" w:hAnsi="Aptos" w:eastAsia="Aptos"/>
                <w:sz w:val="16"/>
              </w:rPr>
              <w:t>Medium</w:t>
            </w:r>
          </w:p>
        </w:tc>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6"/>
              </w:rPr>
              <w:t>0</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6"/>
              </w:rPr>
              <w:t>NOT_FOUND</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6"/>
              </w:rPr>
              <w:t>Use Caution</w:t>
            </w:r>
          </w:p>
        </w:tc>
      </w:tr>
      <w:tr>
        <w:tc>
          <w:tcPr>
            <w:tcW w:type="dxa" w:w="1152"/>
            <w:vAlign w:val="center"/>
            <w:tcMar>
              <w:top w:w="90" w:type="dxa"/>
              <w:start w:w="100" w:type="dxa"/>
              <w:bottom w:w="90" w:type="dxa"/>
              <w:end w:w="100" w:type="dxa"/>
            </w:tcMar>
          </w:tcPr>
          <w:p>
            <w:pPr>
              <w:spacing w:after="0" w:before="0" w:line="240" w:lineRule="auto"/>
            </w:pPr>
            <w:r>
              <w:rPr>
                <w:rFonts w:ascii="Aptos" w:hAnsi="Aptos" w:eastAsia="Aptos"/>
                <w:sz w:val="16"/>
              </w:rPr>
              <w:t>7</w:t>
            </w:r>
          </w:p>
        </w:tc>
        <w:tc>
          <w:tcPr>
            <w:tcW w:type="dxa" w:w="1800"/>
            <w:vAlign w:val="center"/>
            <w:tcMar>
              <w:top w:w="90" w:type="dxa"/>
              <w:start w:w="100" w:type="dxa"/>
              <w:bottom w:w="90" w:type="dxa"/>
              <w:end w:w="100" w:type="dxa"/>
            </w:tcMar>
          </w:tcPr>
          <w:p>
            <w:pPr>
              <w:spacing w:after="0" w:before="0" w:line="240" w:lineRule="auto"/>
            </w:pPr>
            <w:r>
              <w:rPr>
                <w:rFonts w:ascii="Aptos" w:hAnsi="Aptos" w:eastAsia="Aptos"/>
                <w:sz w:val="16"/>
              </w:rPr>
              <w:t>Medium</w:t>
            </w:r>
          </w:p>
        </w:tc>
        <w:tc>
          <w:tcPr>
            <w:tcW w:type="dxa" w:w="1584"/>
            <w:vAlign w:val="center"/>
            <w:tcMar>
              <w:top w:w="90" w:type="dxa"/>
              <w:start w:w="100" w:type="dxa"/>
              <w:bottom w:w="90" w:type="dxa"/>
              <w:end w:w="100" w:type="dxa"/>
            </w:tcMar>
          </w:tcPr>
          <w:p>
            <w:pPr>
              <w:spacing w:after="0" w:before="0" w:line="240" w:lineRule="auto"/>
            </w:pPr>
            <w:r>
              <w:rPr>
                <w:rFonts w:ascii="Aptos" w:hAnsi="Aptos" w:eastAsia="Aptos"/>
                <w:sz w:val="16"/>
              </w:rPr>
              <w:t>20</w:t>
            </w:r>
          </w:p>
        </w:tc>
        <w:tc>
          <w:tcPr>
            <w:tcW w:type="dxa" w:w="2016"/>
            <w:vAlign w:val="center"/>
            <w:tcMar>
              <w:top w:w="90" w:type="dxa"/>
              <w:start w:w="100" w:type="dxa"/>
              <w:bottom w:w="90" w:type="dxa"/>
              <w:end w:w="100" w:type="dxa"/>
            </w:tcMar>
          </w:tcPr>
          <w:p>
            <w:pPr>
              <w:spacing w:after="0" w:before="0" w:line="240" w:lineRule="auto"/>
            </w:pPr>
            <w:r>
              <w:rPr>
                <w:rFonts w:ascii="Aptos" w:hAnsi="Aptos" w:eastAsia="Aptos"/>
                <w:sz w:val="16"/>
              </w:rPr>
              <w:t>FOUND</w:t>
            </w:r>
          </w:p>
        </w:tc>
        <w:tc>
          <w:tcPr>
            <w:tcW w:type="dxa" w:w="2376"/>
            <w:vAlign w:val="center"/>
            <w:tcMar>
              <w:top w:w="90" w:type="dxa"/>
              <w:start w:w="100" w:type="dxa"/>
              <w:bottom w:w="90" w:type="dxa"/>
              <w:end w:w="100" w:type="dxa"/>
            </w:tcMar>
          </w:tcPr>
          <w:p>
            <w:pPr>
              <w:spacing w:after="0" w:before="0" w:line="240" w:lineRule="auto"/>
            </w:pPr>
            <w:r>
              <w:rPr>
                <w:rFonts w:ascii="Aptos" w:hAnsi="Aptos" w:eastAsia="Aptos"/>
                <w:sz w:val="16"/>
              </w:rPr>
              <w:t>Use Caution</w:t>
            </w:r>
          </w:p>
        </w:tc>
      </w:tr>
    </w:tbl>
    <w:p>
      <w:pPr>
        <w:spacing w:after="40"/>
      </w:pPr>
    </w:p>
    <w:p>
      <w:pPr>
        <w:pStyle w:val="Heading1"/>
      </w:pPr>
      <w:r>
        <w:t>7. Error Response and Security Tests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5"/>
              </w:rPr>
              <w:t>ID</w:t>
            </w:r>
          </w:p>
        </w:tc>
        <w:tc>
          <w:tcPr>
            <w:tcW w:type="dxa" w:w="3744"/>
            <w:shd w:fill="DDEBF7"/>
            <w:vAlign w:val="center"/>
            <w:tcMar>
              <w:top w:w="90" w:type="dxa"/>
              <w:start w:w="100" w:type="dxa"/>
              <w:bottom w:w="90" w:type="dxa"/>
              <w:end w:w="100" w:type="dxa"/>
            </w:tcMar>
          </w:tcPr>
          <w:p>
            <w:pPr>
              <w:spacing w:after="0"/>
              <w:jc w:val="center"/>
            </w:pPr>
            <w:r>
              <w:rPr>
                <w:rFonts w:ascii="Aptos" w:hAnsi="Aptos" w:eastAsia="Aptos"/>
                <w:b/>
                <w:sz w:val="15"/>
              </w:rPr>
              <w:t>Request</w:t>
            </w:r>
          </w:p>
        </w:tc>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5"/>
              </w:rPr>
              <w:t>Expected</w:t>
            </w:r>
          </w:p>
        </w:tc>
        <w:tc>
          <w:tcPr>
            <w:tcW w:type="dxa" w:w="4320"/>
            <w:shd w:fill="DDEBF7"/>
            <w:vAlign w:val="center"/>
            <w:tcMar>
              <w:top w:w="90" w:type="dxa"/>
              <w:start w:w="100" w:type="dxa"/>
              <w:bottom w:w="90" w:type="dxa"/>
              <w:end w:w="100" w:type="dxa"/>
            </w:tcMar>
          </w:tcPr>
          <w:p>
            <w:pPr>
              <w:spacing w:after="0"/>
              <w:jc w:val="center"/>
            </w:pPr>
            <w:r>
              <w:rPr>
                <w:rFonts w:ascii="Aptos" w:hAnsi="Aptos" w:eastAsia="Aptos"/>
                <w:b/>
                <w:sz w:val="15"/>
              </w:rPr>
              <w:t>Apifox Assertions</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APX-E-001</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GET /plants/999999/assessment</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404</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5"/>
              </w:rPr>
              <w:t>code=PLANT_NOT_FOUND; message non-empty; path correct</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APX-E-002</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 xml:space="preserve">GET /plants/search?q=   </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400</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5"/>
              </w:rPr>
              <w:t>code=INVALID_SEARCH_QUERY; message non-empty</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APX-E-003</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GET /plants/abc/assessment</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400</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5"/>
              </w:rPr>
              <w:t>Standard error JSON; not an HTML error page</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APX-E-004</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Force unexpected exception in test profile</w:t>
            </w:r>
          </w:p>
        </w:tc>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500</w:t>
            </w:r>
          </w:p>
        </w:tc>
        <w:tc>
          <w:tcPr>
            <w:tcW w:type="dxa" w:w="4320"/>
            <w:vAlign w:val="center"/>
            <w:tcMar>
              <w:top w:w="90" w:type="dxa"/>
              <w:start w:w="100" w:type="dxa"/>
              <w:bottom w:w="90" w:type="dxa"/>
              <w:end w:w="100" w:type="dxa"/>
            </w:tcMar>
          </w:tcPr>
          <w:p>
            <w:pPr>
              <w:spacing w:after="0" w:before="0" w:line="240" w:lineRule="auto"/>
            </w:pPr>
            <w:r>
              <w:rPr>
                <w:rFonts w:ascii="Aptos" w:hAnsi="Aptos" w:eastAsia="Aptos"/>
                <w:sz w:val="15"/>
              </w:rPr>
              <w:t>Response contains no stack trace, SQL, or Java exception class</w:t>
            </w:r>
          </w:p>
        </w:tc>
      </w:tr>
    </w:tbl>
    <w:p>
      <w:pPr>
        <w:spacing w:after="40"/>
      </w:pPr>
    </w:p>
    <w:p>
      <w:pPr>
        <w:pStyle w:val="CodeBlock"/>
        <w:keepLines/>
      </w:pPr>
      <w:r>
        <w:rPr>
          <w:rFonts w:ascii="DejaVu Sans Mono" w:hAnsi="DejaVu Sans Mono" w:eastAsia="DejaVu Sans Mono"/>
          <w:sz w:val="16"/>
        </w:rPr>
        <w:t>pm.test("error response does not leak implementation details", function () {</w:t>
        <w:br/>
      </w:r>
      <w:r>
        <w:rPr>
          <w:rFonts w:ascii="DejaVu Sans Mono" w:hAnsi="DejaVu Sans Mono" w:eastAsia="DejaVu Sans Mono"/>
          <w:sz w:val="16"/>
        </w:rPr>
        <w:t xml:space="preserve">    const text = pm.response.text();</w:t>
        <w:br/>
      </w:r>
      <w:r>
        <w:rPr>
          <w:rFonts w:ascii="DejaVu Sans Mono" w:hAnsi="DejaVu Sans Mono" w:eastAsia="DejaVu Sans Mono"/>
          <w:sz w:val="16"/>
        </w:rPr>
        <w:t xml:space="preserve">    pm.expect(text).to.not.include("java.lang");</w:t>
        <w:br/>
      </w:r>
      <w:r>
        <w:rPr>
          <w:rFonts w:ascii="DejaVu Sans Mono" w:hAnsi="DejaVu Sans Mono" w:eastAsia="DejaVu Sans Mono"/>
          <w:sz w:val="16"/>
        </w:rPr>
        <w:t xml:space="preserve">    pm.expect(text).to.not.include("SQLException");</w:t>
        <w:br/>
      </w:r>
      <w:r>
        <w:rPr>
          <w:rFonts w:ascii="DejaVu Sans Mono" w:hAnsi="DejaVu Sans Mono" w:eastAsia="DejaVu Sans Mono"/>
          <w:sz w:val="16"/>
        </w:rPr>
        <w:t xml:space="preserve">    pm.expect(text).to.not.include("at com.");</w:t>
        <w:br/>
      </w:r>
      <w:r>
        <w:rPr>
          <w:rFonts w:ascii="DejaVu Sans Mono" w:hAnsi="DejaVu Sans Mono" w:eastAsia="DejaVu Sans Mono"/>
          <w:sz w:val="16"/>
        </w:rPr>
        <w:t>});</w:t>
        <w:br/>
      </w:r>
    </w:p>
    <w:p>
      <w:pPr>
        <w:pStyle w:val="Heading1"/>
      </w:pPr>
      <w:r>
        <w:t>8. Apifox Automated Regression Scenario</w:t>
      </w:r>
    </w:p>
    <w:p>
      <w:r>
        <w:t>Create an automated test scenario in Apifox named “Iteration 1 Backend Regression”. Add the test cases in the following recommended order.</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864"/>
            <w:shd w:fill="DDEBF7"/>
            <w:vAlign w:val="center"/>
            <w:tcMar>
              <w:top w:w="90" w:type="dxa"/>
              <w:start w:w="100" w:type="dxa"/>
              <w:bottom w:w="90" w:type="dxa"/>
              <w:end w:w="100" w:type="dxa"/>
            </w:tcMar>
          </w:tcPr>
          <w:p>
            <w:pPr>
              <w:spacing w:after="0"/>
              <w:jc w:val="center"/>
            </w:pPr>
            <w:r>
              <w:rPr>
                <w:rFonts w:ascii="Aptos" w:hAnsi="Aptos" w:eastAsia="Aptos"/>
                <w:b/>
                <w:sz w:val="15"/>
              </w:rPr>
              <w:t>Step</w:t>
            </w:r>
          </w:p>
        </w:tc>
        <w:tc>
          <w:tcPr>
            <w:tcW w:type="dxa" w:w="3024"/>
            <w:shd w:fill="DDEBF7"/>
            <w:vAlign w:val="center"/>
            <w:tcMar>
              <w:top w:w="90" w:type="dxa"/>
              <w:start w:w="100" w:type="dxa"/>
              <w:bottom w:w="90" w:type="dxa"/>
              <w:end w:w="100" w:type="dxa"/>
            </w:tcMar>
          </w:tcPr>
          <w:p>
            <w:pPr>
              <w:spacing w:after="0"/>
              <w:jc w:val="center"/>
            </w:pPr>
            <w:r>
              <w:rPr>
                <w:rFonts w:ascii="Aptos" w:hAnsi="Aptos" w:eastAsia="Aptos"/>
                <w:b/>
                <w:sz w:val="15"/>
              </w:rPr>
              <w:t>Test Case</w:t>
            </w:r>
          </w:p>
        </w:tc>
        <w:tc>
          <w:tcPr>
            <w:tcW w:type="dxa" w:w="2232"/>
            <w:shd w:fill="DDEBF7"/>
            <w:vAlign w:val="center"/>
            <w:tcMar>
              <w:top w:w="90" w:type="dxa"/>
              <w:start w:w="100" w:type="dxa"/>
              <w:bottom w:w="90" w:type="dxa"/>
              <w:end w:w="100" w:type="dxa"/>
            </w:tcMar>
          </w:tcPr>
          <w:p>
            <w:pPr>
              <w:spacing w:after="0"/>
              <w:jc w:val="center"/>
            </w:pPr>
            <w:r>
              <w:rPr>
                <w:rFonts w:ascii="Aptos" w:hAnsi="Aptos" w:eastAsia="Aptos"/>
                <w:b/>
                <w:sz w:val="15"/>
              </w:rPr>
              <w:t>Block on Failure</w:t>
            </w:r>
          </w:p>
        </w:tc>
        <w:tc>
          <w:tcPr>
            <w:tcW w:type="dxa" w:w="4032"/>
            <w:shd w:fill="DDEBF7"/>
            <w:vAlign w:val="center"/>
            <w:tcMar>
              <w:top w:w="90" w:type="dxa"/>
              <w:start w:w="100" w:type="dxa"/>
              <w:bottom w:w="90" w:type="dxa"/>
              <w:end w:w="100" w:type="dxa"/>
            </w:tcMar>
          </w:tcPr>
          <w:p>
            <w:pPr>
              <w:spacing w:after="0"/>
              <w:jc w:val="center"/>
            </w:pPr>
            <w:r>
              <w:rPr>
                <w:rFonts w:ascii="Aptos" w:hAnsi="Aptos" w:eastAsia="Aptos"/>
                <w:b/>
                <w:sz w:val="15"/>
              </w:rPr>
              <w:t>Purpose</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1</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APX-S-001</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Confirm basic Search works</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2</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APX-S-002</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Common-name search</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3</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APX-S-003</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Multiple matches</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4</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APX-S-004</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No-result semantics</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5</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APX-A-001</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Main full-assessment path</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6</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APX-A-002</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Not Assessed</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7</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APX-A-003</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High → Reconsider</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8</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APX-A-005 + A-006</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VBA does not change risk severity</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9</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APX-A-008</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Yes</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404 handling</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10</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APX-E-002</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No, if blank-q validation is not yet implemented</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400 parameter validation</w:t>
            </w:r>
          </w:p>
        </w:tc>
      </w:tr>
      <w:tr>
        <w:tc>
          <w:tcPr>
            <w:tcW w:type="dxa" w:w="864"/>
            <w:vAlign w:val="center"/>
            <w:tcMar>
              <w:top w:w="90" w:type="dxa"/>
              <w:start w:w="100" w:type="dxa"/>
              <w:bottom w:w="90" w:type="dxa"/>
              <w:end w:w="100" w:type="dxa"/>
            </w:tcMar>
          </w:tcPr>
          <w:p>
            <w:pPr>
              <w:spacing w:after="0" w:before="0" w:line="240" w:lineRule="auto"/>
            </w:pPr>
            <w:r>
              <w:rPr>
                <w:rFonts w:ascii="Aptos" w:hAnsi="Aptos" w:eastAsia="Aptos"/>
                <w:sz w:val="15"/>
              </w:rPr>
              <w:t>11</w:t>
            </w:r>
          </w:p>
        </w:tc>
        <w:tc>
          <w:tcPr>
            <w:tcW w:type="dxa" w:w="3024"/>
            <w:vAlign w:val="center"/>
            <w:tcMar>
              <w:top w:w="90" w:type="dxa"/>
              <w:start w:w="100" w:type="dxa"/>
              <w:bottom w:w="90" w:type="dxa"/>
              <w:end w:w="100" w:type="dxa"/>
            </w:tcMar>
          </w:tcPr>
          <w:p>
            <w:pPr>
              <w:spacing w:after="0" w:before="0" w:line="240" w:lineRule="auto"/>
            </w:pPr>
            <w:r>
              <w:rPr>
                <w:rFonts w:ascii="Aptos" w:hAnsi="Aptos" w:eastAsia="Aptos"/>
                <w:sz w:val="15"/>
              </w:rPr>
              <w:t>APX-A-010</w:t>
            </w:r>
          </w:p>
        </w:tc>
        <w:tc>
          <w:tcPr>
            <w:tcW w:type="dxa" w:w="2232"/>
            <w:vAlign w:val="center"/>
            <w:tcMar>
              <w:top w:w="90" w:type="dxa"/>
              <w:start w:w="100" w:type="dxa"/>
              <w:bottom w:w="90" w:type="dxa"/>
              <w:end w:w="100" w:type="dxa"/>
            </w:tcMar>
          </w:tcPr>
          <w:p>
            <w:pPr>
              <w:spacing w:after="0" w:before="0" w:line="240" w:lineRule="auto"/>
            </w:pPr>
            <w:r>
              <w:rPr>
                <w:rFonts w:ascii="Aptos" w:hAnsi="Aptos" w:eastAsia="Aptos"/>
                <w:sz w:val="15"/>
              </w:rPr>
              <w:t>Conditional</w:t>
            </w:r>
          </w:p>
        </w:tc>
        <w:tc>
          <w:tcPr>
            <w:tcW w:type="dxa" w:w="4032"/>
            <w:vAlign w:val="center"/>
            <w:tcMar>
              <w:top w:w="90" w:type="dxa"/>
              <w:start w:w="100" w:type="dxa"/>
              <w:bottom w:w="90" w:type="dxa"/>
              <w:end w:w="100" w:type="dxa"/>
            </w:tcMar>
          </w:tcPr>
          <w:p>
            <w:pPr>
              <w:spacing w:after="0" w:before="0" w:line="240" w:lineRule="auto"/>
            </w:pPr>
            <w:r>
              <w:rPr>
                <w:rFonts w:ascii="Aptos" w:hAnsi="Aptos" w:eastAsia="Aptos"/>
                <w:sz w:val="15"/>
              </w:rPr>
              <w:t>Partial source failure</w:t>
            </w:r>
          </w:p>
        </w:tc>
      </w:tr>
    </w:tbl>
    <w:p>
      <w:pPr>
        <w:spacing w:after="40"/>
      </w:pPr>
    </w:p>
    <w:tbl>
      <w:tblPr>
        <w:tblStyle w:val="TableGrid"/>
        <w:tblW w:type="auto" w:w="0"/>
        <w:jc w:val="center"/>
        <w:tblLook w:firstColumn="1" w:firstRow="1" w:lastColumn="0" w:lastRow="0" w:noHBand="0" w:noVBand="1" w:val="04A0"/>
      </w:tblPr>
      <w:tblGrid>
        <w:gridCol w:w="10282"/>
      </w:tblGrid>
      <w:tr>
        <w:trPr>
          <w:cantSplit/>
        </w:trPr>
        <w:tc>
          <w:tcPr>
            <w:tcW w:type="dxa" w:w="10282"/>
            <w:shd w:fill="FFF2CC"/>
            <w:tcMar>
              <w:top w:w="120" w:type="dxa"/>
              <w:start w:w="140" w:type="dxa"/>
              <w:bottom w:w="120" w:type="dxa"/>
              <w:end w:w="140" w:type="dxa"/>
            </w:tcMar>
          </w:tcPr>
          <w:p>
            <w:r>
              <w:rPr>
                <w:rFonts w:ascii="Aptos" w:hAnsi="Aptos" w:eastAsia="Aptos"/>
                <w:b/>
                <w:sz w:val="18"/>
              </w:rPr>
              <w:t xml:space="preserve">Note: </w:t>
            </w:r>
            <w:r>
              <w:rPr>
                <w:rFonts w:ascii="Aptos" w:hAnsi="Aptos" w:eastAsia="Aptos"/>
                <w:sz w:val="18"/>
              </w:rPr>
              <w:t>If the team maintains complete response schemas in Apifox, enable response / contract validation on every automated step. In addition to custom assertions, this helps detect missing fields, incorrect types, invalid enum values, or status codes that no longer match the API specification.</w:t>
            </w:r>
          </w:p>
        </w:tc>
      </w:tr>
    </w:tbl>
    <w:p>
      <w:pPr>
        <w:spacing w:after="40"/>
      </w:pPr>
    </w:p>
    <w:p>
      <w:pPr>
        <w:pStyle w:val="Heading1"/>
      </w:pPr>
      <w:r>
        <w:t>9. Acceptance Criteria → Apifox Testability Traceability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224"/>
            <w:shd w:fill="DDEBF7"/>
            <w:vAlign w:val="center"/>
            <w:tcMar>
              <w:top w:w="90" w:type="dxa"/>
              <w:start w:w="100" w:type="dxa"/>
              <w:bottom w:w="90" w:type="dxa"/>
              <w:end w:w="100" w:type="dxa"/>
            </w:tcMar>
          </w:tcPr>
          <w:p>
            <w:pPr>
              <w:spacing w:after="0"/>
              <w:jc w:val="center"/>
            </w:pPr>
            <w:r>
              <w:rPr>
                <w:rFonts w:ascii="Aptos" w:hAnsi="Aptos" w:eastAsia="Aptos"/>
                <w:b/>
                <w:sz w:val="13"/>
              </w:rPr>
              <w:t>Requirement</w:t>
            </w:r>
          </w:p>
        </w:tc>
        <w:tc>
          <w:tcPr>
            <w:tcW w:type="dxa" w:w="3600"/>
            <w:shd w:fill="DDEBF7"/>
            <w:vAlign w:val="center"/>
            <w:tcMar>
              <w:top w:w="90" w:type="dxa"/>
              <w:start w:w="100" w:type="dxa"/>
              <w:bottom w:w="90" w:type="dxa"/>
              <w:end w:w="100" w:type="dxa"/>
            </w:tcMar>
          </w:tcPr>
          <w:p>
            <w:pPr>
              <w:spacing w:after="0"/>
              <w:jc w:val="center"/>
            </w:pPr>
            <w:r>
              <w:rPr>
                <w:rFonts w:ascii="Aptos" w:hAnsi="Aptos" w:eastAsia="Aptos"/>
                <w:b/>
                <w:sz w:val="13"/>
              </w:rPr>
              <w:t>Description</w:t>
            </w:r>
          </w:p>
        </w:tc>
        <w:tc>
          <w:tcPr>
            <w:tcW w:type="dxa" w:w="1224"/>
            <w:shd w:fill="DDEBF7"/>
            <w:vAlign w:val="center"/>
            <w:tcMar>
              <w:top w:w="90" w:type="dxa"/>
              <w:start w:w="100" w:type="dxa"/>
              <w:bottom w:w="90" w:type="dxa"/>
              <w:end w:w="100" w:type="dxa"/>
            </w:tcMar>
          </w:tcPr>
          <w:p>
            <w:pPr>
              <w:spacing w:after="0"/>
              <w:jc w:val="center"/>
            </w:pPr>
            <w:r>
              <w:rPr>
                <w:rFonts w:ascii="Aptos" w:hAnsi="Aptos" w:eastAsia="Aptos"/>
                <w:b/>
                <w:sz w:val="13"/>
              </w:rPr>
              <w:t>Apifox</w:t>
            </w:r>
          </w:p>
        </w:tc>
        <w:tc>
          <w:tcPr>
            <w:tcW w:type="dxa" w:w="4536"/>
            <w:shd w:fill="DDEBF7"/>
            <w:vAlign w:val="center"/>
            <w:tcMar>
              <w:top w:w="90" w:type="dxa"/>
              <w:start w:w="100" w:type="dxa"/>
              <w:bottom w:w="90" w:type="dxa"/>
              <w:end w:w="100" w:type="dxa"/>
            </w:tcMar>
          </w:tcPr>
          <w:p>
            <w:pPr>
              <w:spacing w:after="0"/>
              <w:jc w:val="center"/>
            </w:pPr>
            <w:r>
              <w:rPr>
                <w:rFonts w:ascii="Aptos" w:hAnsi="Aptos" w:eastAsia="Aptos"/>
                <w:b/>
                <w:sz w:val="13"/>
              </w:rPr>
              <w:t>Mapped Test</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1.1.1</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Search field visible</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No</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Frontend UI</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1.1.2</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Valid search returns matches</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APX-S-001 / S-002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1.1.3</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Plant can be selected and navigates</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Partial</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Apifox verifies plantId is returned; navigation is frontend testing</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1.1.4</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No results found</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APX-S-004</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1.1.5</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Ambiguous matches are resolved</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Backend partial</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APX-S-003 verifies multiple results; selectable list is frontend testing</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1.2.1</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Suggestions after 3+ chars within 1s</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Partial</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Backend response time can be measured; trigger/dropdown are frontend</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1.2.2</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Suggestion can be selected</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No</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Frontend navigation</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1.2.3</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No matches shown in dropdown</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Backend partial</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Apifox verifies results=[]; dropdown wording is frontend</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US 1.3</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Plant Identity</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APX-A-001 / A-007</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US 1.4</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Degree of Establishment</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APX-A-001</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US 2.1</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Local Occurrence</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APX-A-001 / A-002 / A-006</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2.2.1</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Risk rating displayed when assessed</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APX-A-001 / A-003</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2.2.2</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Not Assessed stated clearly</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2.2.3</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Risk explanation included</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Assert explanation is non-empty and consistent with rating</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2.2.4</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Source attribution</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Assert environmentalRisk.source</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3.1.1</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Exactly one verdict</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All Assessment cases</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3.1.2</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Verdict follows validated risk evidence</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APX-A-003 to A-006</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3.1.3</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Partial data failure is transparent</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Conditional</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APX-A-010; requires simulated source failure</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3.2.1</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Explanation references evidence</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APX-A-001 / A-002</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3.2.2</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Avoid raw technical fields</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Yes</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APX-A-011</w:t>
            </w:r>
          </w:p>
        </w:tc>
      </w:tr>
      <w:tr>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AC 3.2.3</w:t>
            </w:r>
          </w:p>
        </w:tc>
        <w:tc>
          <w:tcPr>
            <w:tcW w:type="dxa" w:w="3600"/>
            <w:vAlign w:val="center"/>
            <w:tcMar>
              <w:top w:w="90" w:type="dxa"/>
              <w:start w:w="100" w:type="dxa"/>
              <w:bottom w:w="90" w:type="dxa"/>
              <w:end w:w="100" w:type="dxa"/>
            </w:tcMar>
          </w:tcPr>
          <w:p>
            <w:pPr>
              <w:spacing w:after="0" w:before="0" w:line="240" w:lineRule="auto"/>
            </w:pPr>
            <w:r>
              <w:rPr>
                <w:rFonts w:ascii="Aptos" w:hAnsi="Aptos" w:eastAsia="Aptos"/>
                <w:sz w:val="13"/>
              </w:rPr>
              <w:t>Supporting sections remain visible</w:t>
            </w:r>
          </w:p>
        </w:tc>
        <w:tc>
          <w:tcPr>
            <w:tcW w:type="dxa" w:w="1224"/>
            <w:vAlign w:val="center"/>
            <w:tcMar>
              <w:top w:w="90" w:type="dxa"/>
              <w:start w:w="100" w:type="dxa"/>
              <w:bottom w:w="90" w:type="dxa"/>
              <w:end w:w="100" w:type="dxa"/>
            </w:tcMar>
          </w:tcPr>
          <w:p>
            <w:pPr>
              <w:spacing w:after="0" w:before="0" w:line="240" w:lineRule="auto"/>
            </w:pPr>
            <w:r>
              <w:rPr>
                <w:rFonts w:ascii="Aptos" w:hAnsi="Aptos" w:eastAsia="Aptos"/>
                <w:sz w:val="13"/>
              </w:rPr>
              <w:t>Partial</w:t>
            </w:r>
          </w:p>
        </w:tc>
        <w:tc>
          <w:tcPr>
            <w:tcW w:type="dxa" w:w="4536"/>
            <w:vAlign w:val="center"/>
            <w:tcMar>
              <w:top w:w="90" w:type="dxa"/>
              <w:start w:w="100" w:type="dxa"/>
              <w:bottom w:w="90" w:type="dxa"/>
              <w:end w:w="100" w:type="dxa"/>
            </w:tcMar>
          </w:tcPr>
          <w:p>
            <w:pPr>
              <w:spacing w:after="0" w:before="0" w:line="240" w:lineRule="auto"/>
            </w:pPr>
            <w:r>
              <w:rPr>
                <w:rFonts w:ascii="Aptos" w:hAnsi="Aptos" w:eastAsia="Aptos"/>
                <w:sz w:val="13"/>
              </w:rPr>
              <w:t>API verifies four data groups exist; page visibility is frontend testing</w:t>
            </w:r>
          </w:p>
        </w:tc>
      </w:tr>
    </w:tbl>
    <w:p>
      <w:pPr>
        <w:spacing w:after="40"/>
      </w:pPr>
    </w:p>
    <w:p>
      <w:pPr>
        <w:pStyle w:val="Heading1"/>
      </w:pPr>
      <w:r>
        <w:t>10. Performance and Stability Tests</w:t>
      </w:r>
    </w:p>
    <w:p>
      <w:r>
        <w:t>Iteration 1 currently contains about 777 read-only plant records. The purpose of performance testing is to identify obvious slow queries early, not to justify Redis.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5"/>
              </w:rPr>
              <w:t>ID</w:t>
            </w:r>
          </w:p>
        </w:tc>
        <w:tc>
          <w:tcPr>
            <w:tcW w:type="dxa" w:w="2448"/>
            <w:shd w:fill="DDEBF7"/>
            <w:vAlign w:val="center"/>
            <w:tcMar>
              <w:top w:w="90" w:type="dxa"/>
              <w:start w:w="100" w:type="dxa"/>
              <w:bottom w:w="90" w:type="dxa"/>
              <w:end w:w="100" w:type="dxa"/>
            </w:tcMar>
          </w:tcPr>
          <w:p>
            <w:pPr>
              <w:spacing w:after="0"/>
              <w:jc w:val="center"/>
            </w:pPr>
            <w:r>
              <w:rPr>
                <w:rFonts w:ascii="Aptos" w:hAnsi="Aptos" w:eastAsia="Aptos"/>
                <w:b/>
                <w:sz w:val="15"/>
              </w:rPr>
              <w:t>Test</w:t>
            </w:r>
          </w:p>
        </w:tc>
        <w:tc>
          <w:tcPr>
            <w:tcW w:type="dxa" w:w="3744"/>
            <w:shd w:fill="DDEBF7"/>
            <w:vAlign w:val="center"/>
            <w:tcMar>
              <w:top w:w="90" w:type="dxa"/>
              <w:start w:w="100" w:type="dxa"/>
              <w:bottom w:w="90" w:type="dxa"/>
              <w:end w:w="100" w:type="dxa"/>
            </w:tcMar>
          </w:tcPr>
          <w:p>
            <w:pPr>
              <w:spacing w:after="0"/>
              <w:jc w:val="center"/>
            </w:pPr>
            <w:r>
              <w:rPr>
                <w:rFonts w:ascii="Aptos" w:hAnsi="Aptos" w:eastAsia="Aptos"/>
                <w:b/>
                <w:sz w:val="15"/>
              </w:rPr>
              <w:t>Execution</w:t>
            </w:r>
          </w:p>
        </w:tc>
        <w:tc>
          <w:tcPr>
            <w:tcW w:type="dxa" w:w="3456"/>
            <w:shd w:fill="DDEBF7"/>
            <w:vAlign w:val="center"/>
            <w:tcMar>
              <w:top w:w="90" w:type="dxa"/>
              <w:start w:w="100" w:type="dxa"/>
              <w:bottom w:w="90" w:type="dxa"/>
              <w:end w:w="100" w:type="dxa"/>
            </w:tcMar>
          </w:tcPr>
          <w:p>
            <w:pPr>
              <w:spacing w:after="0"/>
              <w:jc w:val="center"/>
            </w:pPr>
            <w:r>
              <w:rPr>
                <w:rFonts w:ascii="Aptos" w:hAnsi="Aptos" w:eastAsia="Aptos"/>
                <w:b/>
                <w:sz w:val="15"/>
              </w:rPr>
              <w:t>Suggested Pass Condition</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APX-P-001</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Single Search response time</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Run wattle 10 consecutive times and record response times</w:t>
            </w:r>
          </w:p>
        </w:tc>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5"/>
              </w:rPr>
              <w:t>No abnormal spikes; each request preferably &lt;1000ms</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APX-P-002</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Single Assessment response time</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Run plantId=3 10 consecutive times</w:t>
            </w:r>
          </w:p>
        </w:tc>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5"/>
              </w:rPr>
              <w:t>No obvious timeout; response remains stable and consistent</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APX-P-003</w:t>
            </w:r>
          </w:p>
        </w:tc>
        <w:tc>
          <w:tcPr>
            <w:tcW w:type="dxa" w:w="2448"/>
            <w:vAlign w:val="center"/>
            <w:tcMar>
              <w:top w:w="90" w:type="dxa"/>
              <w:start w:w="100" w:type="dxa"/>
              <w:bottom w:w="90" w:type="dxa"/>
              <w:end w:w="100" w:type="dxa"/>
            </w:tcMar>
          </w:tcPr>
          <w:p>
            <w:pPr>
              <w:spacing w:after="0" w:before="0" w:line="240" w:lineRule="auto"/>
            </w:pPr>
            <w:r>
              <w:rPr>
                <w:rFonts w:ascii="Aptos" w:hAnsi="Aptos" w:eastAsia="Aptos"/>
                <w:sz w:val="15"/>
              </w:rPr>
              <w:t>Simple concurrency regression</w:t>
            </w:r>
          </w:p>
        </w:tc>
        <w:tc>
          <w:tcPr>
            <w:tcW w:type="dxa" w:w="3744"/>
            <w:vAlign w:val="center"/>
            <w:tcMar>
              <w:top w:w="90" w:type="dxa"/>
              <w:start w:w="100" w:type="dxa"/>
              <w:bottom w:w="90" w:type="dxa"/>
              <w:end w:w="100" w:type="dxa"/>
            </w:tcMar>
          </w:tcPr>
          <w:p>
            <w:pPr>
              <w:spacing w:after="0" w:before="0" w:line="240" w:lineRule="auto"/>
            </w:pPr>
            <w:r>
              <w:rPr>
                <w:rFonts w:ascii="Aptos" w:hAnsi="Aptos" w:eastAsia="Aptos"/>
                <w:sz w:val="15"/>
              </w:rPr>
              <w:t>If available, run 10-20 concurrent requests using Apifox performance/automation capability</w:t>
            </w:r>
          </w:p>
        </w:tc>
        <w:tc>
          <w:tcPr>
            <w:tcW w:type="dxa" w:w="3456"/>
            <w:vAlign w:val="center"/>
            <w:tcMar>
              <w:top w:w="90" w:type="dxa"/>
              <w:start w:w="100" w:type="dxa"/>
              <w:bottom w:w="90" w:type="dxa"/>
              <w:end w:w="100" w:type="dxa"/>
            </w:tcMar>
          </w:tcPr>
          <w:p>
            <w:pPr>
              <w:spacing w:after="0" w:before="0" w:line="240" w:lineRule="auto"/>
            </w:pPr>
            <w:r>
              <w:rPr>
                <w:rFonts w:ascii="Aptos" w:hAnsi="Aptos" w:eastAsia="Aptos"/>
                <w:sz w:val="15"/>
              </w:rPr>
              <w:t>No 5xx; response structure remains correct</w:t>
            </w:r>
          </w:p>
        </w:tc>
      </w:tr>
    </w:tbl>
    <w:p>
      <w:pPr>
        <w:spacing w:after="40"/>
      </w:pPr>
    </w:p>
    <w:tbl>
      <w:tblPr>
        <w:tblStyle w:val="TableGrid"/>
        <w:tblW w:type="auto" w:w="0"/>
        <w:jc w:val="center"/>
        <w:tblLook w:firstColumn="1" w:firstRow="1" w:lastColumn="0" w:lastRow="0" w:noHBand="0" w:noVBand="1" w:val="04A0"/>
      </w:tblPr>
      <w:tblGrid>
        <w:gridCol w:w="10282"/>
      </w:tblGrid>
      <w:tr>
        <w:trPr>
          <w:cantSplit/>
        </w:trPr>
        <w:tc>
          <w:tcPr>
            <w:tcW w:type="dxa" w:w="10282"/>
            <w:shd w:fill="FFF2CC"/>
            <w:tcMar>
              <w:top w:w="120" w:type="dxa"/>
              <w:start w:w="140" w:type="dxa"/>
              <w:bottom w:w="120" w:type="dxa"/>
              <w:end w:w="140" w:type="dxa"/>
            </w:tcMar>
          </w:tcPr>
          <w:p>
            <w:r>
              <w:rPr>
                <w:rFonts w:ascii="Aptos" w:hAnsi="Aptos" w:eastAsia="Aptos"/>
                <w:b/>
                <w:sz w:val="18"/>
              </w:rPr>
              <w:t xml:space="preserve">Note: </w:t>
            </w:r>
            <w:r>
              <w:rPr>
                <w:rFonts w:ascii="Aptos" w:hAnsi="Aptos" w:eastAsia="Aptos"/>
                <w:sz w:val="18"/>
              </w:rPr>
              <w:t>&lt;1000 ms in this document is a backend supporting target, not a new course acceptance criterion. The actual AC 1.2.1 requires the autocomplete dropdown to appear within 1 second in a normal environment and must be accepted together with the frontend.</w:t>
            </w:r>
          </w:p>
        </w:tc>
      </w:tr>
    </w:tbl>
    <w:p>
      <w:pPr>
        <w:spacing w:after="40"/>
      </w:pPr>
    </w:p>
    <w:p>
      <w:pPr>
        <w:pStyle w:val="Heading1"/>
      </w:pPr>
      <w:r>
        <w:t>11. Test Execution Record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shd w:fill="DDEBF7"/>
            <w:vAlign w:val="center"/>
            <w:tcMar>
              <w:top w:w="90" w:type="dxa"/>
              <w:start w:w="100" w:type="dxa"/>
              <w:bottom w:w="90" w:type="dxa"/>
              <w:end w:w="100" w:type="dxa"/>
            </w:tcMar>
          </w:tcPr>
          <w:p>
            <w:pPr>
              <w:spacing w:after="0"/>
              <w:jc w:val="center"/>
            </w:pPr>
            <w:r>
              <w:rPr>
                <w:rFonts w:ascii="Aptos" w:hAnsi="Aptos" w:eastAsia="Aptos"/>
                <w:b/>
                <w:sz w:val="16"/>
              </w:rPr>
              <w:t>Field</w:t>
            </w:r>
          </w:p>
        </w:tc>
        <w:tc>
          <w:tcPr>
            <w:tcW w:type="dxa" w:w="7200"/>
            <w:shd w:fill="DDEBF7"/>
            <w:vAlign w:val="center"/>
            <w:tcMar>
              <w:top w:w="90" w:type="dxa"/>
              <w:start w:w="100" w:type="dxa"/>
              <w:bottom w:w="90" w:type="dxa"/>
              <w:end w:w="100" w:type="dxa"/>
            </w:tcMar>
          </w:tcPr>
          <w:p>
            <w:pPr>
              <w:spacing w:after="0"/>
              <w:jc w:val="center"/>
            </w:pPr>
            <w:r>
              <w:rPr>
                <w:rFonts w:ascii="Aptos" w:hAnsi="Aptos" w:eastAsia="Aptos"/>
                <w:b/>
                <w:sz w:val="16"/>
              </w:rPr>
              <w:t>Value</w:t>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Execution date</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Git commit / branch</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Test environment</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t>Local / Public</w:t>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baseUrl</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Database version / SQL</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t>species_data_revised.sql</w:t>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Tester</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Apifox scenario</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t>Iteration 1 Backend Regression</w:t>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Total cases</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Passed</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Failed</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Blocked</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r>
        <w:tc>
          <w:tcPr>
            <w:tcW w:type="dxa" w:w="3168"/>
            <w:vAlign w:val="center"/>
            <w:tcMar>
              <w:top w:w="90" w:type="dxa"/>
              <w:start w:w="100" w:type="dxa"/>
              <w:bottom w:w="90" w:type="dxa"/>
              <w:end w:w="100" w:type="dxa"/>
            </w:tcMar>
          </w:tcPr>
          <w:p>
            <w:pPr>
              <w:spacing w:after="0" w:before="0" w:line="240" w:lineRule="auto"/>
            </w:pPr>
            <w:r>
              <w:rPr>
                <w:rFonts w:ascii="Aptos" w:hAnsi="Aptos" w:eastAsia="Aptos"/>
                <w:sz w:val="16"/>
              </w:rPr>
              <w:t>Notes</w:t>
            </w:r>
          </w:p>
        </w:tc>
        <w:tc>
          <w:tcPr>
            <w:tcW w:type="dxa" w:w="7200"/>
            <w:vAlign w:val="center"/>
            <w:tcMar>
              <w:top w:w="90" w:type="dxa"/>
              <w:start w:w="100" w:type="dxa"/>
              <w:bottom w:w="90" w:type="dxa"/>
              <w:end w:w="100" w:type="dxa"/>
            </w:tcMar>
          </w:tcPr>
          <w:p>
            <w:pPr>
              <w:spacing w:after="0" w:before="0" w:line="240" w:lineRule="auto"/>
            </w:pPr>
            <w:r>
              <w:rPr>
                <w:rFonts w:ascii="Aptos" w:hAnsi="Aptos" w:eastAsia="Aptos"/>
                <w:sz w:val="16"/>
              </w:rPr>
            </w:r>
          </w:p>
        </w:tc>
      </w:tr>
    </w:tbl>
    <w:p>
      <w:pPr>
        <w:spacing w:after="40"/>
      </w:pPr>
    </w:p>
    <w:p>
      <w:pPr>
        <w:pStyle w:val="Heading2"/>
      </w:pPr>
      <w:r>
        <w:t>11.1 Defect Record Template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440"/>
            <w:shd w:fill="DDEBF7"/>
            <w:vAlign w:val="center"/>
            <w:tcMar>
              <w:top w:w="90" w:type="dxa"/>
              <w:start w:w="100" w:type="dxa"/>
              <w:bottom w:w="90" w:type="dxa"/>
              <w:end w:w="100" w:type="dxa"/>
            </w:tcMar>
          </w:tcPr>
          <w:p>
            <w:pPr>
              <w:spacing w:after="0"/>
              <w:jc w:val="center"/>
            </w:pPr>
            <w:r>
              <w:rPr>
                <w:rFonts w:ascii="Aptos" w:hAnsi="Aptos" w:eastAsia="Aptos"/>
                <w:b/>
                <w:sz w:val="15"/>
              </w:rPr>
              <w:t>Bug ID</w:t>
            </w:r>
          </w:p>
        </w:tc>
        <w:tc>
          <w:tcPr>
            <w:tcW w:type="dxa" w:w="1656"/>
            <w:shd w:fill="DDEBF7"/>
            <w:vAlign w:val="center"/>
            <w:tcMar>
              <w:top w:w="90" w:type="dxa"/>
              <w:start w:w="100" w:type="dxa"/>
              <w:bottom w:w="90" w:type="dxa"/>
              <w:end w:w="100" w:type="dxa"/>
            </w:tcMar>
          </w:tcPr>
          <w:p>
            <w:pPr>
              <w:spacing w:after="0"/>
              <w:jc w:val="center"/>
            </w:pPr>
            <w:r>
              <w:rPr>
                <w:rFonts w:ascii="Aptos" w:hAnsi="Aptos" w:eastAsia="Aptos"/>
                <w:b/>
                <w:sz w:val="15"/>
              </w:rPr>
              <w:t>Related Case</w:t>
            </w:r>
          </w:p>
        </w:tc>
        <w:tc>
          <w:tcPr>
            <w:tcW w:type="dxa" w:w="2592"/>
            <w:shd w:fill="DDEBF7"/>
            <w:vAlign w:val="center"/>
            <w:tcMar>
              <w:top w:w="90" w:type="dxa"/>
              <w:start w:w="100" w:type="dxa"/>
              <w:bottom w:w="90" w:type="dxa"/>
              <w:end w:w="100" w:type="dxa"/>
            </w:tcMar>
          </w:tcPr>
          <w:p>
            <w:pPr>
              <w:spacing w:after="0"/>
              <w:jc w:val="center"/>
            </w:pPr>
            <w:r>
              <w:rPr>
                <w:rFonts w:ascii="Aptos" w:hAnsi="Aptos" w:eastAsia="Aptos"/>
                <w:b/>
                <w:sz w:val="15"/>
              </w:rPr>
              <w:t>Actual Result</w:t>
            </w:r>
          </w:p>
        </w:tc>
        <w:tc>
          <w:tcPr>
            <w:tcW w:type="dxa" w:w="2592"/>
            <w:shd w:fill="DDEBF7"/>
            <w:vAlign w:val="center"/>
            <w:tcMar>
              <w:top w:w="90" w:type="dxa"/>
              <w:start w:w="100" w:type="dxa"/>
              <w:bottom w:w="90" w:type="dxa"/>
              <w:end w:w="100" w:type="dxa"/>
            </w:tcMar>
          </w:tcPr>
          <w:p>
            <w:pPr>
              <w:spacing w:after="0"/>
              <w:jc w:val="center"/>
            </w:pPr>
            <w:r>
              <w:rPr>
                <w:rFonts w:ascii="Aptos" w:hAnsi="Aptos" w:eastAsia="Aptos"/>
                <w:b/>
                <w:sz w:val="15"/>
              </w:rPr>
              <w:t>Expected Result</w:t>
            </w:r>
          </w:p>
        </w:tc>
        <w:tc>
          <w:tcPr>
            <w:tcW w:type="dxa" w:w="1296"/>
            <w:shd w:fill="DDEBF7"/>
            <w:vAlign w:val="center"/>
            <w:tcMar>
              <w:top w:w="90" w:type="dxa"/>
              <w:start w:w="100" w:type="dxa"/>
              <w:bottom w:w="90" w:type="dxa"/>
              <w:end w:w="100" w:type="dxa"/>
            </w:tcMar>
          </w:tcPr>
          <w:p>
            <w:pPr>
              <w:spacing w:after="0"/>
              <w:jc w:val="center"/>
            </w:pPr>
            <w:r>
              <w:rPr>
                <w:rFonts w:ascii="Aptos" w:hAnsi="Aptos" w:eastAsia="Aptos"/>
                <w:b/>
                <w:sz w:val="15"/>
              </w:rPr>
              <w:t>Severity</w:t>
            </w:r>
          </w:p>
        </w:tc>
        <w:tc>
          <w:tcPr>
            <w:tcW w:type="dxa" w:w="1296"/>
            <w:shd w:fill="DDEBF7"/>
            <w:vAlign w:val="center"/>
            <w:tcMar>
              <w:top w:w="90" w:type="dxa"/>
              <w:start w:w="100" w:type="dxa"/>
              <w:bottom w:w="90" w:type="dxa"/>
              <w:end w:w="100" w:type="dxa"/>
            </w:tcMar>
          </w:tcPr>
          <w:p>
            <w:pPr>
              <w:spacing w:after="0"/>
              <w:jc w:val="center"/>
            </w:pPr>
            <w:r>
              <w:rPr>
                <w:rFonts w:ascii="Aptos" w:hAnsi="Aptos" w:eastAsia="Aptos"/>
                <w:b/>
                <w:sz w:val="15"/>
              </w:rPr>
              <w:t>Status</w:t>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BUG-001</w:t>
            </w:r>
          </w:p>
        </w:tc>
        <w:tc>
          <w:tcPr>
            <w:tcW w:type="dxa" w:w="1656"/>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2592"/>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2592"/>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1296"/>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1296"/>
            <w:vAlign w:val="center"/>
            <w:tcMar>
              <w:top w:w="90" w:type="dxa"/>
              <w:start w:w="100" w:type="dxa"/>
              <w:bottom w:w="90" w:type="dxa"/>
              <w:end w:w="100" w:type="dxa"/>
            </w:tcMar>
          </w:tcPr>
          <w:p>
            <w:pPr>
              <w:spacing w:after="0" w:before="0" w:line="240" w:lineRule="auto"/>
            </w:pPr>
            <w:r>
              <w:rPr>
                <w:rFonts w:ascii="Aptos" w:hAnsi="Aptos" w:eastAsia="Aptos"/>
                <w:sz w:val="15"/>
              </w:rPr>
            </w:r>
          </w:p>
        </w:tc>
      </w:tr>
      <w:tr>
        <w:tc>
          <w:tcPr>
            <w:tcW w:type="dxa" w:w="1440"/>
            <w:vAlign w:val="center"/>
            <w:tcMar>
              <w:top w:w="90" w:type="dxa"/>
              <w:start w:w="100" w:type="dxa"/>
              <w:bottom w:w="90" w:type="dxa"/>
              <w:end w:w="100" w:type="dxa"/>
            </w:tcMar>
          </w:tcPr>
          <w:p>
            <w:pPr>
              <w:spacing w:after="0" w:before="0" w:line="240" w:lineRule="auto"/>
            </w:pPr>
            <w:r>
              <w:rPr>
                <w:rFonts w:ascii="Aptos" w:hAnsi="Aptos" w:eastAsia="Aptos"/>
                <w:sz w:val="15"/>
              </w:rPr>
              <w:t>BUG-002</w:t>
            </w:r>
          </w:p>
        </w:tc>
        <w:tc>
          <w:tcPr>
            <w:tcW w:type="dxa" w:w="1656"/>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2592"/>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2592"/>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1296"/>
            <w:vAlign w:val="center"/>
            <w:tcMar>
              <w:top w:w="90" w:type="dxa"/>
              <w:start w:w="100" w:type="dxa"/>
              <w:bottom w:w="90" w:type="dxa"/>
              <w:end w:w="100" w:type="dxa"/>
            </w:tcMar>
          </w:tcPr>
          <w:p>
            <w:pPr>
              <w:spacing w:after="0" w:before="0" w:line="240" w:lineRule="auto"/>
            </w:pPr>
            <w:r>
              <w:rPr>
                <w:rFonts w:ascii="Aptos" w:hAnsi="Aptos" w:eastAsia="Aptos"/>
                <w:sz w:val="15"/>
              </w:rPr>
            </w:r>
          </w:p>
        </w:tc>
        <w:tc>
          <w:tcPr>
            <w:tcW w:type="dxa" w:w="1296"/>
            <w:vAlign w:val="center"/>
            <w:tcMar>
              <w:top w:w="90" w:type="dxa"/>
              <w:start w:w="100" w:type="dxa"/>
              <w:bottom w:w="90" w:type="dxa"/>
              <w:end w:w="100" w:type="dxa"/>
            </w:tcMar>
          </w:tcPr>
          <w:p>
            <w:pPr>
              <w:spacing w:after="0" w:before="0" w:line="240" w:lineRule="auto"/>
            </w:pPr>
            <w:r>
              <w:rPr>
                <w:rFonts w:ascii="Aptos" w:hAnsi="Aptos" w:eastAsia="Aptos"/>
                <w:sz w:val="15"/>
              </w:rPr>
            </w:r>
          </w:p>
        </w:tc>
      </w:tr>
    </w:tbl>
    <w:p>
      <w:pPr>
        <w:spacing w:after="40"/>
      </w:pPr>
    </w:p>
    <w:p>
      <w:pPr>
        <w:pStyle w:val="Heading1"/>
      </w:pPr>
      <w:r>
        <w:t>12. Iteration 1 Backend Pass Criteria</w:t>
      </w:r>
    </w:p>
    <w:p>
      <w:pPr>
        <w:pStyle w:val="ListBullet"/>
        <w:spacing w:after="40"/>
      </w:pPr>
      <w:r>
        <w:rPr>
          <w:rFonts w:ascii="Aptos" w:hAnsi="Aptos" w:eastAsia="Aptos"/>
          <w:sz w:val="18"/>
        </w:rPr>
        <w:t>All P0 Apifox test cases pass.</w:t>
      </w:r>
    </w:p>
    <w:p>
      <w:pPr>
        <w:pStyle w:val="ListBullet"/>
        <w:spacing w:after="40"/>
      </w:pPr>
      <w:r>
        <w:rPr>
          <w:rFonts w:ascii="Aptos" w:hAnsi="Aptos" w:eastAsia="Aptos"/>
          <w:sz w:val="18"/>
        </w:rPr>
        <w:t>The two core APIs behave consistently with the interface document for 200 / 400 / 404 responses.</w:t>
      </w:r>
    </w:p>
    <w:p>
      <w:pPr>
        <w:pStyle w:val="ListBullet"/>
        <w:spacing w:after="40"/>
      </w:pPr>
      <w:r>
        <w:rPr>
          <w:rFonts w:ascii="Aptos" w:hAnsi="Aptos" w:eastAsia="Aptos"/>
          <w:sz w:val="18"/>
        </w:rPr>
        <w:t>Search supports scientific name, common name, multiple matches, and no-match responses.</w:t>
      </w:r>
    </w:p>
    <w:p>
      <w:pPr>
        <w:pStyle w:val="ListBullet"/>
        <w:spacing w:after="40"/>
      </w:pPr>
      <w:r>
        <w:rPr>
          <w:rFonts w:ascii="Aptos" w:hAnsi="Aptos" w:eastAsia="Aptos"/>
          <w:sz w:val="18"/>
        </w:rPr>
        <w:t>Assessment correctly returns Identity, Establishment, Occurrence, Risk, Recommendation, Sources, and Warnings.</w:t>
      </w:r>
    </w:p>
    <w:p>
      <w:pPr>
        <w:pStyle w:val="ListBullet"/>
        <w:spacing w:after="40"/>
      </w:pPr>
      <w:r>
        <w:rPr>
          <w:rFonts w:ascii="Aptos" w:hAnsi="Aptos" w:eastAsia="Aptos"/>
          <w:sz w:val="18"/>
        </w:rPr>
        <w:t>Very High / High → Reconsider Planting; Moderately High / Medium → Use Caution; Lower → Lower Concern; risk NULL → Not Assessed.</w:t>
      </w:r>
    </w:p>
    <w:p>
      <w:pPr>
        <w:pStyle w:val="ListBullet"/>
        <w:spacing w:after="40"/>
      </w:pPr>
      <w:r>
        <w:rPr>
          <w:rFonts w:ascii="Aptos" w:hAnsi="Aptos" w:eastAsia="Aptos"/>
          <w:sz w:val="18"/>
        </w:rPr>
        <w:t>VBA recordCount is used only as local occurrence evidence and must not change the risk category or verdict severity.</w:t>
      </w:r>
    </w:p>
    <w:p>
      <w:pPr>
        <w:pStyle w:val="ListBullet"/>
        <w:spacing w:after="40"/>
      </w:pPr>
      <w:r>
        <w:rPr>
          <w:rFonts w:ascii="Aptos" w:hAnsi="Aptos" w:eastAsia="Aptos"/>
          <w:sz w:val="18"/>
        </w:rPr>
        <w:t>NOT_FOUND must not be described as “the plant does not occur in Monash”; Not Assessed must not be presented as Low Risk / Safe.</w:t>
      </w:r>
    </w:p>
    <w:p>
      <w:pPr>
        <w:pStyle w:val="ListBullet"/>
        <w:spacing w:after="40"/>
      </w:pPr>
      <w:r>
        <w:rPr>
          <w:rFonts w:ascii="Aptos" w:hAnsi="Aptos" w:eastAsia="Aptos"/>
          <w:sz w:val="18"/>
        </w:rPr>
        <w:t>Error responses do not leak SQL, stack traces, or Java exception class names.</w:t>
      </w:r>
    </w:p>
    <w:p>
      <w:pPr>
        <w:pStyle w:val="ListBullet"/>
        <w:spacing w:after="40"/>
      </w:pPr>
      <w:r>
        <w:rPr>
          <w:rFonts w:ascii="Aptos" w:hAnsi="Aptos" w:eastAsia="Aptos"/>
          <w:sz w:val="18"/>
        </w:rPr>
        <w:t>The Apifox regression scenario finishes with no unexplained P0/P1 failures.</w:t>
      </w:r>
    </w:p>
    <w:p>
      <w:pPr>
        <w:pStyle w:val="Heading1"/>
      </w:pPr>
      <w:r>
        <w:t>13. Minimum Apifox Regression Checklist After Development</w:t>
      </w:r>
    </w:p>
    <w:p>
      <w:pPr>
        <w:spacing w:after="60"/>
      </w:pPr>
      <w:r>
        <w:rPr>
          <w:rFonts w:ascii="Aptos" w:hAnsi="Aptos" w:eastAsia="Aptos"/>
          <w:b/>
          <w:color w:val="1F4E79"/>
          <w:sz w:val="20"/>
        </w:rPr>
        <w:t xml:space="preserve">☐ </w:t>
      </w:r>
      <w:r>
        <w:rPr>
          <w:rFonts w:ascii="Aptos" w:hAnsi="Aptos" w:eastAsia="Aptos"/>
          <w:sz w:val="18"/>
        </w:rPr>
        <w:t>GET search: Acacia baileyana → plantId=3.</w:t>
      </w:r>
    </w:p>
    <w:p>
      <w:pPr>
        <w:spacing w:after="60"/>
      </w:pPr>
      <w:r>
        <w:rPr>
          <w:rFonts w:ascii="Aptos" w:hAnsi="Aptos" w:eastAsia="Aptos"/>
          <w:b/>
          <w:color w:val="1F4E79"/>
          <w:sz w:val="20"/>
        </w:rPr>
        <w:t xml:space="preserve">☐ </w:t>
      </w:r>
      <w:r>
        <w:rPr>
          <w:rFonts w:ascii="Aptos" w:hAnsi="Aptos" w:eastAsia="Aptos"/>
          <w:sz w:val="18"/>
        </w:rPr>
        <w:t>GET search: Cootamundra Wattle → Acacia baileyana.</w:t>
      </w:r>
    </w:p>
    <w:p>
      <w:pPr>
        <w:spacing w:after="60"/>
      </w:pPr>
      <w:r>
        <w:rPr>
          <w:rFonts w:ascii="Aptos" w:hAnsi="Aptos" w:eastAsia="Aptos"/>
          <w:b/>
          <w:color w:val="1F4E79"/>
          <w:sz w:val="20"/>
        </w:rPr>
        <w:t xml:space="preserve">☐ </w:t>
      </w:r>
      <w:r>
        <w:rPr>
          <w:rFonts w:ascii="Aptos" w:hAnsi="Aptos" w:eastAsia="Aptos"/>
          <w:sz w:val="18"/>
        </w:rPr>
        <w:t>GET search: wattle → multiple distinct species.</w:t>
      </w:r>
    </w:p>
    <w:p>
      <w:pPr>
        <w:spacing w:after="60"/>
      </w:pPr>
      <w:r>
        <w:rPr>
          <w:rFonts w:ascii="Aptos" w:hAnsi="Aptos" w:eastAsia="Aptos"/>
          <w:b/>
          <w:color w:val="1F4E79"/>
          <w:sz w:val="20"/>
        </w:rPr>
        <w:t xml:space="preserve">☐ </w:t>
      </w:r>
      <w:r>
        <w:rPr>
          <w:rFonts w:ascii="Aptos" w:hAnsi="Aptos" w:eastAsia="Aptos"/>
          <w:sz w:val="18"/>
        </w:rPr>
        <w:t>GET search: zzzzz → 200 + results=[].</w:t>
      </w:r>
    </w:p>
    <w:p>
      <w:pPr>
        <w:spacing w:after="60"/>
      </w:pPr>
      <w:r>
        <w:rPr>
          <w:rFonts w:ascii="Aptos" w:hAnsi="Aptos" w:eastAsia="Aptos"/>
          <w:b/>
          <w:color w:val="1F4E79"/>
          <w:sz w:val="20"/>
        </w:rPr>
        <w:t xml:space="preserve">☐ </w:t>
      </w:r>
      <w:r>
        <w:rPr>
          <w:rFonts w:ascii="Aptos" w:hAnsi="Aptos" w:eastAsia="Aptos"/>
          <w:sz w:val="18"/>
        </w:rPr>
        <w:t>GET assessment/3 → FOUND + Moderately High + Use Caution.</w:t>
      </w:r>
    </w:p>
    <w:p>
      <w:pPr>
        <w:spacing w:after="60"/>
      </w:pPr>
      <w:r>
        <w:rPr>
          <w:rFonts w:ascii="Aptos" w:hAnsi="Aptos" w:eastAsia="Aptos"/>
          <w:b/>
          <w:color w:val="1F4E79"/>
          <w:sz w:val="20"/>
        </w:rPr>
        <w:t xml:space="preserve">☐ </w:t>
      </w:r>
      <w:r>
        <w:rPr>
          <w:rFonts w:ascii="Aptos" w:hAnsi="Aptos" w:eastAsia="Aptos"/>
          <w:sz w:val="18"/>
        </w:rPr>
        <w:t>GET assessment/1 → NOT_FOUND + NOT_ASSESSED + Not Assessed.</w:t>
      </w:r>
    </w:p>
    <w:p>
      <w:pPr>
        <w:spacing w:after="60"/>
      </w:pPr>
      <w:r>
        <w:rPr>
          <w:rFonts w:ascii="Aptos" w:hAnsi="Aptos" w:eastAsia="Aptos"/>
          <w:b/>
          <w:color w:val="1F4E79"/>
          <w:sz w:val="20"/>
        </w:rPr>
        <w:t xml:space="preserve">☐ </w:t>
      </w:r>
      <w:r>
        <w:rPr>
          <w:rFonts w:ascii="Aptos" w:hAnsi="Aptos" w:eastAsia="Aptos"/>
          <w:sz w:val="18"/>
        </w:rPr>
        <w:t>GET assessment/8 → High + Reconsider Planting.</w:t>
      </w:r>
    </w:p>
    <w:p>
      <w:pPr>
        <w:spacing w:after="60"/>
      </w:pPr>
      <w:r>
        <w:rPr>
          <w:rFonts w:ascii="Aptos" w:hAnsi="Aptos" w:eastAsia="Aptos"/>
          <w:b/>
          <w:color w:val="1F4E79"/>
          <w:sz w:val="20"/>
        </w:rPr>
        <w:t xml:space="preserve">☐ </w:t>
      </w:r>
      <w:r>
        <w:rPr>
          <w:rFonts w:ascii="Aptos" w:hAnsi="Aptos" w:eastAsia="Aptos"/>
          <w:sz w:val="18"/>
        </w:rPr>
        <w:t>GET assessment/6 and /7 → both Use Caution, proving VBA count does not change the verdict.</w:t>
      </w:r>
    </w:p>
    <w:p>
      <w:pPr>
        <w:spacing w:after="60"/>
      </w:pPr>
      <w:r>
        <w:rPr>
          <w:rFonts w:ascii="Aptos" w:hAnsi="Aptos" w:eastAsia="Aptos"/>
          <w:b/>
          <w:color w:val="1F4E79"/>
          <w:sz w:val="20"/>
        </w:rPr>
        <w:t xml:space="preserve">☐ </w:t>
      </w:r>
      <w:r>
        <w:rPr>
          <w:rFonts w:ascii="Aptos" w:hAnsi="Aptos" w:eastAsia="Aptos"/>
          <w:sz w:val="18"/>
        </w:rPr>
        <w:t>GET assessment/999999 → 404 PLANT_NOT_FOUND.</w:t>
      </w:r>
    </w:p>
    <w:p>
      <w:pPr>
        <w:spacing w:after="60"/>
      </w:pPr>
      <w:r>
        <w:rPr>
          <w:rFonts w:ascii="Aptos" w:hAnsi="Aptos" w:eastAsia="Aptos"/>
          <w:b/>
          <w:color w:val="1F4E79"/>
          <w:sz w:val="20"/>
        </w:rPr>
        <w:t xml:space="preserve">☐ </w:t>
      </w:r>
      <w:r>
        <w:rPr>
          <w:rFonts w:ascii="Aptos" w:hAnsi="Aptos" w:eastAsia="Aptos"/>
          <w:sz w:val="18"/>
        </w:rPr>
        <w:t>All successful responses pass Apifox contract / schema validation.</w:t>
      </w:r>
    </w:p>
    <w:p>
      <w:pPr>
        <w:spacing w:after="60"/>
      </w:pPr>
      <w:r>
        <w:rPr>
          <w:rFonts w:ascii="Aptos" w:hAnsi="Aptos" w:eastAsia="Aptos"/>
          <w:b/>
          <w:color w:val="1F4E79"/>
          <w:sz w:val="20"/>
        </w:rPr>
        <w:t xml:space="preserve">☐ </w:t>
      </w:r>
      <w:r>
        <w:rPr>
          <w:rFonts w:ascii="Aptos" w:hAnsi="Aptos" w:eastAsia="Aptos"/>
          <w:sz w:val="18"/>
        </w:rPr>
        <w:t>All error responses avoid leaking backend implementation details.</w:t>
      </w:r>
    </w:p>
    <w:p>
      <w:pPr>
        <w:pStyle w:val="Heading1"/>
      </w:pPr>
      <w:r>
        <w:t>14. References and Notes</w:t>
      </w:r>
    </w:p>
    <w:p>
      <w:r>
        <w:t>This test design is based on the current Iteration 1 technical specification, API interface document, and revised SQL used within the project. The Apifox-specific sections use its assertion, scripting, and contract-validation workflow as the test execution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752"/>
            <w:shd w:fill="DDEBF7"/>
            <w:vAlign w:val="center"/>
            <w:tcMar>
              <w:top w:w="90" w:type="dxa"/>
              <w:start w:w="100" w:type="dxa"/>
              <w:bottom w:w="90" w:type="dxa"/>
              <w:end w:w="100" w:type="dxa"/>
            </w:tcMar>
          </w:tcPr>
          <w:p>
            <w:pPr>
              <w:spacing w:after="0"/>
              <w:jc w:val="center"/>
            </w:pPr>
            <w:r>
              <w:rPr>
                <w:rFonts w:ascii="Aptos" w:hAnsi="Aptos" w:eastAsia="Aptos"/>
                <w:b/>
                <w:sz w:val="15"/>
              </w:rPr>
              <w:t>Reference</w:t>
            </w:r>
          </w:p>
        </w:tc>
        <w:tc>
          <w:tcPr>
            <w:tcW w:type="dxa" w:w="5616"/>
            <w:shd w:fill="DDEBF7"/>
            <w:vAlign w:val="center"/>
            <w:tcMar>
              <w:top w:w="90" w:type="dxa"/>
              <w:start w:w="100" w:type="dxa"/>
              <w:bottom w:w="90" w:type="dxa"/>
              <w:end w:w="100" w:type="dxa"/>
            </w:tcMar>
          </w:tcPr>
          <w:p>
            <w:pPr>
              <w:spacing w:after="0"/>
              <w:jc w:val="center"/>
            </w:pPr>
            <w:r>
              <w:rPr>
                <w:rFonts w:ascii="Aptos" w:hAnsi="Aptos" w:eastAsia="Aptos"/>
                <w:b/>
                <w:sz w:val="15"/>
              </w:rPr>
              <w:t>Use</w:t>
            </w:r>
          </w:p>
        </w:tc>
      </w:tr>
      <w:tr>
        <w:tc>
          <w:tcPr>
            <w:tcW w:type="dxa" w:w="4752"/>
            <w:vAlign w:val="center"/>
            <w:tcMar>
              <w:top w:w="90" w:type="dxa"/>
              <w:start w:w="100" w:type="dxa"/>
              <w:bottom w:w="90" w:type="dxa"/>
              <w:end w:w="100" w:type="dxa"/>
            </w:tcMar>
          </w:tcPr>
          <w:p>
            <w:pPr>
              <w:spacing w:after="0" w:before="0" w:line="240" w:lineRule="auto"/>
            </w:pPr>
            <w:r>
              <w:rPr>
                <w:rFonts w:ascii="Aptos" w:hAnsi="Aptos" w:eastAsia="Aptos"/>
                <w:sz w:val="15"/>
              </w:rPr>
              <w:t>Iteration1_Frontend_API_Technical_Spec_Revised_US_AC_CN_v2.md</w:t>
            </w:r>
          </w:p>
        </w:tc>
        <w:tc>
          <w:tcPr>
            <w:tcW w:type="dxa" w:w="5616"/>
            <w:vAlign w:val="center"/>
            <w:tcMar>
              <w:top w:w="90" w:type="dxa"/>
              <w:start w:w="100" w:type="dxa"/>
              <w:bottom w:w="90" w:type="dxa"/>
              <w:end w:w="100" w:type="dxa"/>
            </w:tcMar>
          </w:tcPr>
          <w:p>
            <w:pPr>
              <w:spacing w:after="0" w:before="0" w:line="240" w:lineRule="auto"/>
            </w:pPr>
            <w:r>
              <w:rPr>
                <w:rFonts w:ascii="Aptos" w:hAnsi="Aptos" w:eastAsia="Aptos"/>
                <w:sz w:val="15"/>
              </w:rPr>
              <w:t>User Stories / Acceptance Criteria and Iteration 1 business boundaries</w:t>
            </w:r>
          </w:p>
        </w:tc>
      </w:tr>
      <w:tr>
        <w:tc>
          <w:tcPr>
            <w:tcW w:type="dxa" w:w="4752"/>
            <w:vAlign w:val="center"/>
            <w:tcMar>
              <w:top w:w="90" w:type="dxa"/>
              <w:start w:w="100" w:type="dxa"/>
              <w:bottom w:w="90" w:type="dxa"/>
              <w:end w:w="100" w:type="dxa"/>
            </w:tcMar>
          </w:tcPr>
          <w:p>
            <w:pPr>
              <w:spacing w:after="0" w:before="0" w:line="240" w:lineRule="auto"/>
            </w:pPr>
            <w:r>
              <w:rPr>
                <w:rFonts w:ascii="Aptos" w:hAnsi="Aptos" w:eastAsia="Aptos"/>
                <w:sz w:val="15"/>
              </w:rPr>
              <w:t>Plantky_Iteration1_API_Interface_Document_EN.docx</w:t>
            </w:r>
          </w:p>
        </w:tc>
        <w:tc>
          <w:tcPr>
            <w:tcW w:type="dxa" w:w="5616"/>
            <w:vAlign w:val="center"/>
            <w:tcMar>
              <w:top w:w="90" w:type="dxa"/>
              <w:start w:w="100" w:type="dxa"/>
              <w:bottom w:w="90" w:type="dxa"/>
              <w:end w:w="100" w:type="dxa"/>
            </w:tcMar>
          </w:tcPr>
          <w:p>
            <w:pPr>
              <w:spacing w:after="0" w:before="0" w:line="240" w:lineRule="auto"/>
            </w:pPr>
            <w:r>
              <w:rPr>
                <w:rFonts w:ascii="Aptos" w:hAnsi="Aptos" w:eastAsia="Aptos"/>
                <w:sz w:val="15"/>
              </w:rPr>
              <w:t>API paths, fields, status codes, error format, and Recommendation contract</w:t>
            </w:r>
          </w:p>
        </w:tc>
      </w:tr>
      <w:tr>
        <w:tc>
          <w:tcPr>
            <w:tcW w:type="dxa" w:w="4752"/>
            <w:vAlign w:val="center"/>
            <w:tcMar>
              <w:top w:w="90" w:type="dxa"/>
              <w:start w:w="100" w:type="dxa"/>
              <w:bottom w:w="90" w:type="dxa"/>
              <w:end w:w="100" w:type="dxa"/>
            </w:tcMar>
          </w:tcPr>
          <w:p>
            <w:pPr>
              <w:spacing w:after="0" w:before="0" w:line="240" w:lineRule="auto"/>
            </w:pPr>
            <w:r>
              <w:rPr>
                <w:rFonts w:ascii="Aptos" w:hAnsi="Aptos" w:eastAsia="Aptos"/>
                <w:sz w:val="15"/>
              </w:rPr>
              <w:t>species_data_revised.sql</w:t>
            </w:r>
          </w:p>
        </w:tc>
        <w:tc>
          <w:tcPr>
            <w:tcW w:type="dxa" w:w="5616"/>
            <w:vAlign w:val="center"/>
            <w:tcMar>
              <w:top w:w="90" w:type="dxa"/>
              <w:start w:w="100" w:type="dxa"/>
              <w:bottom w:w="90" w:type="dxa"/>
              <w:end w:w="100" w:type="dxa"/>
            </w:tcMar>
          </w:tcPr>
          <w:p>
            <w:pPr>
              <w:spacing w:after="0" w:before="0" w:line="240" w:lineRule="auto"/>
            </w:pPr>
            <w:r>
              <w:rPr>
                <w:rFonts w:ascii="Aptos" w:hAnsi="Aptos" w:eastAsia="Aptos"/>
                <w:sz w:val="15"/>
              </w:rPr>
              <w:t>Stable backend test-data baseline</w:t>
            </w:r>
          </w:p>
        </w:tc>
      </w:tr>
      <w:tr>
        <w:tc>
          <w:tcPr>
            <w:tcW w:type="dxa" w:w="4752"/>
            <w:vAlign w:val="center"/>
            <w:tcMar>
              <w:top w:w="90" w:type="dxa"/>
              <w:start w:w="100" w:type="dxa"/>
              <w:bottom w:w="90" w:type="dxa"/>
              <w:end w:w="100" w:type="dxa"/>
            </w:tcMar>
          </w:tcPr>
          <w:p>
            <w:pPr>
              <w:spacing w:after="0" w:before="0" w:line="240" w:lineRule="auto"/>
            </w:pPr>
            <w:r>
              <w:rPr>
                <w:rFonts w:ascii="Aptos" w:hAnsi="Aptos" w:eastAsia="Aptos"/>
                <w:sz w:val="15"/>
              </w:rPr>
              <w:t>Apifox assertions / scripts / contract validation</w:t>
            </w:r>
          </w:p>
        </w:tc>
        <w:tc>
          <w:tcPr>
            <w:tcW w:type="dxa" w:w="5616"/>
            <w:vAlign w:val="center"/>
            <w:tcMar>
              <w:top w:w="90" w:type="dxa"/>
              <w:start w:w="100" w:type="dxa"/>
              <w:bottom w:w="90" w:type="dxa"/>
              <w:end w:w="100" w:type="dxa"/>
            </w:tcMar>
          </w:tcPr>
          <w:p>
            <w:pPr>
              <w:spacing w:after="0" w:before="0" w:line="240" w:lineRule="auto"/>
            </w:pPr>
            <w:r>
              <w:rPr>
                <w:rFonts w:ascii="Aptos" w:hAnsi="Aptos" w:eastAsia="Aptos"/>
                <w:sz w:val="15"/>
              </w:rPr>
              <w:t>Execution model for visual assertions, pm.test scripts, and schema/status-code validation</w:t>
            </w:r>
          </w:p>
        </w:tc>
      </w:tr>
    </w:tbl>
    <w:p>
      <w:pPr>
        <w:spacing w:after="40"/>
      </w:pPr>
    </w:p>
    <w:p>
      <w:pPr>
        <w:spacing w:before="320"/>
        <w:jc w:val="center"/>
      </w:pPr>
      <w:r>
        <w:rPr>
          <w:rFonts w:ascii="Aptos" w:hAnsi="Aptos" w:eastAsia="Aptos"/>
          <w:color w:val="787878"/>
          <w:sz w:val="17"/>
        </w:rPr>
        <w:t>End of Document · Plantky Iteration 1 Apifox Backend Testing v1.0</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87878"/>
        <w:sz w:val="16"/>
      </w:rPr>
      <w:t>Plantky Iteration 1 · Backend API Testing with Apifox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474"/>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eastAsia="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230" w:right="115"/>
      <w:shd w:fill="F2F2F2"/>
    </w:pPr>
    <w:rPr>
      <w:rFonts w:ascii="DejaVu Sans Mono" w:hAnsi="DejaVu Sans Mono" w:eastAsia="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