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385C54">
        <w:t>21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7A62AC">
        <w:t>Track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>the track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385C54" w:rsidP="00385C54">
      <w:pPr>
        <w:pStyle w:val="ListParagraph"/>
        <w:numPr>
          <w:ilvl w:val="1"/>
          <w:numId w:val="2"/>
        </w:numPr>
      </w:pPr>
      <w:r>
        <w:t>Major track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Groups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The flowchart components will be positioned in the same view that it was last saved in. 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Clicking on the group will display the flowchart for that particular group. See </w:t>
      </w:r>
      <w:r>
        <w:t>UCMSv2- XXXX.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7A62AC">
        <w:t>If no flowchart exists in the database a default flowchart will be built. See UCMSv2- XXXX.</w:t>
      </w:r>
      <w:r>
        <w:rPr>
          <w:b/>
        </w:rPr>
        <w:t xml:space="preserve"> </w:t>
      </w:r>
    </w:p>
    <w:p w:rsidR="00E73982" w:rsidRPr="007A62AC" w:rsidRDefault="00E73982" w:rsidP="00E73982">
      <w:r>
        <w:rPr>
          <w:b/>
        </w:rPr>
        <w:t xml:space="preserve">Related Use Cases: </w:t>
      </w:r>
      <w:r w:rsidR="007A62AC">
        <w:t>UCMSv2- XXXX,</w:t>
      </w:r>
      <w:r w:rsidR="007A62AC" w:rsidRPr="007A62AC">
        <w:t xml:space="preserve"> </w:t>
      </w:r>
      <w:r w:rsidR="007A62AC">
        <w:t>UCMSv2- XXXX.</w:t>
      </w:r>
      <w:bookmarkStart w:id="0" w:name="_GoBack"/>
      <w:bookmarkEnd w:id="0"/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2</cp:revision>
  <dcterms:created xsi:type="dcterms:W3CDTF">2014-12-04T22:52:00Z</dcterms:created>
  <dcterms:modified xsi:type="dcterms:W3CDTF">2014-12-04T22:52:00Z</dcterms:modified>
</cp:coreProperties>
</file>