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Profile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Register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register a profile so that I can add fellowships to my account.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user can create a profile.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user is given an error if the profile username already exists.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user can login to the created profile.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Register Profile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Regular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The user has clicked the “Create Profile” link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 If the regular user types in a username that is already taken and submits the form, then no profile is created. The regular user is prompted to enter a username that is not taken. The user types in a username that is not taken and submits the form. A profile is created. The user can login to his/her newly created profile.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889500"/>
            <wp:effectExtent b="0" l="0" r="0" t="0"/>
            <wp:docPr descr="UseCaseDiagram For Fellowship Management.jpg" id="3" name="image6.jpg"/>
            <a:graphic>
              <a:graphicData uri="http://schemas.openxmlformats.org/drawingml/2006/picture">
                <pic:pic>
                  <pic:nvPicPr>
                    <pic:cNvPr descr="UseCaseDiagram For Fellowship Management.jpg"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44800"/>
            <wp:effectExtent b="0" l="0" r="0" t="0"/>
            <wp:docPr descr="User Story - 132.jpg" id="1" name="image2.jpg"/>
            <a:graphic>
              <a:graphicData uri="http://schemas.openxmlformats.org/drawingml/2006/picture">
                <pic:pic>
                  <pic:nvPicPr>
                    <pic:cNvPr descr="User Story - 132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14575" cy="2505075"/>
            <wp:effectExtent b="0" l="0" r="0" t="0"/>
            <wp:docPr descr="Class Diagram - 132.jpg" id="2" name="image5.jpg"/>
            <a:graphic>
              <a:graphicData uri="http://schemas.openxmlformats.org/drawingml/2006/picture">
                <pic:pic>
                  <pic:nvPicPr>
                    <pic:cNvPr descr="Class Diagram - 132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46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61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90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044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jpg"/><Relationship Id="rId6" Type="http://schemas.openxmlformats.org/officeDocument/2006/relationships/image" Target="media/image2.jpg"/><Relationship Id="rId7" Type="http://schemas.openxmlformats.org/officeDocument/2006/relationships/image" Target="media/image5.jpg"/></Relationships>
</file>