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879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Espinales, 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 Garcia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Research how to use Squarespace to build the web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developer, I need to research Squarespace to know if it is suitable for our 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80" w:line="320.7272727272727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879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Research Squarespace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