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#560</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mallCaps w:val="1"/>
          <w:sz w:val="32"/>
          <w:szCs w:val="32"/>
          <w:rtl w:val="0"/>
        </w:rPr>
        <w:t xml:space="preserve">User Story – Change Shapes with Eyes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the eyeX device to be able to read where I am looking so I can access certain functionality based on where I am looking.</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rtl w:val="0"/>
        </w:rPr>
        <w:t xml:space="preserve">Use Case – Change Shape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Be able to read which section of the screen the user is looking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4 distinct sections.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EyeX Running.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implemented.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  ‘ space, Temporary until design philosophy is completed). This will alter the touch screen to draw rectangles, lines, circles, or triangles based on where the user is looking.The user story ends when the user successfully draws a new shape and lets go.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will be drawn on the touchscreen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Can be filled circles if filled mode is on.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Shapes depend on where the user is looking when he presses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Very High. This could be very core in our ‘ui’ changing based on where we look.</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The eyeX is a part of the smart desk. We need to learn to use this device.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The team member must use a brand new device properly.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Know proper keybinding.</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Get used to tobii EyeX eye tracking functionality (not 100% correct).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Fairly.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Not often. In the case where you are looking near multiple zones, you may get the wrong zone.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swap shapes when we hit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02/14/2016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t xml:space="preserve">Use Case Diagram</w:t>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drawing>
          <wp:inline distB="0" distT="0" distL="0" distR="0">
            <wp:extent cx="5038725" cy="2981325"/>
            <wp:effectExtent b="0" l="0" r="0" t="0"/>
            <wp:docPr descr="C:\Users\IEatR\Pictures\EyeX Shape Change Use Case.png" id="2" name="image03.png"/>
            <a:graphic>
              <a:graphicData uri="http://schemas.openxmlformats.org/drawingml/2006/picture">
                <pic:pic>
                  <pic:nvPicPr>
                    <pic:cNvPr descr="C:\Users\IEatR\Pictures\EyeX Shape Change Use Case.png" id="0" name="image03.png"/>
                    <pic:cNvPicPr preferRelativeResize="0"/>
                  </pic:nvPicPr>
                  <pic:blipFill>
                    <a:blip r:embed="rId5"/>
                    <a:srcRect b="0" l="0" r="0" t="0"/>
                    <a:stretch>
                      <a:fillRect/>
                    </a:stretch>
                  </pic:blipFill>
                  <pic:spPr>
                    <a:xfrm>
                      <a:off x="0" y="0"/>
                      <a:ext cx="5038725" cy="29813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2672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drawing>
          <wp:inline distB="0" distT="0" distL="0" distR="0">
            <wp:extent cx="2286000" cy="2667000"/>
            <wp:effectExtent b="0" l="0" r="0" t="0"/>
            <wp:docPr descr="C:\Users\IEatR\Pictures\EyeX Change Shape Class.png" id="3" name="image05.png"/>
            <a:graphic>
              <a:graphicData uri="http://schemas.openxmlformats.org/drawingml/2006/picture">
                <pic:pic>
                  <pic:nvPicPr>
                    <pic:cNvPr descr="C:\Users\IEatR\Pictures\EyeX Change Shape Class.png" id="0" name="image05.png"/>
                    <pic:cNvPicPr preferRelativeResize="0"/>
                  </pic:nvPicPr>
                  <pic:blipFill>
                    <a:blip r:embed="rId7"/>
                    <a:srcRect b="0" l="0" r="0" t="0"/>
                    <a:stretch>
                      <a:fillRect/>
                    </a:stretch>
                  </pic:blipFill>
                  <pic:spPr>
                    <a:xfrm>
                      <a:off x="0" y="0"/>
                      <a:ext cx="2286000" cy="266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EyeX Shape Change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we can change shapes using the eyex and the spacebar.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Begin the program with the EyeX Plugged in.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top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bottom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bottom left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Move your gaze to the top right</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4 different shapes. A shape change occurred every space press.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You should be able to draw 4 different shapes. Line, circle triangle, and rectangle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Ensure space doesn’t change shape when EyeX isn’t active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Start program without EyeX</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Look at the top right</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Space</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a line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You should not change shape, you should draw a line only.</w:t>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with the new ‘DeviceHandler’ class.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enabling the mode box.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enabling the top left UI buttons.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6in1rg" w:id="12"/>
      <w:bookmarkEnd w:id="12"/>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You can see your gaze by the two little overlapping circles.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Moving the gaze to the four corners of the screen and pressing space (‘ ‘) will change the shape of your drawings! You can see what each corner corresponds to in the image below.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Top left – Lines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Top right – Circles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Bottom left – Rectangle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Bottom Right - Triangle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Glossary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9.png"/></Relationships>
</file>