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#591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 – Design UI for Multitouch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a proper UI Design when using the multitouch so it is intuitive and easy to use.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28"/>
          <w:szCs w:val="28"/>
          <w:rtl w:val="0"/>
        </w:rPr>
        <w:t xml:space="preserve">Use Case – View Devices Status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 able to detect which devices are plugged in at application start up.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Devices must be installed and working on the PC (Leap, EyeX, Multitouch)</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starts up the application. The user then receives visual feedback based on which devices are currently plugged in at the applications startup.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Boxes must be drawn in the ‘Mode Box’ corresponding to each device. Blue for multitouch, Green for Leap Motion, Red for 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useful to check which devices are currently working. It also gives us a quick reference to see if the devices are not currently running (which gives the user a chance to fix it outside our program).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This is core in detecting which devices are currently active. This is very important for future UI and Usage Design, to see which devices will do what when some devices are missing.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We have to work with multiple devices, but it should be fairly basic implementation.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If the device shows up on the status bar, the device should work for our application. If it doesn’t we know it will not work (and shouldn’t accidently work).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in the mode box (Mode box may appear only sometimes).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02/28/201</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352925" cy="2752725"/>
            <wp:effectExtent b="0" l="0" r="0" t="0"/>
            <wp:docPr descr="C:\Users\IEatR\Pictures\View Device Status Use Case.png" id="2" name="image05.png"/>
            <a:graphic>
              <a:graphicData uri="http://schemas.openxmlformats.org/drawingml/2006/picture">
                <pic:pic>
                  <pic:nvPicPr>
                    <pic:cNvPr descr="C:\Users\IEatR\Pictures\View Device Status Use Case.png" id="0" name="image05.png"/>
                    <pic:cNvPicPr preferRelativeResize="0"/>
                  </pic:nvPicPr>
                  <pic:blipFill>
                    <a:blip r:embed="rId5"/>
                    <a:srcRect b="0" l="0" r="0" t="0"/>
                    <a:stretch>
                      <a:fillRect/>
                    </a:stretch>
                  </pic:blipFill>
                  <pic:spPr>
                    <a:xfrm>
                      <a:off x="0" y="0"/>
                      <a:ext cx="4352925" cy="2752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drawing>
          <wp:inline distB="114300" distT="114300" distL="114300" distR="114300">
            <wp:extent cx="5943600" cy="51435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ksv4uv"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4sinio" w:id="12"/>
      <w:bookmarkEnd w:id="12"/>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jxsxqh" w:id="13"/>
      <w:bookmarkEnd w:id="13"/>
      <w:r w:rsidDel="00000000" w:rsidR="00000000" w:rsidRPr="00000000">
        <w:drawing>
          <wp:inline distB="114300" distT="114300" distL="114300" distR="114300">
            <wp:extent cx="2143125" cy="46577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143125" cy="4657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z337ya" w:id="14"/>
      <w:bookmarkEnd w:id="1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j2qqm3" w:id="15"/>
      <w:bookmarkEnd w:id="15"/>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Started application with all 3 devices plugged in </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all 3 color coordinated boxes.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Started Application with leap and multitouch but without Tobii EyeX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the Leap Motion and multitouch squares successfully. Did not draw Red EyeX Box. </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Multitouch, no leap or eyeX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blue box. Did not draw leap or EyeX box. </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without any devices</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no boxes inside the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Leap only</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Only drew green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EyeX Only</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Only drew red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without Multitouch, but with Leap and EyeX</w:t>
      </w:r>
    </w:p>
    <w:p w:rsidR="00000000" w:rsidDel="00000000" w:rsidP="00000000" w:rsidRDefault="00000000" w:rsidRPr="00000000">
      <w:pPr>
        <w:numPr>
          <w:ilvl w:val="1"/>
          <w:numId w:val="3"/>
        </w:numPr>
        <w:spacing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green and red box.</w:t>
      </w:r>
    </w:p>
    <w:p w:rsidR="00000000" w:rsidDel="00000000" w:rsidP="00000000" w:rsidRDefault="00000000" w:rsidRPr="00000000">
      <w:pPr>
        <w:pStyle w:val="Heading2"/>
        <w:spacing w:after="0" w:before="200" w:line="240" w:lineRule="auto"/>
        <w:contextualSpacing w:val="0"/>
      </w:pPr>
      <w:bookmarkStart w:colFirst="0" w:colLast="0" w:name="h.1y810tw" w:id="16"/>
      <w:bookmarkEnd w:id="1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i7ojhp" w:id="17"/>
      <w:bookmarkEnd w:id="17"/>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 These features work correctly given the proper devices are plugged in (or not plugged in). It works without or with the following devices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Leap Motion Controller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Acer Multitouch Screen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Real Sense Deptch Camera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with Device Modes (Enable / disable the boxes when the devices are enabled or disabled).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xcytpi" w:id="18"/>
      <w:bookmarkEnd w:id="1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ci93xb" w:id="19"/>
      <w:bookmarkEnd w:id="19"/>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 up the application with the correct devices running and working. Open up the mode box (If eyeX is enabled you must ‘gaze’ into the bottom right hand corner). View the 4 Boxes to see whether or not the devices are enabled.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Here we have an image with the multitouch plugged 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blue box indicates multitouch. Eyex is indicated by a red box, green box indicates leap motion, and Yellow box indicates real sense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7.png"/></Relationships>
</file>