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 548</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Garrett Lemieux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dnc0get51b9k"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mallCaps w:val="1"/>
          <w:sz w:val="32"/>
          <w:szCs w:val="32"/>
          <w:rtl w:val="0"/>
        </w:rPr>
        <w:t xml:space="preserve">User Story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As a User I would like to draw lines using the leap motion device so I can paint the surface.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wos19hzd8m8p" w:id="2"/>
      <w:bookmarkEnd w:id="2"/>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Paint lines using leap motion</w:t>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Motion device is enabled.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paint lines on canvas.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correctly started program.</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begins when User has decided to paint a line on screen.</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interact with leap motion and green circle will appear on screen to signal user is near painting canvas.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paint on canvas by moving finger towards screen.</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area that Users interacts with on canvas will have lines drawn to canvas.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Support:</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High , User will need to interact with canvas to create pictures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Criticality: High , Allows Users to draw with hands by using leap motion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High, Had to learn new technology</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be able to read user guide and follow instructions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Reliable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High , low failure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Motion Device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Modification History: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Garrett Lemieux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Initiation Date 02/07/2015</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last Modified: 02/014/2015</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152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abstr3bzn5n4" w:id="4"/>
      <w:bookmarkEnd w:id="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x2g5ojwp5u6" w:id="5"/>
      <w:bookmarkEnd w:id="5"/>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2672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gezwcpm53y94"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pvw7erhs7dis" w:id="7"/>
      <w:bookmarkEnd w:id="7"/>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can draw smooth lines using fingers. Both hands may paint and up to ten fingers can be used at once. </w:t>
      </w:r>
    </w:p>
    <w:p w:rsidR="00000000" w:rsidDel="00000000" w:rsidP="00000000" w:rsidRDefault="00000000" w:rsidRPr="00000000">
      <w:pPr>
        <w:pStyle w:val="Heading2"/>
        <w:spacing w:after="0" w:before="200" w:line="240" w:lineRule="auto"/>
        <w:contextualSpacing w:val="0"/>
      </w:pPr>
      <w:bookmarkStart w:colFirst="0" w:colLast="0" w:name="h.7hwq5rp0r7uc" w:id="8"/>
      <w:bookmarkEnd w:id="8"/>
      <w:r w:rsidDel="00000000" w:rsidR="00000000" w:rsidRPr="00000000">
        <w:rPr>
          <w:rFonts w:ascii="Times New Roman" w:cs="Times New Roman" w:eastAsia="Times New Roman" w:hAnsi="Times New Roman"/>
          <w:b w:val="1"/>
          <w:sz w:val="28"/>
          <w:szCs w:val="28"/>
          <w:rtl w:val="0"/>
        </w:rPr>
        <w:t xml:space="preserve">Integration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draw lines using leap motion is compatible with the touchPoints app.</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nef7gd1qswlr" w:id="9"/>
      <w:bookmarkEnd w:id="9"/>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must place hands over leap motion and extend fingers outward. Once user would like to draw he or she moves hands towards canvas with fingers extended. As the hand approaches the drawing campus the fingers will appear as a green circle. Green circles represents the user is hovering over the drawing canvas. By moving even closer to the canvas the circles will disappear the user will be actively drawing lines.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