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September 9,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Steven Lyons, Juan Medina, Jahkell Lazarre, Steven Gamatan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2:04pm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2:28pm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#117</w:t>
        <w:br w:type="textWrapping"/>
        <w:t xml:space="preserve">As a project member I need to perform preliminary research on SDN/OpenFlow as it is necessary to understand and work on the project.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September 23,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Steven Lyons, Jahkell Lazarre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2:03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2:28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#126</w:t>
        <w:br w:type="textWrapping"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As a project member I need to simulate the sample topology so that I can show that my testing environment and understanding works properly for future development and testing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Steven Lyons, Jahkell Lazarre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2:10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#125, Add visibility of flows managed by ONOS to Zabbix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Priorities of user stories changed mid-sprint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Steven Lyons, Jahkell Lazarre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2:10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#121 – Create an SDN validation environment to test the switch’s Control, Data and Management Planes with OFTest (Part 1)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#143 – Create an SDN validation environment to test the switch’s Control, Data and Management Planes with Ryu (Part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Steven Lyons, Jahkell Lazarre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2:03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2:19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#141, Create an SDN validation environment to test the switch’s Control, Data and Management Planes with OFTest (Part 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#144, Create an SDN validation environment to test the switch’s Control, Data and Management Planes with Ryu (Part 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Steven Lyons, Jahkell Lazarre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2:03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2:28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#142, Create an SDN validation environment to test the switch’s Control, Data and Management Planes with OFTest (Part 3)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#145, Create an SDN validation environment to test the switch’s Control, Data and Management Planes with Ryu (Part 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