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&lt;247&gt;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Jose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Jose/Parker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Learning with Augmented Reality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Ms. Vassigh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to be able to move through out the map preliminarily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can access different areas with 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ind w:left="8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Unity project compiles and collaborates properly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Player moves to the spot where they’re pointing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0" distT="0" distL="0" distR="0">
            <wp:extent cx="3634740" cy="2598420"/>
            <wp:effectExtent b="0" l="0" r="0" t="0"/>
            <wp:docPr descr="C:\Users\Parker Scott\Pictures\Screenpresso\2017-11-21_08h36_17.png" id="1" name="image2.png"/>
            <a:graphic>
              <a:graphicData uri="http://schemas.openxmlformats.org/drawingml/2006/picture">
                <pic:pic>
                  <pic:nvPicPr>
                    <pic:cNvPr descr="C:\Users\Parker Scott\Pictures\Screenpresso\2017-11-21_08h36_17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