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Andres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Frank Hernandez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ID:(MJ-547) Implement Docker 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Developer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has pushed code to github repo to a respective branch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github recognizes a push has occurred to the repository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hub will recognize that a push has a occurred, and begin a build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will pull the repository using the latest commit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will begin building an image using the Dockerfile from the commit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triggered builds in Docker goes up by 1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build will complete, and report a failure or a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step D.4, the branch may be automatically merged if the build was a success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Low.  Allows the Member to add data into the social aspect integration features.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Medium.  Implementing this use case employs standard web-based technology.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 on Docker if necessary.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5%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Login Back-up 30 minutes in a 24 hour period. 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build should be triggered within 20 seconds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The docker build should support any branch on the repository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Andres Villa.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01/28/2016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01/28/2016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337300"/>
            <wp:effectExtent b="0" l="0" r="0" t="0"/>
            <wp:docPr descr="547-DockerSequenceDiagram.png" id="2" name="image03.png"/>
            <a:graphic>
              <a:graphicData uri="http://schemas.openxmlformats.org/drawingml/2006/picture">
                <pic:pic>
                  <pic:nvPicPr>
                    <pic:cNvPr descr="547-DockerSequenceDiagram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u2968i2f3pz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6"/>
      <w:bookmarkEnd w:id="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…(Not used for Docker)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MJ-SD-547-01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Docker image contains the appropriate services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build was completed successfully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run -P -d andresvilla/mobilejudge8:dockerBranch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“docker ps” - will show the running container along with a mapping of its ports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connecting to localhost:&lt;mapped Port to :80&gt; loads mobile judge website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“docker ps” - will show the running container along with a mapping of its ports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connecting to localhost:&lt;mapped Port to :80&gt; loads mobile judge website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MJ-SD-547-02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Docker does not hold any true database information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build was completed successfully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run -P -d andresvilla/mobilejudge8:dockerBranch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“docker ps” - will show the running container along with a mapping of its ports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connecting to localhost:&lt;mapped Port to :80&gt;/phpmyadmin/ and logging in, shows that there is no database in phpmyadmin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“docker ps” - will show the running container along with a mapping of its ports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connecting to localhost:&lt;mapped Port to :80&gt;/phpmyadmin/ and logging in, shows that there is no database in phpmyadmin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Test Case 3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MJ-RD-547-01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Docker image does not update if a bad build is triggered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was successfully pushed to GitHub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 functioning code has been pushed to GitHub repository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container will not update the image with the latest broken build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container will not update the image with the latest broken build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4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MJ-RD-547-02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Docker Image is independent of Docker container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was successfully pushed to GitHub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container is started up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Entire docker container is deleted (sudo rm -rf *) from root directory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image will remain functional and identical to image prior to test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image will remain functional and identical to image prior to test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8"/>
      <w:bookmarkEnd w:id="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(ports forwarding for container will be dispayed as shown below, localhost:32813 will be the mapping for nginx)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96900"/>
            <wp:effectExtent b="0" l="0" r="0" t="0"/>
            <wp:docPr descr="Screen Shot 2016-02-04 at 7.01.06 PM.png" id="3" name="image04.png"/>
            <a:graphic>
              <a:graphicData uri="http://schemas.openxmlformats.org/drawingml/2006/picture">
                <pic:pic>
                  <pic:nvPicPr>
                    <pic:cNvPr descr="Screen Shot 2016-02-04 at 7.01.06 PM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walkthrough for Docker and Docker CI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https://docs.google.com/presentation/d/1fiULnU9GVffffVlnkDzTjy4CwJ3Z0nQAfr0dWcrs57A/edit#slide=id.gef5bcc529_0_170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docker is installed: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“sudo apt-get install docker”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run a container with an image of your current build In the folder containing the Dockerfile: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“docker build -t &lt;any name&gt; 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this completes successfully, 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“docker run  -d -P &lt;prevName&gt;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 = runs the container in the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-P = forwards any ports specified in the dockerfile from the container to the host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would like to get access to the container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“docker ps” //this will show you the container name (jovial_brahmagupta in the image below)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96900"/>
            <wp:effectExtent b="0" l="0" r="0" t="0"/>
            <wp:docPr descr="Screen Shot 2016-02-04 at 7.01.06 PM.png" id="1" name="image01.png"/>
            <a:graphic>
              <a:graphicData uri="http://schemas.openxmlformats.org/drawingml/2006/picture">
                <pic:pic>
                  <pic:nvPicPr>
                    <pic:cNvPr descr="Screen Shot 2016-02-04 at 7.01.06 PM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“docker exec -it &lt;Container_id or Names&gt; bash”// will give u access to a bash shell in the container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would like to ensure that the required services are running, then run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“cd /”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“sh configFiles/services.sh”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hyperlink" Target="https://docs.google.com/presentation/d/1fiULnU9GVffffVlnkDzTjy4CwJ3Z0nQAfr0dWcrs57A/edit#slide=id.gef5bcc529_0_170" TargetMode="External"/><Relationship Id="rId8" Type="http://schemas.openxmlformats.org/officeDocument/2006/relationships/image" Target="media/image01.png"/></Relationships>
</file>