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&lt;307&gt;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Ellipse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an ellipse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show up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Ellipse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eclipse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eclipse button in the dropdown menu when clicked should draw an eclipse when you click on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Ellipse shape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Create Ellipse Shape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ellipse button, the user should then be able to draw an ellipse when 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ellipse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ellipse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ellipse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ellipse appears and reshapes itself when the mouse pointer moves away from the point of the initial click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17383" cy="41379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83" cy="413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1464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43600" cy="32099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 the ellipse button and lets the user draw an ellipse on the GUI canvas</w:t>
      </w:r>
    </w:p>
    <w:p w:rsidR="00000000" w:rsidDel="00000000" w:rsidP="00000000" w:rsidRDefault="00000000" w:rsidRPr="00000000">
      <w:pPr>
        <w:pBdr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ellipse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Ellipse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ellipse button properly lets the user draw an ellipse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 and must click ellipse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Ellipse appears on GUI Canvas and is finally cemented when user clicks on another area of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ellipse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Ellipse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drawing>
          <wp:inline distB="0" distT="0" distL="0" distR="0">
            <wp:extent cx="6180318" cy="347643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318" cy="347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