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Justin Alvarez, Alain Galvan,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10:00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Revised schedules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Completed sprint 1 documentation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Developed unity demo with SteamVR plugin support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test Unity 3D world</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Begin developing HMD GUI elements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Many features require a physical HMD device, we still do not have one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integrating conan into the build process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Integration conan with Cinder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It seems like it might be better to use the Cinder tools to automatically create projects with a given widget than build your own build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Successfully tested a component designed with abstraction.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Ran Clang 3.7 to take advantage of C++ 17 features with Visual Studio.</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Setup Boost Hana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 tree of descriptor nodes using system, and log that tree within a renderer.</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Read the new chapters released for the book Vulkan Essentials.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