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Alain Galvan,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Added objects and lighting to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Develop more features in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library, fixing up library and sculpting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fonts and cleanup implementation, begin writing paper. Look for prior art in functional views and GPU rendering.</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 incorporating kinect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Fix kinect issues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Kinect isn’t recognized by my laptop, school computer or my desktop computer</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Even with the previous code and Microsoft docs working with the kinect has proven to be a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Got dynamic drawing/resizing to work!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Start the square tool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