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Finished Usable Object script</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Began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 Testing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Begin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Read through a lot of NanoGUI source code to understand font loading and the TTF spec to understand how the code points were structured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Create a font with the new Entypo icons and create a corresponding header file for use with NanoGUI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debug drawing with realsense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 to get kinect working and start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Realsense cursor tracking is not behaving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Work on Raw Vulkan Talk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Raw Vulkan talk</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Raw Vulkan Demo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