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&lt;685 Send Feedback&gt;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689 Send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yga3q9ldagxt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be able to send feedbacks to the admin  so the administrator know how I feel about the app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5pinz62dmls5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want to send a feedback to the administrator.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Feedback email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send a feedback to the administrator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tap Setting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User tap FeedBack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open Setting page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open email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10445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4885" l="0" r="5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1436" cy="257333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9986" l="0" r="40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436" cy="257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