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ef6c00"/>
          <w:sz w:val="72"/>
          <w:szCs w:val="72"/>
          <w:rtl w:val="0"/>
        </w:rPr>
        <w:t xml:space="preserve">Shortcomings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No Indication that the results were saved when the Decision-Maker exits.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Oculus was tested on an old version.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Pump collision with player can make the player leave the playable area.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The Moderator doesn’t have a way to monitor the decisions made by the Decision-Maker. (Missing the IRC)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ef6c00"/>
          <w:sz w:val="72"/>
          <w:szCs w:val="72"/>
          <w:rtl w:val="0"/>
        </w:rPr>
        <w:t xml:space="preserve">Wishlist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The water will affect the traffic.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The pump will affect the traffic.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/>
      </w:pPr>
      <w:r w:rsidDel="00000000" w:rsidR="00000000" w:rsidRPr="00000000">
        <w:rPr>
          <w:rFonts w:ascii="Open Sans" w:cs="Open Sans" w:eastAsia="Open Sans" w:hAnsi="Open Sans"/>
          <w:color w:val="695d46"/>
          <w:sz w:val="36"/>
          <w:szCs w:val="36"/>
          <w:rtl w:val="0"/>
        </w:rPr>
        <w:t xml:space="preserve">Toggle the pump area (the blue sphere).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T Sans Narrow">
    <w:embedRegular r:id="rId1" w:subsetted="0"/>
    <w:embedBold r:id="rId2" w:subsetted="0"/>
  </w:font>
  <w:font w:name="Open Sans">
    <w:embedRegular r:id="rId3" w:subsetted="0"/>
    <w:embedBold r:id="rId4" w:subsetted="0"/>
    <w:embedItalic r:id="rId5" w:subsetted="0"/>
    <w:embedBoldItalic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firstLine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