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me: 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Sort tables by column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an user, I want to be able to sort any tables by table headers in order to find the</w:t>
        <w:br w:type="textWrapping"/>
        <w:tab/>
        <w:t xml:space="preserve">information I need more efficiently and group similar entries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can click on table header to sort the columns by descending or ascending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Table should contain same information as non-sorted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sorts review student table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logged in wit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 administrative rights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at the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admin panel page - student maintenance tab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clicks on the First Name header of the table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Table repopulates displaying the first entry being lexicographically largest last name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First name table header displays with a descending triangle to indicate table is being sorted in descending order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53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950398" cy="72913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398" cy="729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VIP-1363-U1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sort review student by first name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on first name table header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reclick on first name table header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student maintenance tab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Database contains multiple users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Table will be initially unsorted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Table will then sort on first name in descending order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Table will sort again on second click by descending order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will be updated in the database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maintenance page will be updated with new course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VIP-1363-G1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sort review student by first name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on first name table header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reclick on first name table header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student maintenance tab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Database contains multiple users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Table will be initially unsorted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Table will then sort on first name in descending order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Table will sort again on second click by descending order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will be updated in the database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maintenance page will be updated with new course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810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73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