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User Story #842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Andres 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color w:val="000000"/>
          <w:sz w:val="21"/>
          <w:szCs w:val="21"/>
          <w:highlight w:val="white"/>
          <w:rtl w:val="0"/>
        </w:rPr>
        <w:t xml:space="preserve">As a user I would like to view VIP competition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use case employs standard web-based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ID:(VIP-842) Implement Contact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Details: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Actor: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Pre-conditions: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navigated to VIP website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begins when user clicks Contact tab button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VIP site will respond with a page containing contact info for specified staff </w:t>
      </w:r>
    </w:p>
    <w:p w:rsidR="00000000" w:rsidDel="00000000" w:rsidP="00000000" w:rsidRDefault="00000000" w:rsidRPr="00000000">
      <w:pPr>
        <w:widowControl w:val="0"/>
        <w:numPr>
          <w:ilvl w:val="0"/>
          <w:numId w:val="8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Docker will pull the repository using the latest commit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Post-conditions: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info tab appears selected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users that are Directors, collaborators, or such will be displayed appropriately on the page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Alternative Courses of Action: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Uses Case: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36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Decision Support: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Frequency: Low. Estimated average of one addition per application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Criticality: Medium.  Allows the Member to add data into the social aspect integration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Risk: Low.  Implementing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time  required.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guide should provide more in-depth information on Docker if necessary.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Reliability: 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Mean time to Failure – 5% failures for every twenty four hours of operation is acceptable.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Availability – Down time for Login Back-up 30 minutes in a 24 hour period.  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Performance: 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build should be triggered within 20 seconds</w:t>
      </w:r>
    </w:p>
    <w:p w:rsidR="00000000" w:rsidDel="00000000" w:rsidP="00000000" w:rsidRDefault="00000000" w:rsidRPr="00000000">
      <w:pPr>
        <w:widowControl w:val="0"/>
        <w:numPr>
          <w:ilvl w:val="0"/>
          <w:numId w:val="9"/>
        </w:numPr>
        <w:spacing w:after="0" w:before="0" w:line="36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Supportability:</w:t>
      </w:r>
    </w:p>
    <w:p w:rsidR="00000000" w:rsidDel="00000000" w:rsidP="00000000" w:rsidRDefault="00000000" w:rsidRPr="00000000">
      <w:pPr>
        <w:widowControl w:val="0"/>
        <w:numPr>
          <w:ilvl w:val="1"/>
          <w:numId w:val="9"/>
        </w:numPr>
        <w:spacing w:after="0" w:before="0" w:line="36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The docker build should support any branch on the repository</w:t>
      </w:r>
    </w:p>
    <w:p w:rsidR="00000000" w:rsidDel="00000000" w:rsidP="00000000" w:rsidRDefault="00000000" w:rsidRPr="00000000">
      <w:pPr>
        <w:widowControl w:val="0"/>
        <w:spacing w:line="36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Modification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Owner: Andres Villa.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Initiation date: 03/09/2016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60" w:lineRule="auto"/>
        <w:ind w:left="108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last modified: 03/21/2016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4sinio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jxsxqh" w:id="17"/>
      <w:bookmarkEnd w:id="17"/>
      <w:r w:rsidDel="00000000" w:rsidR="00000000" w:rsidRPr="00000000">
        <w:drawing>
          <wp:inline distB="114300" distT="114300" distL="114300" distR="114300">
            <wp:extent cx="6640536" cy="5097462"/>
            <wp:effectExtent b="0" l="0" r="0" t="0"/>
            <wp:docPr descr="Contactsequence.png" id="1" name="image04.png"/>
            <a:graphic>
              <a:graphicData uri="http://schemas.openxmlformats.org/drawingml/2006/picture">
                <pic:pic>
                  <pic:nvPicPr>
                    <pic:cNvPr descr="Contactsequence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0536" cy="5097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3j2qqm3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34075" cy="4800600"/>
            <wp:effectExtent b="0" l="0" r="0" t="0"/>
            <wp:docPr descr="contactClass (1).png" id="3" name="image06.png"/>
            <a:graphic>
              <a:graphicData uri="http://schemas.openxmlformats.org/drawingml/2006/picture">
                <pic:pic>
                  <pic:nvPicPr>
                    <pic:cNvPr descr="contactClass (1).png"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Unit &amp; Integration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VIP-SD-542-01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the correct contact information is displayed when user clicks Contact Us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VIP webpage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Contact on header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page with all the directors and collaborators to be displayed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ID: VIP-RD-542-01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page is clicked with no users in database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has reached VIP webpage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has been initialized with no data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clicks Contact on header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page is returned with no users. Sections are still present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360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page is returned with no users. Sections are still present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40" w:lineRule="auto"/>
        <w:contextualSpacing w:val="0"/>
      </w:pPr>
      <w:bookmarkStart w:colFirst="0" w:colLast="0" w:name="h.2xcytpi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Click contact on the 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495300"/>
            <wp:effectExtent b="0" l="0" r="0" t="0"/>
            <wp:docPr descr="contactUsTab.PNG" id="2" name="image05.png"/>
            <a:graphic>
              <a:graphicData uri="http://schemas.openxmlformats.org/drawingml/2006/picture">
                <pic:pic>
                  <pic:nvPicPr>
                    <pic:cNvPr descr="contactUsTab.PNG"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2. This will then load the contact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868199" cy="4195763"/>
            <wp:effectExtent b="0" l="0" r="0" t="0"/>
            <wp:docPr descr="contactUsGuide.PNG" id="4" name="image07.png"/>
            <a:graphic>
              <a:graphicData uri="http://schemas.openxmlformats.org/drawingml/2006/picture">
                <pic:pic>
                  <pic:nvPicPr>
                    <pic:cNvPr descr="contactUsGuide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9" cy="4195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612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104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1260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147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1692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1908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212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color w:val="000000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png"/><Relationship Id="rId6" Type="http://schemas.openxmlformats.org/officeDocument/2006/relationships/image" Target="media/image06.png"/><Relationship Id="rId7" Type="http://schemas.openxmlformats.org/officeDocument/2006/relationships/image" Target="media/image05.png"/><Relationship Id="rId8" Type="http://schemas.openxmlformats.org/officeDocument/2006/relationships/image" Target="media/image07.png"/></Relationships>
</file>