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#843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Masoud Sadjadi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Description:  View Main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As a user, I would like to view the main page of VIP, so that I may have an overview of website and general overview of what VIP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160" w:lineRule="auto"/>
        <w:contextualSpacing w:val="0"/>
      </w:pPr>
      <w:bookmarkStart w:colFirst="0" w:colLast="0" w:name="h.5zew0a8gk6by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111111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40" w:before="80" w:line="320.72727272727275" w:lineRule="auto"/>
        <w:ind w:left="88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Quick overview of what VIP Represents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k1wrwvmy5z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VIP843 - View Main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Description: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case begins when the user enters vip.cis.fiu.edu.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server will respond with the vip main page website.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Criticality: Low. Allows the Member to add/edit data into existing app function.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Risk: Low.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Implementing this use case requires Member to know Angular, HTML, CSS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Usability: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training time required.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Reliability: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Mean time to Failure – 1% failure is acceptable.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Availability – Always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Performance: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before="120"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Response time -  system should react to a user input within 100ms - 500ms.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before="120"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Throughput - the system should accomplish the work within 50ms.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before="120"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Availability - always available unless the system is down for maintenance.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Supportability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Feature must appear on mobile and non-mobile devices.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Owner: Marlon Rowe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Initiation date: 03/10/2015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Date last modified: 03/22/2015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w7g82uj5d5pf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Unit &amp; Integration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ID: VIP-SD-843-01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if any user can access the website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can see VIP main page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can see VIP main page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 (Rainy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ID: VIP-RD-843-01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if any user can access the website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can see VIP main page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can’t see main page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