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#676 Research Game’s that Women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Research Game’s that Women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need to do research for the game, so that I can start development.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be a published paper.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Must be published by a reliable source.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