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#1152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color w:val="000000"/>
          <w:sz w:val="32"/>
          <w:szCs w:val="32"/>
          <w:highlight w:val="white"/>
          <w:rtl w:val="0"/>
        </w:rPr>
        <w:t xml:space="preserve">Mingle Filed and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Testing and Creating Mingle Filed Entry and Social Icon in VIP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would like to be able to have a link on the project page that sends me directly to the Mingle site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(VIP-1152)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Adding a Mingle URL entry in the “Project Proposal Form” and a Mingle Social Icon on the “Project Profile Page”.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the VIP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User must be a “Faculty/Staff or Pi/CoPI” level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Users must be a member of the Project which Project Profile Page they are accessing.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a Faculty/Staff or PI/CoPI navigates to the “Project Proposal Form” (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http://vip.fiu.edu/#/project-proposal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fills out the form, and inputs a link in the option labeled “Mingle Link”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submits Project for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PI/CoPI approve the 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Product Owner/Project Members navigate to the “Project Page”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http://vip.fiu.edu/#/vip-projects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Product Owner/Project Members navigate to the “Project Details Page” (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http://vip.fiu.edu/#/vip-projects-detailed/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&lt;uniqueProjectHashHere&gt;)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 the section labeled “Discover More” will be any links that were created in 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click on the Social Icon Link “M” that corresponds to Mingle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redirected to their “Mingle Login Page” (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https://fiu-scis-seniorproject.mingle.thoughtworks.com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here Users can login and access their project’s Mingle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Course of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not a Project Member or Product owner for the Project they are trying to access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Owner did not set the “Mingle Link” in the “Project Proposal Form”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High: Users need to access Mingle often.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Criticality: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Low: No immediate effect on the rest of the sites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Dependent on Users 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takes less than 5 seconds to redirect users to Mingle Page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All modern web browsers should be supported.</w:t>
      </w:r>
    </w:p>
    <w:p w:rsidR="00000000" w:rsidDel="00000000" w:rsidP="00000000" w:rsidRDefault="00000000" w:rsidRPr="00000000">
      <w:pPr>
        <w:widowControl w:val="0"/>
        <w:spacing w:line="36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Owner: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Joseph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Initiation 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9/202016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bookmarkStart w:colFirst="0" w:colLast="0" w:name="3znysh7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9/22/2016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067300"/>
            <wp:effectExtent b="0" l="0" r="0" t="0"/>
            <wp:docPr descr="Use Cases.jpg" id="1" name="image03.jpg"/>
            <a:graphic>
              <a:graphicData uri="http://schemas.openxmlformats.org/drawingml/2006/picture">
                <pic:pic>
                  <pic:nvPicPr>
                    <pic:cNvPr descr="Use Cases.jpg" id="0" name="image0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3815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75" y="257175"/>
                          <a:ext cx="5943600" cy="4381500"/>
                          <a:chOff x="257175" y="257175"/>
                          <a:chExt cx="6410400" cy="4724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7175" y="257175"/>
                            <a:ext cx="9048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00225" y="257175"/>
                            <a:ext cx="904800" cy="7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48050" y="257175"/>
                            <a:ext cx="904800" cy="36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000625" y="257175"/>
                            <a:ext cx="904800" cy="7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5275" y="266700"/>
                            <a:ext cx="8667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Faculty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67100" y="266700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CoPI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19275" y="285750"/>
                            <a:ext cx="971400" cy="7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Project Proposal Form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010150" y="266700"/>
                            <a:ext cx="904800" cy="7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Details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728625" y="628500"/>
                            <a:ext cx="4800" cy="43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95375" y="1028850"/>
                            <a:ext cx="9600" cy="39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914700" y="628500"/>
                            <a:ext cx="4800" cy="42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62550" y="1009800"/>
                            <a:ext cx="4800" cy="38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171700" y="1352550"/>
                            <a:ext cx="280800" cy="13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752400" y="2028750"/>
                            <a:ext cx="1419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885825" y="1962150"/>
                            <a:ext cx="11097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Fill Mingle Link Box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3838575" y="1285875"/>
                            <a:ext cx="223800" cy="197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57450" y="1533450"/>
                            <a:ext cx="1381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23899" y="2991000"/>
                            <a:ext cx="3100500" cy="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503837" y="1285875"/>
                            <a:ext cx="12834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Form Submitted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00300" y="3057525"/>
                            <a:ext cx="13812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Project Approved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5341125" y="2638425"/>
                            <a:ext cx="223800" cy="1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5341125" y="3962400"/>
                            <a:ext cx="223800" cy="7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733425" y="3581325"/>
                            <a:ext cx="45435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409825" y="3657600"/>
                            <a:ext cx="1381200" cy="1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View Project Page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5562525" y="3400500"/>
                            <a:ext cx="504900" cy="4857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564925" y="3895650"/>
                            <a:ext cx="492900" cy="438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857875" y="3981450"/>
                            <a:ext cx="8097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Display Mingle Icon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81500"/>
                <wp:effectExtent b="0" l="0" r="0" 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8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83000"/>
            <wp:effectExtent b="0" l="0" r="0" t="0"/>
            <wp:docPr descr="ClassDiagram1152.jpg" id="2" name="image10.jpg"/>
            <a:graphic>
              <a:graphicData uri="http://schemas.openxmlformats.org/drawingml/2006/picture">
                <pic:pic>
                  <pic:nvPicPr>
                    <pic:cNvPr descr="ClassDiagram1152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VIP-SD-1152-01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“Mingle Link” section of the “Project Proposal Form” saves the URL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fills out the Mingle Link and required fields in the Project Proposal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 Clicks on the “Submit” button at the bottom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Mingle Link is included in the Project Details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VIP-SD-1152-02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Mingle Social Link Icon appears when a Mingle Link is tied to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the Product Owner or Project Member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Mingle Link section of the Project Proposal Form was filled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Navigates to the “Project Details Page”.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Mingle Social Icon appears under the ‘Discover More” section of the “Project Details Page”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3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VIP-SD-1152-03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Mingle Social Icon redirects users to their Mingle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the Product Owner, or Project Member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Mingle Link section of the “Project Proposal Form” was filled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Navigates to the “Project Details Page”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the “M” Icon for Mingle under the “Discover More” section of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redirected to the “Mingle Login Page”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bookmarkStart w:colFirst="0" w:colLast="0" w:name="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1. User Navigates to Project Proposal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2171700"/>
            <wp:effectExtent b="0" l="0" r="0" t="0"/>
            <wp:docPr descr="SC1.png" id="3" name="image11.png"/>
            <a:graphic>
              <a:graphicData uri="http://schemas.openxmlformats.org/drawingml/2006/picture">
                <pic:pic>
                  <pic:nvPicPr>
                    <pic:cNvPr descr="SC1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2. User Scrolls down to the “Mingle Link” text box in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01938"/>
            <wp:effectExtent b="0" l="0" r="0" t="0"/>
            <wp:docPr descr="SC2.png" id="5" name="image13.png"/>
            <a:graphic>
              <a:graphicData uri="http://schemas.openxmlformats.org/drawingml/2006/picture">
                <pic:pic>
                  <pic:nvPicPr>
                    <pic:cNvPr descr="SC2.png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3. User Submits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62625" cy="2868613"/>
            <wp:effectExtent b="0" l="0" r="0" t="0"/>
            <wp:docPr descr="SC3.png" id="4" name="image12.png"/>
            <a:graphic>
              <a:graphicData uri="http://schemas.openxmlformats.org/drawingml/2006/picture">
                <pic:pic>
                  <pic:nvPicPr>
                    <pic:cNvPr descr="SC3.png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6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4. The Project is now submitted, once a PI/CoPI has approved the project, the user must navigate to the Projects Page by clicking the “Projects” Button on the header of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87713"/>
            <wp:effectExtent b="0" l="0" r="0" t="0"/>
            <wp:docPr descr="SC4.png" id="7" name="image16.png"/>
            <a:graphic>
              <a:graphicData uri="http://schemas.openxmlformats.org/drawingml/2006/picture">
                <pic:pic>
                  <pic:nvPicPr>
                    <pic:cNvPr descr="SC4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5. User Navigates to their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95600"/>
            <wp:effectExtent b="0" l="0" r="0" t="0"/>
            <wp:docPr descr="SC5.png" id="6" name="image14.png"/>
            <a:graphic>
              <a:graphicData uri="http://schemas.openxmlformats.org/drawingml/2006/picture">
                <pic:pic>
                  <pic:nvPicPr>
                    <pic:cNvPr descr="SC5.png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6. User Navigates to their Project Details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descr="SC6.png" id="9" name="image18.png"/>
            <a:graphic>
              <a:graphicData uri="http://schemas.openxmlformats.org/drawingml/2006/picture">
                <pic:pic>
                  <pic:nvPicPr>
                    <pic:cNvPr descr="SC6.png"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7. User Navigates to the “M” social icon under the Discover More section of the webpage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21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667125" cy="4067175"/>
            <wp:effectExtent b="0" l="0" r="0" t="0"/>
            <wp:docPr descr="SC7.png" id="8" name="image17.png"/>
            <a:graphic>
              <a:graphicData uri="http://schemas.openxmlformats.org/drawingml/2006/picture">
                <pic:pic>
                  <pic:nvPicPr>
                    <pic:cNvPr descr="SC7.png"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8. The user clicks the “M” social link, and is redirected to the Mingle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086100"/>
            <wp:effectExtent b="0" l="0" r="0" t="0"/>
            <wp:docPr descr="SC8.png" id="10" name="image19.png"/>
            <a:graphic>
              <a:graphicData uri="http://schemas.openxmlformats.org/drawingml/2006/picture">
                <pic:pic>
                  <pic:nvPicPr>
                    <pic:cNvPr descr="SC8.png"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here they login, and access their Mingle as needed.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82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26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69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1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55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342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85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42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54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21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jp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5" Type="http://schemas.openxmlformats.org/officeDocument/2006/relationships/hyperlink" Target="http://vip.fiu.edu/#/project-proposal" TargetMode="External"/><Relationship Id="rId19" Type="http://schemas.openxmlformats.org/officeDocument/2006/relationships/image" Target="media/image19.png"/><Relationship Id="rId6" Type="http://schemas.openxmlformats.org/officeDocument/2006/relationships/hyperlink" Target="http://vip.fiu.edu/#/vip-projects" TargetMode="External"/><Relationship Id="rId18" Type="http://schemas.openxmlformats.org/officeDocument/2006/relationships/image" Target="media/image17.png"/><Relationship Id="rId7" Type="http://schemas.openxmlformats.org/officeDocument/2006/relationships/hyperlink" Target="http://vip.fiu.edu/#/vip-projects-detailed/" TargetMode="External"/><Relationship Id="rId8" Type="http://schemas.openxmlformats.org/officeDocument/2006/relationships/hyperlink" Target="https://fiu-scis-seniorproject.mingle.thoughtworks.com" TargetMode="External"/></Relationships>
</file>