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#1172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88" w:lineRule="auto"/>
        <w:contextualSpacing w:val="0"/>
        <w:jc w:val="center"/>
      </w:pPr>
      <w:bookmarkStart w:colFirst="0" w:colLast="0" w:name="_yzcj4q6v070o" w:id="0"/>
      <w:bookmarkEnd w:id="0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Add Guideline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 Owner(s):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Mentor(s):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Instructor: Masoud Sadjadi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88" w:lineRule="auto"/>
        <w:contextualSpacing w:val="0"/>
      </w:pPr>
      <w:bookmarkStart w:colFirst="0" w:colLast="0" w:name="_y2wm09lgzuo1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Add Guideline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84.87272727272733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As a user, I would like to watch videos available in the login page so that it would be easy to use the VIP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88" w:lineRule="auto"/>
        <w:contextualSpacing w:val="0"/>
      </w:pPr>
      <w:bookmarkStart w:colFirst="0" w:colLast="0" w:name="_ymxfayfxxbp1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Case ID: (VIP-1172)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Make guidelines videos appear on the login page and arrange them according to the current login design.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Faculty, student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Faculty and student has navigated to the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a faculty member click on the User Guide for Faculty video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a student click on the User Guide for Student  video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navigate and use the VIP website without constraints.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Alternative Course of Action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Exceptions: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Related Use Cases: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line="431.99999999999994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Low: User might only use videos once in order to use the VIP website</w:t>
      </w:r>
    </w:p>
    <w:p w:rsidR="00000000" w:rsidDel="00000000" w:rsidP="00000000" w:rsidRDefault="00000000" w:rsidRPr="00000000">
      <w:pPr>
        <w:spacing w:line="431.99999999999994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 Low: This feature has no impact on the rest of the sites performance</w:t>
      </w:r>
    </w:p>
    <w:p w:rsidR="00000000" w:rsidDel="00000000" w:rsidP="00000000" w:rsidRDefault="00000000" w:rsidRPr="00000000">
      <w:pPr>
        <w:spacing w:line="431.99999999999994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31.99999999999994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431.99999999999994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Requires no experience.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31.99999999999994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 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431.99999999999994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Videos are always available on login page.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31.99999999999994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431.99999999999994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will play after 5 sec of been clicked.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31.99999999999994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431.99999999999994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All modern web browsers should be supported.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line="431.99999999999994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Franco Hernandez</w:t>
      </w:r>
    </w:p>
    <w:p w:rsidR="00000000" w:rsidDel="00000000" w:rsidP="00000000" w:rsidRDefault="00000000" w:rsidRPr="00000000">
      <w:pPr>
        <w:spacing w:line="431.99999999999994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10/19/2016</w:t>
      </w:r>
    </w:p>
    <w:p w:rsidR="00000000" w:rsidDel="00000000" w:rsidP="00000000" w:rsidRDefault="00000000" w:rsidRPr="00000000">
      <w:pPr>
        <w:spacing w:line="431.99999999999994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10/23/2016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00675" cy="379095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spacing w:after="2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Unit &amp; Integration 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431.99999999999994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ID: VIP-SD-1172-01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guideline videos appear on the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navigates to the login page.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must be visual on login page.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line="431.99999999999994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ID: VIP-SD-1172-02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videos are functional.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are available on login page.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 on video.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plays without interruptions.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431.99999999999994" w:lineRule="auto"/>
        <w:contextualSpacing w:val="0"/>
      </w:pPr>
      <w:bookmarkStart w:colFirst="0" w:colLast="0" w:name="_a3iqvwobeygz" w:id="3"/>
      <w:bookmarkEnd w:id="3"/>
      <w:r w:rsidDel="00000000" w:rsidR="00000000" w:rsidRPr="00000000">
        <w:rPr>
          <w:b w:val="1"/>
          <w:rtl w:val="0"/>
        </w:rPr>
        <w:t xml:space="preserve">User Guide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This User Guide begins when a user navigates to the login page and click on the guideline videos.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png"/></Relationships>
</file>