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4849" w:rsidRPr="00B14849" w:rsidRDefault="00E95B6F" w:rsidP="00B14849">
      <w:pPr>
        <w:pStyle w:val="1"/>
        <w:jc w:val="center"/>
      </w:pPr>
      <w:r w:rsidRPr="00B14849">
        <w:t>基于SPARC数据的星系η-M_b标度关系研究：流体宇宙模型的一个观测检验</w:t>
      </w:r>
    </w:p>
    <w:p w:rsidR="00B14849" w:rsidRPr="00B14849" w:rsidRDefault="00B14849" w:rsidP="00B14849">
      <w:pPr>
        <w:pStyle w:val="1"/>
      </w:pPr>
    </w:p>
    <w:p w:rsidR="00B14849" w:rsidRPr="00B14849" w:rsidRDefault="00B14849" w:rsidP="00B14849">
      <w:pPr>
        <w:pStyle w:val="1"/>
        <w:jc w:val="center"/>
        <w:rPr>
          <w:rFonts w:ascii="微软雅黑" w:eastAsia="微软雅黑" w:hAnsi="微软雅黑"/>
          <w:kern w:val="0"/>
          <w:szCs w:val="21"/>
        </w:rPr>
      </w:pPr>
    </w:p>
    <w:p w:rsidR="00B14849" w:rsidRPr="00B14849" w:rsidRDefault="00B14849" w:rsidP="00B14849">
      <w:pPr>
        <w:spacing w:line="360" w:lineRule="auto"/>
        <w:jc w:val="center"/>
        <w:rPr>
          <w:rFonts w:ascii="Times New Roman" w:eastAsia="宋体" w:hAnsi="Times New Roman" w:cs="Times New Roman"/>
          <w:b/>
          <w:color w:val="1F2329"/>
          <w:shd w:val="clear" w:color="auto" w:fill="FFFFFF"/>
        </w:rPr>
      </w:pPr>
      <w:r w:rsidRPr="00B14849">
        <w:rPr>
          <w:rFonts w:ascii="Times New Roman" w:eastAsia="宋体" w:hAnsi="Times New Roman" w:cs="Times New Roman" w:hint="eastAsia"/>
          <w:b/>
          <w:color w:val="1F2329"/>
          <w:shd w:val="clear" w:color="auto" w:fill="FFFFFF"/>
        </w:rPr>
        <w:t>作者：董小勇</w:t>
      </w:r>
    </w:p>
    <w:p w:rsidR="00B14849" w:rsidRPr="00B14849" w:rsidRDefault="00B14849" w:rsidP="00B14849">
      <w:pPr>
        <w:spacing w:line="360" w:lineRule="auto"/>
        <w:jc w:val="center"/>
        <w:rPr>
          <w:rFonts w:ascii="Times New Roman" w:eastAsia="宋体" w:hAnsi="Times New Roman" w:cs="Times New Roman"/>
          <w:b/>
          <w:color w:val="1F2329"/>
          <w:shd w:val="clear" w:color="auto" w:fill="FFFFFF"/>
        </w:rPr>
      </w:pPr>
      <w:r w:rsidRPr="00B14849">
        <w:rPr>
          <w:rFonts w:ascii="Times New Roman" w:eastAsia="宋体" w:hAnsi="Times New Roman" w:cs="Times New Roman"/>
          <w:b/>
          <w:color w:val="1F2329"/>
          <w:shd w:val="clear" w:color="auto" w:fill="FFFFFF"/>
        </w:rPr>
        <w:t>ORCID</w:t>
      </w:r>
      <w:r w:rsidRPr="00B14849">
        <w:rPr>
          <w:rFonts w:ascii="Times New Roman" w:eastAsia="宋体" w:hAnsi="Times New Roman" w:cs="Times New Roman" w:hint="eastAsia"/>
          <w:b/>
          <w:color w:val="1F2329"/>
          <w:shd w:val="clear" w:color="auto" w:fill="FFFFFF"/>
        </w:rPr>
        <w:t>：</w:t>
      </w:r>
      <w:r w:rsidRPr="00B14849">
        <w:rPr>
          <w:rFonts w:ascii="Times New Roman" w:eastAsia="宋体" w:hAnsi="Times New Roman" w:cs="Times New Roman"/>
          <w:b/>
          <w:color w:val="1F2329"/>
          <w:shd w:val="clear" w:color="auto" w:fill="FFFFFF"/>
        </w:rPr>
        <w:t>0009-0005-9433-4224</w:t>
      </w:r>
    </w:p>
    <w:p w:rsidR="00B14849" w:rsidRPr="00B14849" w:rsidRDefault="00B14849" w:rsidP="00B14849">
      <w:pPr>
        <w:spacing w:line="360" w:lineRule="auto"/>
        <w:jc w:val="center"/>
        <w:rPr>
          <w:rFonts w:ascii="Times New Roman" w:eastAsia="宋体" w:hAnsi="Times New Roman" w:cs="Times New Roman"/>
          <w:b/>
          <w:color w:val="1F2329"/>
          <w:shd w:val="clear" w:color="auto" w:fill="FFFFFF"/>
        </w:rPr>
      </w:pPr>
      <w:r w:rsidRPr="00B14849">
        <w:rPr>
          <w:rFonts w:ascii="Times New Roman" w:eastAsia="宋体" w:hAnsi="Times New Roman" w:cs="Times New Roman" w:hint="eastAsia"/>
          <w:b/>
          <w:color w:val="1F2329"/>
          <w:shd w:val="clear" w:color="auto" w:fill="FFFFFF"/>
        </w:rPr>
        <w:t>单位：全球分布式开放研究与教育学院</w:t>
      </w:r>
    </w:p>
    <w:p w:rsidR="00B14849" w:rsidRPr="00B14849" w:rsidRDefault="00B14849" w:rsidP="00B14849">
      <w:pPr>
        <w:spacing w:line="360" w:lineRule="auto"/>
        <w:ind w:firstLineChars="300" w:firstLine="632"/>
        <w:jc w:val="center"/>
        <w:rPr>
          <w:rFonts w:ascii="Times New Roman" w:eastAsia="宋体" w:hAnsi="Times New Roman" w:cs="Times New Roman"/>
          <w:b/>
          <w:color w:val="1F2329"/>
          <w:shd w:val="clear" w:color="auto" w:fill="FFFFFF"/>
        </w:rPr>
      </w:pPr>
      <w:r w:rsidRPr="00B14849">
        <w:rPr>
          <w:rFonts w:ascii="Times New Roman" w:eastAsia="宋体" w:hAnsi="Times New Roman" w:cs="Times New Roman" w:hint="eastAsia"/>
          <w:b/>
          <w:color w:val="1F2329"/>
          <w:shd w:val="clear" w:color="auto" w:fill="FFFFFF"/>
        </w:rPr>
        <w:t>（中国重庆市</w:t>
      </w:r>
      <w:r w:rsidRPr="00B14849">
        <w:rPr>
          <w:rFonts w:ascii="Times New Roman" w:eastAsia="宋体" w:hAnsi="Times New Roman" w:cs="Times New Roman"/>
          <w:b/>
          <w:color w:val="1F2329"/>
          <w:shd w:val="clear" w:color="auto" w:fill="FFFFFF"/>
        </w:rPr>
        <w:t xml:space="preserve"> </w:t>
      </w:r>
      <w:r w:rsidRPr="00B14849">
        <w:rPr>
          <w:rFonts w:ascii="Times New Roman" w:eastAsia="宋体" w:hAnsi="Times New Roman" w:cs="Times New Roman" w:hint="eastAsia"/>
          <w:b/>
          <w:color w:val="1F2329"/>
          <w:shd w:val="clear" w:color="auto" w:fill="FFFFFF"/>
        </w:rPr>
        <w:t>独立研究者）</w:t>
      </w:r>
    </w:p>
    <w:p w:rsidR="00B14849" w:rsidRPr="00B14849" w:rsidRDefault="00B14849" w:rsidP="00B14849">
      <w:pPr>
        <w:spacing w:line="360" w:lineRule="auto"/>
        <w:jc w:val="center"/>
        <w:rPr>
          <w:rFonts w:ascii="Times New Roman" w:eastAsia="宋体" w:hAnsi="Times New Roman" w:cs="Times New Roman"/>
          <w:b/>
          <w:color w:val="1F2329"/>
          <w:shd w:val="clear" w:color="auto" w:fill="FFFFFF"/>
        </w:rPr>
      </w:pPr>
      <w:r w:rsidRPr="00B14849">
        <w:rPr>
          <w:rFonts w:ascii="Times New Roman" w:eastAsia="宋体" w:hAnsi="Times New Roman" w:cs="Times New Roman" w:hint="eastAsia"/>
          <w:b/>
          <w:color w:val="1F2329"/>
          <w:shd w:val="clear" w:color="auto" w:fill="FFFFFF"/>
        </w:rPr>
        <w:t>邮箱：</w:t>
      </w:r>
      <w:r w:rsidRPr="00B14849">
        <w:rPr>
          <w:rFonts w:ascii="Times New Roman" w:eastAsia="宋体" w:hAnsi="Times New Roman" w:cs="Times New Roman"/>
          <w:b/>
          <w:color w:val="1F2329"/>
          <w:shd w:val="clear" w:color="auto" w:fill="FFFFFF"/>
        </w:rPr>
        <w:t>732414884@qq.com</w:t>
      </w:r>
    </w:p>
    <w:p w:rsidR="00B14849" w:rsidRPr="00B14849" w:rsidRDefault="00B14849" w:rsidP="00B14849">
      <w:pPr>
        <w:widowControl/>
        <w:spacing w:before="240" w:after="240" w:line="330" w:lineRule="atLeast"/>
        <w:jc w:val="center"/>
        <w:rPr>
          <w:rFonts w:ascii="微软雅黑" w:eastAsia="微软雅黑" w:hAnsi="微软雅黑" w:cs="宋体"/>
          <w:b/>
          <w:bCs/>
          <w:kern w:val="0"/>
          <w:szCs w:val="21"/>
        </w:rPr>
      </w:pPr>
      <w:r w:rsidRPr="00B14849">
        <w:rPr>
          <w:rFonts w:ascii="微软雅黑" w:eastAsia="微软雅黑" w:hAnsi="微软雅黑" w:cs="宋体" w:hint="eastAsia"/>
          <w:b/>
          <w:bCs/>
          <w:kern w:val="0"/>
          <w:szCs w:val="21"/>
        </w:rPr>
        <w:t>鸣谢：</w:t>
      </w:r>
    </w:p>
    <w:p w:rsidR="00B14849" w:rsidRPr="00B14849" w:rsidRDefault="00B14849" w:rsidP="00B14849">
      <w:pPr>
        <w:widowControl/>
        <w:spacing w:before="240" w:after="240" w:line="330" w:lineRule="atLeast"/>
        <w:jc w:val="center"/>
        <w:rPr>
          <w:rFonts w:ascii="微软雅黑" w:eastAsia="微软雅黑" w:hAnsi="微软雅黑" w:cs="宋体"/>
          <w:b/>
          <w:bCs/>
          <w:kern w:val="0"/>
          <w:szCs w:val="21"/>
        </w:rPr>
      </w:pPr>
      <w:r w:rsidRPr="00B14849">
        <w:rPr>
          <w:rFonts w:ascii="微软雅黑" w:eastAsia="微软雅黑" w:hAnsi="微软雅黑" w:cs="宋体" w:hint="eastAsia"/>
          <w:b/>
          <w:bCs/>
          <w:kern w:val="0"/>
          <w:szCs w:val="21"/>
        </w:rPr>
        <w:t>感谢SPARC数据库团队收集并公开这些高质量的观测数据。</w:t>
      </w:r>
    </w:p>
    <w:p w:rsidR="00B14849" w:rsidRPr="00B14849" w:rsidRDefault="00B14849" w:rsidP="00B14849">
      <w:pPr>
        <w:widowControl/>
        <w:spacing w:before="240" w:after="240" w:line="330" w:lineRule="atLeast"/>
        <w:jc w:val="center"/>
        <w:rPr>
          <w:rFonts w:ascii="微软雅黑" w:eastAsia="微软雅黑" w:hAnsi="微软雅黑" w:cs="宋体"/>
          <w:b/>
          <w:bCs/>
          <w:kern w:val="0"/>
          <w:szCs w:val="21"/>
        </w:rPr>
      </w:pPr>
      <w:r w:rsidRPr="00B14849">
        <w:rPr>
          <w:rFonts w:ascii="微软雅黑" w:eastAsia="微软雅黑" w:hAnsi="微软雅黑" w:cs="宋体" w:hint="eastAsia"/>
          <w:b/>
          <w:bCs/>
          <w:kern w:val="0"/>
          <w:szCs w:val="21"/>
        </w:rPr>
        <w:t>本研究未使用外部资助。</w:t>
      </w:r>
    </w:p>
    <w:p w:rsidR="00B14849" w:rsidRPr="00B14849" w:rsidRDefault="00B14849" w:rsidP="00B14849">
      <w:pPr>
        <w:widowControl/>
        <w:spacing w:before="240" w:after="240" w:line="330" w:lineRule="atLeast"/>
        <w:jc w:val="center"/>
        <w:rPr>
          <w:rFonts w:ascii="微软雅黑" w:eastAsia="微软雅黑" w:hAnsi="微软雅黑" w:cs="宋体"/>
          <w:b/>
          <w:kern w:val="0"/>
          <w:szCs w:val="21"/>
        </w:rPr>
      </w:pPr>
      <w:r w:rsidRPr="00B14849">
        <w:rPr>
          <w:rFonts w:ascii="微软雅黑" w:eastAsia="微软雅黑" w:hAnsi="微软雅黑" w:cs="宋体" w:hint="eastAsia"/>
          <w:b/>
          <w:bCs/>
          <w:kern w:val="0"/>
          <w:szCs w:val="21"/>
        </w:rPr>
        <w:t>研究素材取自《SPARC</w:t>
      </w:r>
      <w:r w:rsidRPr="00B14849">
        <w:rPr>
          <w:rFonts w:ascii="微软雅黑" w:eastAsia="微软雅黑" w:hAnsi="微软雅黑" w:cs="宋体" w:hint="eastAsia"/>
          <w:b/>
          <w:kern w:val="0"/>
          <w:szCs w:val="21"/>
        </w:rPr>
        <w:t>星系样本的旋转曲线观测数据》</w:t>
      </w:r>
    </w:p>
    <w:p w:rsidR="00B14849" w:rsidRPr="00B14849" w:rsidRDefault="00B14849" w:rsidP="00B14849">
      <w:pPr>
        <w:widowControl/>
        <w:spacing w:before="240" w:after="240" w:line="330" w:lineRule="atLeast"/>
        <w:jc w:val="center"/>
        <w:rPr>
          <w:rFonts w:ascii="微软雅黑" w:eastAsia="微软雅黑" w:hAnsi="微软雅黑" w:cs="宋体"/>
          <w:b/>
          <w:kern w:val="0"/>
          <w:szCs w:val="21"/>
        </w:rPr>
      </w:pPr>
      <w:r w:rsidRPr="00B14849">
        <w:rPr>
          <w:rFonts w:ascii="微软雅黑" w:eastAsia="微软雅黑" w:hAnsi="微软雅黑" w:cs="宋体" w:hint="eastAsia"/>
          <w:b/>
          <w:kern w:val="0"/>
          <w:szCs w:val="21"/>
        </w:rPr>
        <w:t>以下实验内容均已开源到GitHub 仓库:</w:t>
      </w:r>
    </w:p>
    <w:p w:rsidR="00B14849" w:rsidRPr="00B14849" w:rsidRDefault="006151F2" w:rsidP="00B14849">
      <w:pPr>
        <w:widowControl/>
        <w:spacing w:line="330" w:lineRule="atLeast"/>
        <w:jc w:val="center"/>
        <w:rPr>
          <w:rFonts w:ascii="微软雅黑" w:eastAsia="微软雅黑" w:hAnsi="微软雅黑" w:cs="宋体"/>
          <w:b/>
          <w:kern w:val="0"/>
          <w:szCs w:val="21"/>
        </w:rPr>
      </w:pPr>
      <w:hyperlink r:id="rId7" w:history="1">
        <w:r w:rsidR="00B14849" w:rsidRPr="00B14849">
          <w:rPr>
            <w:rStyle w:val="a5"/>
            <w:rFonts w:ascii="微软雅黑" w:eastAsia="微软雅黑" w:hAnsi="微软雅黑" w:hint="eastAsia"/>
            <w:b/>
            <w:kern w:val="0"/>
            <w:szCs w:val="21"/>
          </w:rPr>
          <w:t>https://github.com/FIUM132/Fluid-Universe-Model</w:t>
        </w:r>
      </w:hyperlink>
    </w:p>
    <w:p w:rsidR="00B14849" w:rsidRDefault="00B14849" w:rsidP="00B14849">
      <w:pPr>
        <w:widowControl/>
        <w:spacing w:line="330" w:lineRule="atLeast"/>
        <w:jc w:val="center"/>
        <w:rPr>
          <w:rFonts w:ascii="微软雅黑" w:eastAsia="微软雅黑" w:hAnsi="微软雅黑" w:cs="宋体"/>
          <w:b/>
          <w:kern w:val="0"/>
          <w:szCs w:val="21"/>
        </w:rPr>
      </w:pPr>
      <w:r w:rsidRPr="00B14849">
        <w:rPr>
          <w:rFonts w:ascii="微软雅黑" w:eastAsia="微软雅黑" w:hAnsi="微软雅黑" w:cs="宋体" w:hint="eastAsia"/>
          <w:b/>
          <w:kern w:val="0"/>
          <w:szCs w:val="21"/>
        </w:rPr>
        <w:br/>
      </w:r>
      <w:r w:rsidRPr="00B14849">
        <w:rPr>
          <w:rFonts w:ascii="微软雅黑" w:eastAsia="微软雅黑" w:hAnsi="微软雅黑" w:cs="宋体" w:hint="eastAsia"/>
          <w:b/>
          <w:bCs/>
          <w:kern w:val="0"/>
          <w:szCs w:val="21"/>
        </w:rPr>
        <w:t>日期：</w:t>
      </w:r>
      <w:r w:rsidRPr="00B14849">
        <w:rPr>
          <w:rFonts w:ascii="微软雅黑" w:eastAsia="微软雅黑" w:hAnsi="微软雅黑" w:cs="宋体" w:hint="eastAsia"/>
          <w:b/>
          <w:kern w:val="0"/>
          <w:szCs w:val="21"/>
        </w:rPr>
        <w:t> 2026年4月17日</w:t>
      </w:r>
    </w:p>
    <w:p w:rsidR="00B14849" w:rsidRDefault="00B14849" w:rsidP="00B14849">
      <w:pPr>
        <w:widowControl/>
        <w:spacing w:line="330" w:lineRule="atLeast"/>
        <w:jc w:val="center"/>
        <w:rPr>
          <w:rFonts w:ascii="微软雅黑" w:eastAsia="微软雅黑" w:hAnsi="微软雅黑" w:cs="宋体"/>
          <w:b/>
          <w:kern w:val="0"/>
          <w:szCs w:val="21"/>
        </w:rPr>
      </w:pPr>
    </w:p>
    <w:p w:rsidR="00B14849" w:rsidRPr="00B14849" w:rsidRDefault="00B14849" w:rsidP="00B14849">
      <w:pPr>
        <w:widowControl/>
        <w:spacing w:line="330" w:lineRule="atLeast"/>
        <w:jc w:val="center"/>
        <w:rPr>
          <w:rFonts w:ascii="微软雅黑" w:eastAsia="微软雅黑" w:hAnsi="微软雅黑" w:cs="宋体"/>
          <w:b/>
          <w:kern w:val="0"/>
          <w:szCs w:val="21"/>
        </w:rPr>
      </w:pPr>
    </w:p>
    <w:p w:rsidR="00B14849" w:rsidRPr="00B14849" w:rsidRDefault="00B14849" w:rsidP="00B14849">
      <w:pPr>
        <w:widowControl/>
        <w:spacing w:line="330" w:lineRule="atLeast"/>
        <w:jc w:val="center"/>
        <w:rPr>
          <w:rFonts w:ascii="微软雅黑" w:eastAsia="微软雅黑" w:hAnsi="微软雅黑" w:cs="宋体"/>
          <w:b/>
          <w:kern w:val="0"/>
          <w:szCs w:val="21"/>
        </w:rPr>
      </w:pPr>
    </w:p>
    <w:p w:rsidR="00B14849" w:rsidRDefault="00B14849" w:rsidP="00B14849">
      <w:pPr>
        <w:widowControl/>
        <w:jc w:val="center"/>
        <w:rPr>
          <w:rFonts w:ascii="宋体" w:eastAsia="宋体" w:hAnsi="宋体" w:cs="宋体"/>
          <w:b/>
          <w:kern w:val="0"/>
          <w:sz w:val="24"/>
          <w:szCs w:val="24"/>
        </w:rPr>
      </w:pPr>
      <w:r w:rsidRPr="00B14849">
        <w:rPr>
          <w:rFonts w:ascii="宋体" w:eastAsia="宋体" w:hAnsi="宋体" w:cs="宋体"/>
          <w:b/>
          <w:bCs/>
          <w:kern w:val="0"/>
          <w:sz w:val="24"/>
          <w:szCs w:val="24"/>
        </w:rPr>
        <w:t>作者贡献</w:t>
      </w:r>
      <w:r w:rsidRPr="00B14849">
        <w:rPr>
          <w:rFonts w:ascii="宋体" w:eastAsia="宋体" w:hAnsi="宋体" w:cs="宋体"/>
          <w:b/>
          <w:kern w:val="0"/>
          <w:sz w:val="24"/>
          <w:szCs w:val="24"/>
        </w:rPr>
        <w:t>：</w:t>
      </w:r>
    </w:p>
    <w:p w:rsidR="00B14849" w:rsidRDefault="00B14849" w:rsidP="00B14849">
      <w:pPr>
        <w:widowControl/>
        <w:jc w:val="center"/>
        <w:rPr>
          <w:rFonts w:ascii="宋体" w:eastAsia="宋体" w:hAnsi="宋体" w:cs="宋体"/>
          <w:b/>
          <w:kern w:val="0"/>
          <w:sz w:val="24"/>
          <w:szCs w:val="24"/>
        </w:rPr>
      </w:pPr>
      <w:r>
        <w:rPr>
          <w:rFonts w:ascii="宋体" w:eastAsia="宋体" w:hAnsi="宋体" w:cs="宋体"/>
          <w:b/>
          <w:kern w:val="0"/>
          <w:sz w:val="24"/>
          <w:szCs w:val="24"/>
        </w:rPr>
        <w:t>董小勇：提出研究思路、完成数据分析、模型拟合及论文初稿</w:t>
      </w:r>
      <w:r>
        <w:rPr>
          <w:rFonts w:ascii="宋体" w:eastAsia="宋体" w:hAnsi="宋体" w:cs="宋体" w:hint="eastAsia"/>
          <w:b/>
          <w:kern w:val="0"/>
          <w:sz w:val="24"/>
          <w:szCs w:val="24"/>
        </w:rPr>
        <w:t>.</w:t>
      </w:r>
    </w:p>
    <w:p w:rsidR="00B14849" w:rsidRPr="00B14849" w:rsidRDefault="00B14849" w:rsidP="00B14849">
      <w:pPr>
        <w:widowControl/>
        <w:jc w:val="center"/>
        <w:rPr>
          <w:rFonts w:ascii="宋体" w:eastAsia="宋体" w:hAnsi="宋体" w:cs="宋体"/>
          <w:b/>
          <w:kern w:val="0"/>
          <w:sz w:val="24"/>
          <w:szCs w:val="24"/>
        </w:rPr>
      </w:pPr>
      <w:r w:rsidRPr="00B14849">
        <w:rPr>
          <w:rFonts w:ascii="宋体" w:eastAsia="宋体" w:hAnsi="宋体" w:cs="宋体"/>
          <w:b/>
          <w:kern w:val="0"/>
          <w:sz w:val="24"/>
          <w:szCs w:val="24"/>
        </w:rPr>
        <w:t>AI辅助工具</w:t>
      </w:r>
      <w:r>
        <w:rPr>
          <w:rFonts w:ascii="宋体" w:eastAsia="宋体" w:hAnsi="宋体" w:cs="宋体" w:hint="eastAsia"/>
          <w:b/>
          <w:kern w:val="0"/>
          <w:sz w:val="24"/>
          <w:szCs w:val="24"/>
        </w:rPr>
        <w:t>：</w:t>
      </w:r>
      <w:r w:rsidRPr="00B14849">
        <w:rPr>
          <w:rFonts w:ascii="宋体" w:eastAsia="宋体" w:hAnsi="宋体" w:cs="宋体"/>
          <w:b/>
          <w:kern w:val="0"/>
          <w:sz w:val="24"/>
          <w:szCs w:val="24"/>
        </w:rPr>
        <w:t>用于部分文本的整理、润色与格式调整</w:t>
      </w:r>
      <w:r w:rsidRPr="00B14849">
        <w:rPr>
          <w:rFonts w:ascii="微软雅黑" w:eastAsia="微软雅黑" w:hAnsi="微软雅黑" w:cs="宋体" w:hint="eastAsia"/>
          <w:b/>
          <w:kern w:val="0"/>
          <w:szCs w:val="21"/>
        </w:rPr>
        <w:t>，</w:t>
      </w:r>
      <w:r w:rsidRPr="00B14849">
        <w:rPr>
          <w:rFonts w:ascii="微软雅黑" w:eastAsia="微软雅黑" w:hAnsi="微软雅黑" w:cs="宋体" w:hint="eastAsia"/>
          <w:b/>
          <w:kern w:val="0"/>
          <w:sz w:val="24"/>
          <w:szCs w:val="24"/>
        </w:rPr>
        <w:t>实验数据真实有效</w:t>
      </w:r>
      <w:r>
        <w:rPr>
          <w:rFonts w:ascii="微软雅黑" w:eastAsia="微软雅黑" w:hAnsi="微软雅黑" w:cs="宋体" w:hint="eastAsia"/>
          <w:b/>
          <w:kern w:val="0"/>
          <w:sz w:val="24"/>
          <w:szCs w:val="24"/>
        </w:rPr>
        <w:t>.</w:t>
      </w:r>
    </w:p>
    <w:p w:rsidR="00B14849" w:rsidRPr="00B14849" w:rsidRDefault="00B14849" w:rsidP="00B14849">
      <w:pPr>
        <w:widowControl/>
        <w:spacing w:before="360" w:after="360" w:line="330" w:lineRule="atLeast"/>
        <w:jc w:val="center"/>
        <w:rPr>
          <w:rFonts w:ascii="微软雅黑" w:eastAsia="微软雅黑" w:hAnsi="微软雅黑" w:cs="宋体"/>
          <w:b/>
          <w:kern w:val="0"/>
          <w:sz w:val="24"/>
          <w:szCs w:val="24"/>
        </w:rPr>
      </w:pPr>
    </w:p>
    <w:p w:rsidR="00B14849" w:rsidRDefault="00B14849" w:rsidP="00B14849">
      <w:pPr>
        <w:widowControl/>
        <w:spacing w:before="360" w:after="360" w:line="330" w:lineRule="atLeast"/>
        <w:jc w:val="left"/>
        <w:rPr>
          <w:rFonts w:ascii="微软雅黑" w:eastAsia="微软雅黑" w:hAnsi="微软雅黑" w:cs="宋体"/>
          <w:kern w:val="0"/>
          <w:szCs w:val="21"/>
        </w:rPr>
      </w:pPr>
    </w:p>
    <w:p w:rsidR="00B14849" w:rsidRDefault="00B14849" w:rsidP="00B14849">
      <w:pPr>
        <w:widowControl/>
        <w:spacing w:before="360" w:after="360" w:line="330" w:lineRule="atLeast"/>
        <w:jc w:val="left"/>
        <w:rPr>
          <w:rFonts w:ascii="微软雅黑" w:eastAsia="微软雅黑" w:hAnsi="微软雅黑" w:cs="宋体"/>
          <w:kern w:val="0"/>
          <w:szCs w:val="21"/>
        </w:rPr>
      </w:pPr>
    </w:p>
    <w:p w:rsidR="00B14849" w:rsidRDefault="00B14849" w:rsidP="00B14849">
      <w:pPr>
        <w:widowControl/>
        <w:spacing w:before="360" w:after="360" w:line="330" w:lineRule="atLeast"/>
        <w:jc w:val="left"/>
        <w:rPr>
          <w:rFonts w:ascii="微软雅黑" w:eastAsia="微软雅黑" w:hAnsi="微软雅黑" w:cs="宋体"/>
          <w:kern w:val="0"/>
          <w:szCs w:val="21"/>
        </w:rPr>
      </w:pPr>
    </w:p>
    <w:p w:rsidR="00B14849" w:rsidRDefault="006151F2" w:rsidP="00B14849">
      <w:pPr>
        <w:widowControl/>
        <w:spacing w:line="330" w:lineRule="atLeast"/>
        <w:jc w:val="center"/>
        <w:rPr>
          <w:rFonts w:ascii="微软雅黑" w:eastAsia="微软雅黑" w:hAnsi="微软雅黑" w:cs="宋体"/>
          <w:kern w:val="0"/>
          <w:szCs w:val="21"/>
        </w:rPr>
      </w:pPr>
      <w:r>
        <w:rPr>
          <w:rFonts w:ascii="微软雅黑" w:eastAsia="微软雅黑" w:hAnsi="微软雅黑" w:cs="宋体"/>
          <w:kern w:val="0"/>
          <w:szCs w:val="21"/>
        </w:rPr>
        <w:pict>
          <v:rect id="_x0000_i1025" style="width:1539.05pt;height:1.5pt" o:hralign="center" o:hrstd="t" o:hr="t" fillcolor="#a0a0a0" stroked="f"/>
        </w:pict>
      </w:r>
    </w:p>
    <w:p w:rsidR="00B14849" w:rsidRDefault="00B14849" w:rsidP="00B14849">
      <w:pPr>
        <w:widowControl/>
        <w:spacing w:before="100" w:beforeAutospacing="1" w:line="330" w:lineRule="atLeast"/>
        <w:jc w:val="left"/>
        <w:outlineLvl w:val="3"/>
        <w:rPr>
          <w:rFonts w:ascii="unset" w:eastAsia="微软雅黑" w:hAnsi="unset" w:cs="宋体" w:hint="eastAsia"/>
          <w:b/>
          <w:bCs/>
          <w:kern w:val="0"/>
          <w:szCs w:val="21"/>
        </w:rPr>
      </w:pPr>
    </w:p>
    <w:p w:rsidR="00B14849" w:rsidRDefault="00B14849" w:rsidP="00B14849">
      <w:pPr>
        <w:pStyle w:val="a6"/>
      </w:pPr>
      <w:r>
        <w:rPr>
          <w:rFonts w:hint="eastAsia"/>
        </w:rPr>
        <w:t>摘要——标度关系是理解星系形成与演化的关键探针</w:t>
      </w:r>
    </w:p>
    <w:p w:rsidR="00E95B6F" w:rsidRPr="00E95B6F" w:rsidRDefault="00E95B6F" w:rsidP="00E95B6F">
      <w:pPr>
        <w:widowControl/>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br/>
        <w:t>在“流体宇宙模型”的框架下，时空被视为一种可压缩、具有粘性的基础流体，而星系则是其中的局域稳态涡旋结构。该模型预言，星系的动力学状态与其重子物质含量之间存在内在的标度关系，且无需引入暗物质成分。为检验这一预言，本研究利用SPARC数据库的172个星系样本，对其动力学弥散参数η与总重子质量M_b之间的关系进行了系统性分析。通过严格的数据清洗（剔除拟合失败点、负拟合优度点及3σ残差异常点），最终获得114个高质量星系样本。采用加权最小二乘拟合与Bootstrap误差估计，我们发现了一个稳健的幂律标度关系：</w:t>
      </w:r>
      <w:r w:rsidRPr="00E95B6F">
        <w:rPr>
          <w:rFonts w:ascii="宋体" w:eastAsia="宋体" w:hAnsi="宋体" w:cs="宋体"/>
          <w:b/>
          <w:bCs/>
          <w:kern w:val="0"/>
          <w:sz w:val="24"/>
          <w:szCs w:val="24"/>
        </w:rPr>
        <w:t>η = (2.279 ± 0.046) × (M_b / 10¹</w:t>
      </w:r>
      <w:r w:rsidRPr="00E95B6F">
        <w:rPr>
          <w:rFonts w:ascii="MS Gothic" w:eastAsia="MS Gothic" w:hAnsi="MS Gothic" w:cs="MS Gothic" w:hint="eastAsia"/>
          <w:b/>
          <w:bCs/>
          <w:kern w:val="0"/>
          <w:sz w:val="24"/>
          <w:szCs w:val="24"/>
        </w:rPr>
        <w:t>⁰</w:t>
      </w:r>
      <w:r w:rsidRPr="00E95B6F">
        <w:rPr>
          <w:rFonts w:ascii="宋体" w:eastAsia="宋体" w:hAnsi="宋体" w:cs="宋体"/>
          <w:b/>
          <w:bCs/>
          <w:kern w:val="0"/>
          <w:sz w:val="24"/>
          <w:szCs w:val="24"/>
        </w:rPr>
        <w:t xml:space="preserve"> M</w:t>
      </w:r>
      <w:r w:rsidRPr="00E95B6F">
        <w:rPr>
          <w:rFonts w:ascii="宋体" w:eastAsia="宋体" w:hAnsi="宋体" w:cs="宋体" w:hint="eastAsia"/>
          <w:b/>
          <w:bCs/>
          <w:kern w:val="0"/>
          <w:sz w:val="24"/>
          <w:szCs w:val="24"/>
        </w:rPr>
        <w:t>⊙</w:t>
      </w:r>
      <w:r w:rsidRPr="00E95B6F">
        <w:rPr>
          <w:rFonts w:ascii="宋体" w:eastAsia="宋体" w:hAnsi="宋体" w:cs="宋体"/>
          <w:b/>
          <w:bCs/>
          <w:kern w:val="0"/>
          <w:sz w:val="24"/>
          <w:szCs w:val="24"/>
        </w:rPr>
        <w:t xml:space="preserve">)^(0.425 </w:t>
      </w:r>
      <w:r w:rsidRPr="00E95B6F">
        <w:rPr>
          <w:rFonts w:ascii="宋体" w:eastAsia="宋体" w:hAnsi="宋体" w:cs="宋体" w:hint="eastAsia"/>
          <w:b/>
          <w:bCs/>
          <w:kern w:val="0"/>
          <w:sz w:val="24"/>
          <w:szCs w:val="24"/>
        </w:rPr>
        <w:t>±</w:t>
      </w:r>
      <w:r w:rsidRPr="00E95B6F">
        <w:rPr>
          <w:rFonts w:ascii="宋体" w:eastAsia="宋体" w:hAnsi="宋体" w:cs="宋体"/>
          <w:b/>
          <w:bCs/>
          <w:kern w:val="0"/>
          <w:sz w:val="24"/>
          <w:szCs w:val="24"/>
        </w:rPr>
        <w:t xml:space="preserve"> 0.046)</w:t>
      </w:r>
      <w:r w:rsidRPr="00E95B6F">
        <w:rPr>
          <w:rFonts w:ascii="宋体" w:eastAsia="宋体" w:hAnsi="宋体" w:cs="宋体"/>
          <w:kern w:val="0"/>
          <w:sz w:val="24"/>
          <w:szCs w:val="24"/>
        </w:rPr>
        <w:t>，拟合优度R² = 0.419。该关系在流体宇宙模型中可被解释为局域涡旋动力学的自然涌现属性，为模型提供了重要的观测约束，并展示了其解释星系动力学而无须暗物质的能力。</w:t>
      </w:r>
    </w:p>
    <w:p w:rsidR="00E95B6F" w:rsidRPr="00E95B6F" w:rsidRDefault="00E95B6F" w:rsidP="00E95B6F">
      <w:pPr>
        <w:widowControl/>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b/>
          <w:bCs/>
          <w:kern w:val="0"/>
          <w:sz w:val="24"/>
          <w:szCs w:val="24"/>
        </w:rPr>
        <w:t>关键词：</w:t>
      </w:r>
      <w:r w:rsidRPr="00E95B6F">
        <w:rPr>
          <w:rFonts w:ascii="宋体" w:eastAsia="宋体" w:hAnsi="宋体" w:cs="宋体"/>
          <w:kern w:val="0"/>
          <w:sz w:val="24"/>
          <w:szCs w:val="24"/>
        </w:rPr>
        <w:t xml:space="preserve"> 流体宇宙模型；标度关系；SPARC数据库；星系动力学；重子质量；数据清洗</w:t>
      </w:r>
    </w:p>
    <w:p w:rsidR="00E95B6F" w:rsidRPr="00E95B6F" w:rsidRDefault="00E95B6F" w:rsidP="00E95B6F">
      <w:pPr>
        <w:widowControl/>
        <w:spacing w:before="100" w:beforeAutospacing="1" w:after="100" w:afterAutospacing="1"/>
        <w:jc w:val="left"/>
        <w:outlineLvl w:val="1"/>
        <w:rPr>
          <w:rFonts w:ascii="宋体" w:eastAsia="宋体" w:hAnsi="宋体" w:cs="宋体"/>
          <w:b/>
          <w:bCs/>
          <w:kern w:val="0"/>
          <w:sz w:val="36"/>
          <w:szCs w:val="36"/>
        </w:rPr>
      </w:pPr>
      <w:r w:rsidRPr="00E95B6F">
        <w:rPr>
          <w:rFonts w:ascii="宋体" w:eastAsia="宋体" w:hAnsi="宋体" w:cs="宋体"/>
          <w:b/>
          <w:bCs/>
          <w:kern w:val="0"/>
          <w:sz w:val="36"/>
          <w:szCs w:val="36"/>
        </w:rPr>
        <w:t>1. 引言：流体宇宙模型下的星系动力学</w:t>
      </w:r>
    </w:p>
    <w:p w:rsidR="00E95B6F" w:rsidRPr="00E95B6F" w:rsidRDefault="00E95B6F" w:rsidP="00E95B6F">
      <w:pPr>
        <w:widowControl/>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流体宇宙模型”提出了一种统一描述宇宙学、引力与量子力学的框架，其核心假设是时空本身为一种具有动力学粘性的可压缩流体（董，2026）。在该模型中，宏观天体（如星系）被描述为宇宙流体中的局域、自引力束缚的涡旋结构。这些涡旋的动力学特性，如旋转曲线，被认为直接源于流体自身的应力分布与涡量演化，而非由暗物质晕主导。</w:t>
      </w:r>
    </w:p>
    <w:p w:rsidR="00E95B6F" w:rsidRPr="00E95B6F" w:rsidRDefault="00E95B6F" w:rsidP="00E95B6F">
      <w:pPr>
        <w:widowControl/>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作为该模型的一个具体应用与检验，本研究聚焦于星系的一个整体动力学参数——η。参数η表征了星系内部速度场的弥散强度，与模型的“局域涡旋”强度概念相契合。模型暗示，作为涡旋“载体”的重子物质总量（M_b）应与该涡旋的动力学强度（η）存在确定的关联。探索η与M_b之间的经验关系，旨在为流体宇宙模型提供一个</w:t>
      </w:r>
      <w:r w:rsidRPr="00E95B6F">
        <w:rPr>
          <w:rFonts w:ascii="宋体" w:eastAsia="宋体" w:hAnsi="宋体" w:cs="宋体"/>
          <w:b/>
          <w:bCs/>
          <w:kern w:val="0"/>
          <w:sz w:val="24"/>
          <w:szCs w:val="24"/>
        </w:rPr>
        <w:t>定量的、基于观测的约束</w:t>
      </w:r>
      <w:r w:rsidRPr="00E95B6F">
        <w:rPr>
          <w:rFonts w:ascii="宋体" w:eastAsia="宋体" w:hAnsi="宋体" w:cs="宋体"/>
          <w:kern w:val="0"/>
          <w:sz w:val="24"/>
          <w:szCs w:val="24"/>
        </w:rPr>
        <w:t>，并检验其解释星系尺度现象的能力。</w:t>
      </w:r>
    </w:p>
    <w:p w:rsidR="00E95B6F" w:rsidRPr="00E95B6F" w:rsidRDefault="00E95B6F" w:rsidP="00E95B6F">
      <w:pPr>
        <w:widowControl/>
        <w:spacing w:before="100" w:beforeAutospacing="1" w:after="100" w:afterAutospacing="1"/>
        <w:jc w:val="left"/>
        <w:outlineLvl w:val="1"/>
        <w:rPr>
          <w:rFonts w:ascii="宋体" w:eastAsia="宋体" w:hAnsi="宋体" w:cs="宋体"/>
          <w:b/>
          <w:bCs/>
          <w:kern w:val="0"/>
          <w:sz w:val="36"/>
          <w:szCs w:val="36"/>
        </w:rPr>
      </w:pPr>
      <w:r w:rsidRPr="00E95B6F">
        <w:rPr>
          <w:rFonts w:ascii="宋体" w:eastAsia="宋体" w:hAnsi="宋体" w:cs="宋体"/>
          <w:b/>
          <w:bCs/>
          <w:kern w:val="0"/>
          <w:sz w:val="36"/>
          <w:szCs w:val="36"/>
        </w:rPr>
        <w:t>2. 数据与方法</w:t>
      </w:r>
    </w:p>
    <w:p w:rsidR="00E95B6F" w:rsidRPr="00E95B6F" w:rsidRDefault="00E95B6F" w:rsidP="00E95B6F">
      <w:pPr>
        <w:widowControl/>
        <w:spacing w:before="100" w:beforeAutospacing="1" w:after="100" w:afterAutospacing="1"/>
        <w:jc w:val="left"/>
        <w:outlineLvl w:val="2"/>
        <w:rPr>
          <w:rFonts w:ascii="宋体" w:eastAsia="宋体" w:hAnsi="宋体" w:cs="宋体"/>
          <w:b/>
          <w:bCs/>
          <w:kern w:val="0"/>
          <w:sz w:val="27"/>
          <w:szCs w:val="27"/>
        </w:rPr>
      </w:pPr>
      <w:r w:rsidRPr="00E95B6F">
        <w:rPr>
          <w:rFonts w:ascii="宋体" w:eastAsia="宋体" w:hAnsi="宋体" w:cs="宋体"/>
          <w:b/>
          <w:bCs/>
          <w:kern w:val="0"/>
          <w:sz w:val="27"/>
          <w:szCs w:val="27"/>
        </w:rPr>
        <w:t>2.1 数据来源</w:t>
      </w:r>
    </w:p>
    <w:p w:rsidR="00E95B6F" w:rsidRPr="00E95B6F" w:rsidRDefault="00E95B6F" w:rsidP="00E95B6F">
      <w:pPr>
        <w:widowControl/>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本研究数据来源于国际公认的SPARC数据库，该库提供了175个星系的精确旋转曲线数据、斯皮策太空望远镜3.6μm波段测光数据以及HI气体数据。初始样本包含172个星系（剔除了3个数据不完整的星系）。</w:t>
      </w:r>
    </w:p>
    <w:p w:rsidR="00E95B6F" w:rsidRPr="00E95B6F" w:rsidRDefault="00E95B6F" w:rsidP="00E95B6F">
      <w:pPr>
        <w:widowControl/>
        <w:spacing w:before="100" w:beforeAutospacing="1" w:after="100" w:afterAutospacing="1"/>
        <w:jc w:val="left"/>
        <w:outlineLvl w:val="2"/>
        <w:rPr>
          <w:rFonts w:ascii="宋体" w:eastAsia="宋体" w:hAnsi="宋体" w:cs="宋体"/>
          <w:b/>
          <w:bCs/>
          <w:kern w:val="0"/>
          <w:sz w:val="27"/>
          <w:szCs w:val="27"/>
        </w:rPr>
      </w:pPr>
      <w:r w:rsidRPr="00E95B6F">
        <w:rPr>
          <w:rFonts w:ascii="宋体" w:eastAsia="宋体" w:hAnsi="宋体" w:cs="宋体"/>
          <w:b/>
          <w:bCs/>
          <w:kern w:val="0"/>
          <w:sz w:val="27"/>
          <w:szCs w:val="27"/>
        </w:rPr>
        <w:t>2.2 关键物理量定义</w:t>
      </w:r>
    </w:p>
    <w:p w:rsidR="00E95B6F" w:rsidRPr="00E95B6F" w:rsidRDefault="00E95B6F" w:rsidP="00E95B6F">
      <w:pPr>
        <w:widowControl/>
        <w:numPr>
          <w:ilvl w:val="0"/>
          <w:numId w:val="44"/>
        </w:numPr>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b/>
          <w:bCs/>
          <w:kern w:val="0"/>
          <w:sz w:val="24"/>
          <w:szCs w:val="24"/>
        </w:rPr>
        <w:t>总重子质量 (M_b)</w:t>
      </w:r>
      <w:r w:rsidRPr="00E95B6F">
        <w:rPr>
          <w:rFonts w:ascii="宋体" w:eastAsia="宋体" w:hAnsi="宋体" w:cs="宋体"/>
          <w:kern w:val="0"/>
          <w:sz w:val="24"/>
          <w:szCs w:val="24"/>
        </w:rPr>
        <w:t>：由SPARC数据提供的恒星质量与HI气体质量之和，作为星系“涡旋”中重子物质的度量。</w:t>
      </w:r>
    </w:p>
    <w:p w:rsidR="00E95B6F" w:rsidRPr="00E95B6F" w:rsidRDefault="00E95B6F" w:rsidP="00E95B6F">
      <w:pPr>
        <w:widowControl/>
        <w:numPr>
          <w:ilvl w:val="0"/>
          <w:numId w:val="44"/>
        </w:numPr>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b/>
          <w:bCs/>
          <w:kern w:val="0"/>
          <w:sz w:val="24"/>
          <w:szCs w:val="24"/>
        </w:rPr>
        <w:t>动力学弥散参数 (η)</w:t>
      </w:r>
      <w:r w:rsidRPr="00E95B6F">
        <w:rPr>
          <w:rFonts w:ascii="宋体" w:eastAsia="宋体" w:hAnsi="宋体" w:cs="宋体"/>
          <w:kern w:val="0"/>
          <w:sz w:val="24"/>
          <w:szCs w:val="24"/>
        </w:rPr>
        <w:t>：通过对星系旋转曲线进行特定模型拟合得到的一个特征参数，其量纲为(km/s)²，反映了星系整体的动力学状态强度。</w:t>
      </w:r>
    </w:p>
    <w:p w:rsidR="00E95B6F" w:rsidRPr="00E95B6F" w:rsidRDefault="00E95B6F" w:rsidP="00E95B6F">
      <w:pPr>
        <w:widowControl/>
        <w:spacing w:before="100" w:beforeAutospacing="1" w:after="100" w:afterAutospacing="1"/>
        <w:jc w:val="left"/>
        <w:outlineLvl w:val="2"/>
        <w:rPr>
          <w:rFonts w:ascii="宋体" w:eastAsia="宋体" w:hAnsi="宋体" w:cs="宋体"/>
          <w:b/>
          <w:bCs/>
          <w:kern w:val="0"/>
          <w:sz w:val="27"/>
          <w:szCs w:val="27"/>
        </w:rPr>
      </w:pPr>
      <w:r w:rsidRPr="00E95B6F">
        <w:rPr>
          <w:rFonts w:ascii="宋体" w:eastAsia="宋体" w:hAnsi="宋体" w:cs="宋体"/>
          <w:b/>
          <w:bCs/>
          <w:kern w:val="0"/>
          <w:sz w:val="27"/>
          <w:szCs w:val="27"/>
        </w:rPr>
        <w:t>2.3 数据清洗流程</w:t>
      </w:r>
    </w:p>
    <w:p w:rsidR="00E95B6F" w:rsidRPr="00E95B6F" w:rsidRDefault="00E95B6F" w:rsidP="00E95B6F">
      <w:pPr>
        <w:widowControl/>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为确保分析结果反映真实的物理关系而非数据缺陷，我们执行了严格的三步清洗流程：</w:t>
      </w:r>
    </w:p>
    <w:p w:rsidR="00E95B6F" w:rsidRPr="00E95B6F" w:rsidRDefault="00E95B6F" w:rsidP="00E95B6F">
      <w:pPr>
        <w:widowControl/>
        <w:numPr>
          <w:ilvl w:val="0"/>
          <w:numId w:val="45"/>
        </w:numPr>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b/>
          <w:bCs/>
          <w:kern w:val="0"/>
          <w:sz w:val="24"/>
          <w:szCs w:val="24"/>
        </w:rPr>
        <w:t>剔除拟合失败点</w:t>
      </w:r>
      <w:r w:rsidRPr="00E95B6F">
        <w:rPr>
          <w:rFonts w:ascii="宋体" w:eastAsia="宋体" w:hAnsi="宋体" w:cs="宋体"/>
          <w:kern w:val="0"/>
          <w:sz w:val="24"/>
          <w:szCs w:val="24"/>
        </w:rPr>
        <w:t>：移除η被标记为默认无效值（100 km²/s²）的星系。</w:t>
      </w:r>
    </w:p>
    <w:p w:rsidR="00E95B6F" w:rsidRPr="00E95B6F" w:rsidRDefault="00E95B6F" w:rsidP="00E95B6F">
      <w:pPr>
        <w:widowControl/>
        <w:numPr>
          <w:ilvl w:val="0"/>
          <w:numId w:val="45"/>
        </w:numPr>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b/>
          <w:bCs/>
          <w:kern w:val="0"/>
          <w:sz w:val="24"/>
          <w:szCs w:val="24"/>
        </w:rPr>
        <w:t>剔除低质量拟合点</w:t>
      </w:r>
      <w:r w:rsidRPr="00E95B6F">
        <w:rPr>
          <w:rFonts w:ascii="宋体" w:eastAsia="宋体" w:hAnsi="宋体" w:cs="宋体"/>
          <w:kern w:val="0"/>
          <w:sz w:val="24"/>
          <w:szCs w:val="24"/>
        </w:rPr>
        <w:t>：移除旋转曲线拟合优度R² &lt; 0的星系，这些拟合未收敛或完全无效。</w:t>
      </w:r>
    </w:p>
    <w:p w:rsidR="00E95B6F" w:rsidRPr="00E95B6F" w:rsidRDefault="00E95B6F" w:rsidP="00E95B6F">
      <w:pPr>
        <w:widowControl/>
        <w:numPr>
          <w:ilvl w:val="0"/>
          <w:numId w:val="45"/>
        </w:numPr>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b/>
          <w:bCs/>
          <w:kern w:val="0"/>
          <w:sz w:val="24"/>
          <w:szCs w:val="24"/>
        </w:rPr>
        <w:t>剔除极端离群点</w:t>
      </w:r>
      <w:r w:rsidRPr="00E95B6F">
        <w:rPr>
          <w:rFonts w:ascii="宋体" w:eastAsia="宋体" w:hAnsi="宋体" w:cs="宋体"/>
          <w:kern w:val="0"/>
          <w:sz w:val="24"/>
          <w:szCs w:val="24"/>
        </w:rPr>
        <w:t>：对剩余样本进行初步线性拟合，计算残差，并移除偏离拟合线超过3倍标准差的极端离群点（3σ原则）。</w:t>
      </w:r>
      <w:r w:rsidRPr="00E95B6F">
        <w:rPr>
          <w:rFonts w:ascii="宋体" w:eastAsia="宋体" w:hAnsi="宋体" w:cs="宋体"/>
          <w:kern w:val="0"/>
          <w:sz w:val="24"/>
          <w:szCs w:val="24"/>
        </w:rPr>
        <w:br/>
        <w:t>最终获得一个包含</w:t>
      </w:r>
      <w:r w:rsidRPr="00E95B6F">
        <w:rPr>
          <w:rFonts w:ascii="宋体" w:eastAsia="宋体" w:hAnsi="宋体" w:cs="宋体"/>
          <w:b/>
          <w:bCs/>
          <w:kern w:val="0"/>
          <w:sz w:val="24"/>
          <w:szCs w:val="24"/>
        </w:rPr>
        <w:t>114个星系</w:t>
      </w:r>
      <w:r w:rsidRPr="00E95B6F">
        <w:rPr>
          <w:rFonts w:ascii="宋体" w:eastAsia="宋体" w:hAnsi="宋体" w:cs="宋体"/>
          <w:kern w:val="0"/>
          <w:sz w:val="24"/>
          <w:szCs w:val="24"/>
        </w:rPr>
        <w:t>的洁净、高可靠性样本。</w:t>
      </w:r>
    </w:p>
    <w:p w:rsidR="00E95B6F" w:rsidRPr="00E95B6F" w:rsidRDefault="00E95B6F" w:rsidP="00E95B6F">
      <w:pPr>
        <w:widowControl/>
        <w:spacing w:before="100" w:beforeAutospacing="1" w:after="100" w:afterAutospacing="1"/>
        <w:jc w:val="left"/>
        <w:outlineLvl w:val="2"/>
        <w:rPr>
          <w:rFonts w:ascii="宋体" w:eastAsia="宋体" w:hAnsi="宋体" w:cs="宋体"/>
          <w:b/>
          <w:bCs/>
          <w:kern w:val="0"/>
          <w:sz w:val="27"/>
          <w:szCs w:val="27"/>
        </w:rPr>
      </w:pPr>
      <w:r w:rsidRPr="00E95B6F">
        <w:rPr>
          <w:rFonts w:ascii="宋体" w:eastAsia="宋体" w:hAnsi="宋体" w:cs="宋体"/>
          <w:b/>
          <w:bCs/>
          <w:kern w:val="0"/>
          <w:sz w:val="27"/>
          <w:szCs w:val="27"/>
        </w:rPr>
        <w:t>2.4 拟合与误差分析方法</w:t>
      </w:r>
      <w:bookmarkStart w:id="0" w:name="_GoBack"/>
      <w:bookmarkEnd w:id="0"/>
    </w:p>
    <w:p w:rsidR="00E95B6F" w:rsidRPr="00E95B6F" w:rsidRDefault="007B0CDC" w:rsidP="007B0CDC">
      <w:pPr>
        <w:widowControl/>
        <w:spacing w:before="100" w:beforeAutospacing="1" w:after="100" w:afterAutospacing="1"/>
        <w:jc w:val="left"/>
        <w:rPr>
          <w:rFonts w:ascii="宋体" w:eastAsia="宋体" w:hAnsi="宋体" w:cs="宋体"/>
          <w:kern w:val="0"/>
          <w:sz w:val="24"/>
          <w:szCs w:val="24"/>
        </w:rPr>
      </w:pPr>
      <w:r w:rsidRPr="007B0CDC">
        <w:rPr>
          <w:rFonts w:ascii="Arial" w:eastAsia="宋体" w:hAnsi="Arial" w:cs="Arial"/>
          <w:color w:val="1F2329"/>
          <w:kern w:val="0"/>
          <w:sz w:val="24"/>
          <w:szCs w:val="24"/>
          <w:shd w:val="clear" w:color="auto" w:fill="FFFFFF"/>
        </w:rPr>
        <w:t>权重取拟合优度</w:t>
      </w:r>
      <w:r>
        <w:rPr>
          <w:rFonts w:ascii="Arial" w:eastAsia="宋体" w:hAnsi="Arial" w:cs="Arial"/>
          <w:color w:val="1F2329"/>
          <w:kern w:val="0"/>
          <w:sz w:val="24"/>
          <w:szCs w:val="24"/>
          <w:shd w:val="clear" w:color="auto" w:fill="FFFFFF"/>
        </w:rPr>
        <w:t xml:space="preserve"> R</w:t>
      </w:r>
      <w:r w:rsidRPr="007B0CDC">
        <w:rPr>
          <w:rFonts w:ascii="Arial" w:eastAsia="宋体" w:hAnsi="Arial" w:cs="Arial" w:hint="eastAsia"/>
          <w:color w:val="1F2329"/>
          <w:kern w:val="0"/>
          <w:sz w:val="28"/>
          <w:szCs w:val="28"/>
          <w:shd w:val="clear" w:color="auto" w:fill="FFFFFF"/>
        </w:rPr>
        <w:t>²</w:t>
      </w:r>
      <w:r w:rsidRPr="007B0CDC">
        <w:rPr>
          <w:rFonts w:ascii="Arial" w:eastAsia="宋体" w:hAnsi="Arial" w:cs="Arial"/>
          <w:color w:val="1F2329"/>
          <w:kern w:val="0"/>
          <w:sz w:val="24"/>
          <w:szCs w:val="24"/>
          <w:shd w:val="clear" w:color="auto" w:fill="FFFFFF"/>
        </w:rPr>
        <w:t>，保证高质量旋转曲线贡献更大。</w:t>
      </w:r>
      <w:r w:rsidR="00E95B6F" w:rsidRPr="00E95B6F">
        <w:rPr>
          <w:rFonts w:ascii="宋体" w:eastAsia="宋体" w:hAnsi="宋体" w:cs="宋体"/>
          <w:kern w:val="0"/>
          <w:sz w:val="24"/>
          <w:szCs w:val="24"/>
        </w:rPr>
        <w:t>我们假设η与M_b之间存在幂律关系：η = C · M_b^k。在对数空间下，该关系转化为线性形式：log</w:t>
      </w:r>
      <w:r w:rsidR="00E95B6F" w:rsidRPr="00E95B6F">
        <w:rPr>
          <w:rFonts w:ascii="Times New Roman" w:eastAsia="宋体" w:hAnsi="Times New Roman" w:cs="Times New Roman"/>
          <w:kern w:val="0"/>
          <w:sz w:val="24"/>
          <w:szCs w:val="24"/>
        </w:rPr>
        <w:t>₁₀</w:t>
      </w:r>
      <w:r w:rsidR="00E95B6F" w:rsidRPr="00E95B6F">
        <w:rPr>
          <w:rFonts w:ascii="宋体" w:eastAsia="宋体" w:hAnsi="宋体" w:cs="宋体"/>
          <w:kern w:val="0"/>
          <w:sz w:val="24"/>
          <w:szCs w:val="24"/>
        </w:rPr>
        <w:t xml:space="preserve"> </w:t>
      </w:r>
      <w:r w:rsidR="00E95B6F" w:rsidRPr="00E95B6F">
        <w:rPr>
          <w:rFonts w:ascii="宋体" w:eastAsia="宋体" w:hAnsi="宋体" w:cs="宋体" w:hint="eastAsia"/>
          <w:kern w:val="0"/>
          <w:sz w:val="24"/>
          <w:szCs w:val="24"/>
        </w:rPr>
        <w:t>η</w:t>
      </w:r>
      <w:r w:rsidR="00E95B6F" w:rsidRPr="00E95B6F">
        <w:rPr>
          <w:rFonts w:ascii="宋体" w:eastAsia="宋体" w:hAnsi="宋体" w:cs="宋体"/>
          <w:kern w:val="0"/>
          <w:sz w:val="24"/>
          <w:szCs w:val="24"/>
        </w:rPr>
        <w:t xml:space="preserve"> = k </w:t>
      </w:r>
      <w:r w:rsidR="00E95B6F" w:rsidRPr="00E95B6F">
        <w:rPr>
          <w:rFonts w:ascii="宋体" w:eastAsia="宋体" w:hAnsi="宋体" w:cs="宋体" w:hint="eastAsia"/>
          <w:kern w:val="0"/>
          <w:sz w:val="24"/>
          <w:szCs w:val="24"/>
        </w:rPr>
        <w:t>·</w:t>
      </w:r>
      <w:r w:rsidR="00E95B6F" w:rsidRPr="00E95B6F">
        <w:rPr>
          <w:rFonts w:ascii="宋体" w:eastAsia="宋体" w:hAnsi="宋体" w:cs="宋体"/>
          <w:kern w:val="0"/>
          <w:sz w:val="24"/>
          <w:szCs w:val="24"/>
        </w:rPr>
        <w:t xml:space="preserve"> log</w:t>
      </w:r>
      <w:r w:rsidR="00E95B6F" w:rsidRPr="00E95B6F">
        <w:rPr>
          <w:rFonts w:ascii="Times New Roman" w:eastAsia="宋体" w:hAnsi="Times New Roman" w:cs="Times New Roman"/>
          <w:kern w:val="0"/>
          <w:sz w:val="24"/>
          <w:szCs w:val="24"/>
        </w:rPr>
        <w:t>₁₀</w:t>
      </w:r>
      <w:r w:rsidR="00E95B6F" w:rsidRPr="00E95B6F">
        <w:rPr>
          <w:rFonts w:ascii="宋体" w:eastAsia="宋体" w:hAnsi="宋体" w:cs="宋体"/>
          <w:kern w:val="0"/>
          <w:sz w:val="24"/>
          <w:szCs w:val="24"/>
        </w:rPr>
        <w:t xml:space="preserve"> M_b + log</w:t>
      </w:r>
      <w:r w:rsidR="00E95B6F" w:rsidRPr="00E95B6F">
        <w:rPr>
          <w:rFonts w:ascii="Times New Roman" w:eastAsia="宋体" w:hAnsi="Times New Roman" w:cs="Times New Roman"/>
          <w:kern w:val="0"/>
          <w:sz w:val="24"/>
          <w:szCs w:val="24"/>
        </w:rPr>
        <w:t>₁₀</w:t>
      </w:r>
      <w:r w:rsidR="00E95B6F" w:rsidRPr="00E95B6F">
        <w:rPr>
          <w:rFonts w:ascii="宋体" w:eastAsia="宋体" w:hAnsi="宋体" w:cs="宋体"/>
          <w:kern w:val="0"/>
          <w:sz w:val="24"/>
          <w:szCs w:val="24"/>
        </w:rPr>
        <w:t xml:space="preserve"> C。</w:t>
      </w:r>
    </w:p>
    <w:p w:rsidR="00E95B6F" w:rsidRPr="00E95B6F" w:rsidRDefault="00E95B6F" w:rsidP="00E95B6F">
      <w:pPr>
        <w:widowControl/>
        <w:numPr>
          <w:ilvl w:val="0"/>
          <w:numId w:val="46"/>
        </w:numPr>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b/>
          <w:bCs/>
          <w:kern w:val="0"/>
          <w:sz w:val="24"/>
          <w:szCs w:val="24"/>
        </w:rPr>
        <w:t>拟合方法</w:t>
      </w:r>
      <w:r w:rsidRPr="00E95B6F">
        <w:rPr>
          <w:rFonts w:ascii="宋体" w:eastAsia="宋体" w:hAnsi="宋体" w:cs="宋体"/>
          <w:kern w:val="0"/>
          <w:sz w:val="24"/>
          <w:szCs w:val="24"/>
        </w:rPr>
        <w:t>：采用</w:t>
      </w:r>
      <w:r w:rsidRPr="00E95B6F">
        <w:rPr>
          <w:rFonts w:ascii="宋体" w:eastAsia="宋体" w:hAnsi="宋体" w:cs="宋体"/>
          <w:b/>
          <w:bCs/>
          <w:kern w:val="0"/>
          <w:sz w:val="24"/>
          <w:szCs w:val="24"/>
        </w:rPr>
        <w:t>加权最小二乘法</w:t>
      </w:r>
      <w:r w:rsidRPr="00E95B6F">
        <w:rPr>
          <w:rFonts w:ascii="宋体" w:eastAsia="宋体" w:hAnsi="宋体" w:cs="宋体"/>
          <w:kern w:val="0"/>
          <w:sz w:val="24"/>
          <w:szCs w:val="24"/>
        </w:rPr>
        <w:t>。权重取为每个星系旋转曲线拟合的R²值，使高质量数据的贡献更大。</w:t>
      </w:r>
    </w:p>
    <w:p w:rsidR="00E95B6F" w:rsidRPr="00E95B6F" w:rsidRDefault="00E95B6F" w:rsidP="00E95B6F">
      <w:pPr>
        <w:widowControl/>
        <w:numPr>
          <w:ilvl w:val="0"/>
          <w:numId w:val="46"/>
        </w:numPr>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b/>
          <w:bCs/>
          <w:kern w:val="0"/>
          <w:sz w:val="24"/>
          <w:szCs w:val="24"/>
        </w:rPr>
        <w:t>误差估计</w:t>
      </w:r>
      <w:r w:rsidRPr="00E95B6F">
        <w:rPr>
          <w:rFonts w:ascii="宋体" w:eastAsia="宋体" w:hAnsi="宋体" w:cs="宋体"/>
          <w:kern w:val="0"/>
          <w:sz w:val="24"/>
          <w:szCs w:val="24"/>
        </w:rPr>
        <w:t>：采用</w:t>
      </w:r>
      <w:r w:rsidRPr="00E95B6F">
        <w:rPr>
          <w:rFonts w:ascii="宋体" w:eastAsia="宋体" w:hAnsi="宋体" w:cs="宋体"/>
          <w:b/>
          <w:bCs/>
          <w:kern w:val="0"/>
          <w:sz w:val="24"/>
          <w:szCs w:val="24"/>
        </w:rPr>
        <w:t>Bootstrap重采样法</w:t>
      </w:r>
      <w:r w:rsidRPr="00E95B6F">
        <w:rPr>
          <w:rFonts w:ascii="宋体" w:eastAsia="宋体" w:hAnsi="宋体" w:cs="宋体"/>
          <w:kern w:val="0"/>
          <w:sz w:val="24"/>
          <w:szCs w:val="24"/>
        </w:rPr>
        <w:t>（1000次迭代）估计斜率k与截距log</w:t>
      </w:r>
      <w:r w:rsidRPr="00E95B6F">
        <w:rPr>
          <w:rFonts w:ascii="Times New Roman" w:eastAsia="宋体" w:hAnsi="Times New Roman" w:cs="Times New Roman"/>
          <w:kern w:val="0"/>
          <w:sz w:val="24"/>
          <w:szCs w:val="24"/>
        </w:rPr>
        <w:t>₁₀</w:t>
      </w:r>
      <w:r w:rsidRPr="00E95B6F">
        <w:rPr>
          <w:rFonts w:ascii="宋体" w:eastAsia="宋体" w:hAnsi="宋体" w:cs="宋体"/>
          <w:kern w:val="0"/>
          <w:sz w:val="24"/>
          <w:szCs w:val="24"/>
        </w:rPr>
        <w:t xml:space="preserve"> C的误差，该方法不依赖于误差分布假设，结果更稳健。</w:t>
      </w:r>
    </w:p>
    <w:p w:rsidR="00E95B6F" w:rsidRPr="00E95B6F" w:rsidRDefault="00E95B6F" w:rsidP="00E95B6F">
      <w:pPr>
        <w:widowControl/>
        <w:numPr>
          <w:ilvl w:val="0"/>
          <w:numId w:val="46"/>
        </w:numPr>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b/>
          <w:bCs/>
          <w:kern w:val="0"/>
          <w:sz w:val="24"/>
          <w:szCs w:val="24"/>
        </w:rPr>
        <w:t>模型诊断</w:t>
      </w:r>
      <w:r w:rsidRPr="00E95B6F">
        <w:rPr>
          <w:rFonts w:ascii="宋体" w:eastAsia="宋体" w:hAnsi="宋体" w:cs="宋体"/>
          <w:kern w:val="0"/>
          <w:sz w:val="24"/>
          <w:szCs w:val="24"/>
        </w:rPr>
        <w:t>：通过分析拟合残差随log</w:t>
      </w:r>
      <w:r w:rsidRPr="00E95B6F">
        <w:rPr>
          <w:rFonts w:ascii="Times New Roman" w:eastAsia="宋体" w:hAnsi="Times New Roman" w:cs="Times New Roman"/>
          <w:kern w:val="0"/>
          <w:sz w:val="24"/>
          <w:szCs w:val="24"/>
        </w:rPr>
        <w:t>₁₀</w:t>
      </w:r>
      <w:r w:rsidRPr="00E95B6F">
        <w:rPr>
          <w:rFonts w:ascii="宋体" w:eastAsia="宋体" w:hAnsi="宋体" w:cs="宋体"/>
          <w:kern w:val="0"/>
          <w:sz w:val="24"/>
          <w:szCs w:val="24"/>
        </w:rPr>
        <w:t xml:space="preserve"> M_b的分布，检验模型的充分性与线性假设的合理性。</w:t>
      </w:r>
    </w:p>
    <w:p w:rsidR="00E95B6F" w:rsidRPr="00E95B6F" w:rsidRDefault="00E95B6F" w:rsidP="00E95B6F">
      <w:pPr>
        <w:widowControl/>
        <w:spacing w:before="100" w:beforeAutospacing="1" w:after="100" w:afterAutospacing="1"/>
        <w:jc w:val="left"/>
        <w:outlineLvl w:val="1"/>
        <w:rPr>
          <w:rFonts w:ascii="宋体" w:eastAsia="宋体" w:hAnsi="宋体" w:cs="宋体"/>
          <w:b/>
          <w:bCs/>
          <w:kern w:val="0"/>
          <w:sz w:val="36"/>
          <w:szCs w:val="36"/>
        </w:rPr>
      </w:pPr>
      <w:r w:rsidRPr="00E95B6F">
        <w:rPr>
          <w:rFonts w:ascii="宋体" w:eastAsia="宋体" w:hAnsi="宋体" w:cs="宋体"/>
          <w:b/>
          <w:bCs/>
          <w:kern w:val="0"/>
          <w:sz w:val="36"/>
          <w:szCs w:val="36"/>
        </w:rPr>
        <w:t>3. 结果</w:t>
      </w:r>
    </w:p>
    <w:p w:rsidR="00E95B6F" w:rsidRPr="00E95B6F" w:rsidRDefault="00E95B6F" w:rsidP="00E95B6F">
      <w:pPr>
        <w:widowControl/>
        <w:spacing w:before="100" w:beforeAutospacing="1" w:after="100" w:afterAutospacing="1"/>
        <w:jc w:val="left"/>
        <w:outlineLvl w:val="2"/>
        <w:rPr>
          <w:rFonts w:ascii="宋体" w:eastAsia="宋体" w:hAnsi="宋体" w:cs="宋体"/>
          <w:b/>
          <w:bCs/>
          <w:kern w:val="0"/>
          <w:sz w:val="27"/>
          <w:szCs w:val="27"/>
        </w:rPr>
      </w:pPr>
      <w:r w:rsidRPr="00E95B6F">
        <w:rPr>
          <w:rFonts w:ascii="宋体" w:eastAsia="宋体" w:hAnsi="宋体" w:cs="宋体"/>
          <w:b/>
          <w:bCs/>
          <w:kern w:val="0"/>
          <w:sz w:val="27"/>
          <w:szCs w:val="27"/>
        </w:rPr>
        <w:t>3.1 标度关系的发现</w:t>
      </w:r>
    </w:p>
    <w:p w:rsidR="00E95B6F" w:rsidRPr="00E95B6F" w:rsidRDefault="00E95B6F" w:rsidP="00E95B6F">
      <w:pPr>
        <w:widowControl/>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基于114个星系的最终样本，我们得到了高度显著的幂律标度关系。最佳拟合结果为：</w:t>
      </w:r>
      <w:r w:rsidRPr="00E95B6F">
        <w:rPr>
          <w:rFonts w:ascii="宋体" w:eastAsia="宋体" w:hAnsi="宋体" w:cs="宋体"/>
          <w:kern w:val="0"/>
          <w:sz w:val="24"/>
          <w:szCs w:val="24"/>
        </w:rPr>
        <w:br/>
        <w:t>η = (2.279 ± 0.046) × (M_b / 10¹</w:t>
      </w:r>
      <w:r w:rsidRPr="00E95B6F">
        <w:rPr>
          <w:rFonts w:ascii="MS Gothic" w:eastAsia="MS Gothic" w:hAnsi="MS Gothic" w:cs="MS Gothic" w:hint="eastAsia"/>
          <w:kern w:val="0"/>
          <w:sz w:val="24"/>
          <w:szCs w:val="24"/>
        </w:rPr>
        <w:t>⁰</w:t>
      </w:r>
      <w:r w:rsidRPr="00E95B6F">
        <w:rPr>
          <w:rFonts w:ascii="宋体" w:eastAsia="宋体" w:hAnsi="宋体" w:cs="宋体"/>
          <w:kern w:val="0"/>
          <w:sz w:val="24"/>
          <w:szCs w:val="24"/>
        </w:rPr>
        <w:t xml:space="preserve"> M</w:t>
      </w:r>
      <w:r w:rsidRPr="00E95B6F">
        <w:rPr>
          <w:rFonts w:ascii="宋体" w:eastAsia="宋体" w:hAnsi="宋体" w:cs="宋体" w:hint="eastAsia"/>
          <w:kern w:val="0"/>
          <w:sz w:val="24"/>
          <w:szCs w:val="24"/>
        </w:rPr>
        <w:t>⊙</w:t>
      </w:r>
      <w:r w:rsidRPr="00E95B6F">
        <w:rPr>
          <w:rFonts w:ascii="宋体" w:eastAsia="宋体" w:hAnsi="宋体" w:cs="宋体"/>
          <w:kern w:val="0"/>
          <w:sz w:val="24"/>
          <w:szCs w:val="24"/>
        </w:rPr>
        <w:t xml:space="preserve">)^(0.425 </w:t>
      </w:r>
      <w:r w:rsidRPr="00E95B6F">
        <w:rPr>
          <w:rFonts w:ascii="宋体" w:eastAsia="宋体" w:hAnsi="宋体" w:cs="宋体" w:hint="eastAsia"/>
          <w:kern w:val="0"/>
          <w:sz w:val="24"/>
          <w:szCs w:val="24"/>
        </w:rPr>
        <w:t>±</w:t>
      </w:r>
      <w:r w:rsidRPr="00E95B6F">
        <w:rPr>
          <w:rFonts w:ascii="宋体" w:eastAsia="宋体" w:hAnsi="宋体" w:cs="宋体"/>
          <w:kern w:val="0"/>
          <w:sz w:val="24"/>
          <w:szCs w:val="24"/>
        </w:rPr>
        <w:t xml:space="preserve"> 0.046)</w:t>
      </w:r>
      <w:r w:rsidRPr="00E95B6F">
        <w:rPr>
          <w:rFonts w:ascii="宋体" w:eastAsia="宋体" w:hAnsi="宋体" w:cs="宋体"/>
          <w:kern w:val="0"/>
          <w:sz w:val="24"/>
          <w:szCs w:val="24"/>
        </w:rPr>
        <w:br/>
        <w:t>对应的对数线性关系为：</w:t>
      </w:r>
      <w:r w:rsidRPr="00E95B6F">
        <w:rPr>
          <w:rFonts w:ascii="宋体" w:eastAsia="宋体" w:hAnsi="宋体" w:cs="宋体"/>
          <w:kern w:val="0"/>
          <w:sz w:val="24"/>
          <w:szCs w:val="24"/>
        </w:rPr>
        <w:br/>
        <w:t>log</w:t>
      </w:r>
      <w:r w:rsidRPr="00E95B6F">
        <w:rPr>
          <w:rFonts w:ascii="Times New Roman" w:eastAsia="宋体" w:hAnsi="Times New Roman" w:cs="Times New Roman"/>
          <w:kern w:val="0"/>
          <w:sz w:val="24"/>
          <w:szCs w:val="24"/>
        </w:rPr>
        <w:t>₁₀</w:t>
      </w:r>
      <w:r w:rsidRPr="00E95B6F">
        <w:rPr>
          <w:rFonts w:ascii="宋体" w:eastAsia="宋体" w:hAnsi="宋体" w:cs="宋体"/>
          <w:kern w:val="0"/>
          <w:sz w:val="24"/>
          <w:szCs w:val="24"/>
        </w:rPr>
        <w:t xml:space="preserve"> (</w:t>
      </w:r>
      <w:r w:rsidRPr="00E95B6F">
        <w:rPr>
          <w:rFonts w:ascii="宋体" w:eastAsia="宋体" w:hAnsi="宋体" w:cs="宋体" w:hint="eastAsia"/>
          <w:kern w:val="0"/>
          <w:sz w:val="24"/>
          <w:szCs w:val="24"/>
        </w:rPr>
        <w:t>η</w:t>
      </w:r>
      <w:r w:rsidRPr="00E95B6F">
        <w:rPr>
          <w:rFonts w:ascii="宋体" w:eastAsia="宋体" w:hAnsi="宋体" w:cs="宋体"/>
          <w:kern w:val="0"/>
          <w:sz w:val="24"/>
          <w:szCs w:val="24"/>
        </w:rPr>
        <w:t xml:space="preserve"> / km</w:t>
      </w:r>
      <w:r w:rsidRPr="00E95B6F">
        <w:rPr>
          <w:rFonts w:ascii="宋体" w:eastAsia="宋体" w:hAnsi="宋体" w:cs="宋体" w:hint="eastAsia"/>
          <w:kern w:val="0"/>
          <w:sz w:val="24"/>
          <w:szCs w:val="24"/>
        </w:rPr>
        <w:t>²</w:t>
      </w:r>
      <w:r w:rsidRPr="00E95B6F">
        <w:rPr>
          <w:rFonts w:ascii="宋体" w:eastAsia="宋体" w:hAnsi="宋体" w:cs="宋体"/>
          <w:kern w:val="0"/>
          <w:sz w:val="24"/>
          <w:szCs w:val="24"/>
        </w:rPr>
        <w:t xml:space="preserve"> s</w:t>
      </w:r>
      <w:r w:rsidRPr="00E95B6F">
        <w:rPr>
          <w:rFonts w:ascii="MS Gothic" w:eastAsia="MS Gothic" w:hAnsi="MS Gothic" w:cs="MS Gothic" w:hint="eastAsia"/>
          <w:kern w:val="0"/>
          <w:sz w:val="24"/>
          <w:szCs w:val="24"/>
        </w:rPr>
        <w:t>⁻</w:t>
      </w:r>
      <w:r w:rsidRPr="00E95B6F">
        <w:rPr>
          <w:rFonts w:ascii="宋体" w:eastAsia="宋体" w:hAnsi="宋体" w:cs="宋体" w:hint="eastAsia"/>
          <w:kern w:val="0"/>
          <w:sz w:val="24"/>
          <w:szCs w:val="24"/>
        </w:rPr>
        <w:t>²</w:t>
      </w:r>
      <w:r w:rsidRPr="00E95B6F">
        <w:rPr>
          <w:rFonts w:ascii="宋体" w:eastAsia="宋体" w:hAnsi="宋体" w:cs="宋体"/>
          <w:kern w:val="0"/>
          <w:sz w:val="24"/>
          <w:szCs w:val="24"/>
        </w:rPr>
        <w:t xml:space="preserve">) = (0.425 </w:t>
      </w:r>
      <w:r w:rsidRPr="00E95B6F">
        <w:rPr>
          <w:rFonts w:ascii="宋体" w:eastAsia="宋体" w:hAnsi="宋体" w:cs="宋体" w:hint="eastAsia"/>
          <w:kern w:val="0"/>
          <w:sz w:val="24"/>
          <w:szCs w:val="24"/>
        </w:rPr>
        <w:t>±</w:t>
      </w:r>
      <w:r w:rsidRPr="00E95B6F">
        <w:rPr>
          <w:rFonts w:ascii="宋体" w:eastAsia="宋体" w:hAnsi="宋体" w:cs="宋体"/>
          <w:kern w:val="0"/>
          <w:sz w:val="24"/>
          <w:szCs w:val="24"/>
        </w:rPr>
        <w:t xml:space="preserve"> 0.046) </w:t>
      </w:r>
      <w:r w:rsidRPr="00E95B6F">
        <w:rPr>
          <w:rFonts w:ascii="宋体" w:eastAsia="宋体" w:hAnsi="宋体" w:cs="宋体" w:hint="eastAsia"/>
          <w:kern w:val="0"/>
          <w:sz w:val="24"/>
          <w:szCs w:val="24"/>
        </w:rPr>
        <w:t>×</w:t>
      </w:r>
      <w:r w:rsidRPr="00E95B6F">
        <w:rPr>
          <w:rFonts w:ascii="宋体" w:eastAsia="宋体" w:hAnsi="宋体" w:cs="宋体"/>
          <w:kern w:val="0"/>
          <w:sz w:val="24"/>
          <w:szCs w:val="24"/>
        </w:rPr>
        <w:t xml:space="preserve"> log</w:t>
      </w:r>
      <w:r w:rsidRPr="00E95B6F">
        <w:rPr>
          <w:rFonts w:ascii="Times New Roman" w:eastAsia="宋体" w:hAnsi="Times New Roman" w:cs="Times New Roman"/>
          <w:kern w:val="0"/>
          <w:sz w:val="24"/>
          <w:szCs w:val="24"/>
        </w:rPr>
        <w:t>₁₀</w:t>
      </w:r>
      <w:r w:rsidRPr="00E95B6F">
        <w:rPr>
          <w:rFonts w:ascii="宋体" w:eastAsia="宋体" w:hAnsi="宋体" w:cs="宋体"/>
          <w:kern w:val="0"/>
          <w:sz w:val="24"/>
          <w:szCs w:val="24"/>
        </w:rPr>
        <w:t xml:space="preserve"> (M_b / 10</w:t>
      </w:r>
      <w:r w:rsidRPr="00E95B6F">
        <w:rPr>
          <w:rFonts w:ascii="宋体" w:eastAsia="宋体" w:hAnsi="宋体" w:cs="宋体" w:hint="eastAsia"/>
          <w:kern w:val="0"/>
          <w:sz w:val="24"/>
          <w:szCs w:val="24"/>
        </w:rPr>
        <w:t>¹</w:t>
      </w:r>
      <w:r w:rsidRPr="00E95B6F">
        <w:rPr>
          <w:rFonts w:ascii="MS Gothic" w:eastAsia="MS Gothic" w:hAnsi="MS Gothic" w:cs="MS Gothic" w:hint="eastAsia"/>
          <w:kern w:val="0"/>
          <w:sz w:val="24"/>
          <w:szCs w:val="24"/>
        </w:rPr>
        <w:t>⁰</w:t>
      </w:r>
      <w:r w:rsidRPr="00E95B6F">
        <w:rPr>
          <w:rFonts w:ascii="宋体" w:eastAsia="宋体" w:hAnsi="宋体" w:cs="宋体"/>
          <w:kern w:val="0"/>
          <w:sz w:val="24"/>
          <w:szCs w:val="24"/>
        </w:rPr>
        <w:t xml:space="preserve"> M</w:t>
      </w:r>
      <w:r w:rsidRPr="00E95B6F">
        <w:rPr>
          <w:rFonts w:ascii="宋体" w:eastAsia="宋体" w:hAnsi="宋体" w:cs="宋体" w:hint="eastAsia"/>
          <w:kern w:val="0"/>
          <w:sz w:val="24"/>
          <w:szCs w:val="24"/>
        </w:rPr>
        <w:t>⊙</w:t>
      </w:r>
      <w:r w:rsidRPr="00E95B6F">
        <w:rPr>
          <w:rFonts w:ascii="宋体" w:eastAsia="宋体" w:hAnsi="宋体" w:cs="宋体"/>
          <w:kern w:val="0"/>
          <w:sz w:val="24"/>
          <w:szCs w:val="24"/>
        </w:rPr>
        <w:t>) + 0.358</w:t>
      </w:r>
      <w:r w:rsidRPr="00E95B6F">
        <w:rPr>
          <w:rFonts w:ascii="宋体" w:eastAsia="宋体" w:hAnsi="宋体" w:cs="宋体"/>
          <w:kern w:val="0"/>
          <w:sz w:val="24"/>
          <w:szCs w:val="24"/>
        </w:rPr>
        <w:br/>
        <w:t>该拟合的确定性系数R² = 0.419，表明此标度关系解释了样本中η与M_b之间约42%的方差。</w:t>
      </w:r>
    </w:p>
    <w:p w:rsidR="00E95B6F" w:rsidRPr="00E95B6F" w:rsidRDefault="00E95B6F" w:rsidP="00E95B6F">
      <w:pPr>
        <w:widowControl/>
        <w:spacing w:before="100" w:beforeAutospacing="1" w:after="100" w:afterAutospacing="1"/>
        <w:jc w:val="left"/>
        <w:outlineLvl w:val="2"/>
        <w:rPr>
          <w:rFonts w:ascii="宋体" w:eastAsia="宋体" w:hAnsi="宋体" w:cs="宋体"/>
          <w:b/>
          <w:bCs/>
          <w:kern w:val="0"/>
          <w:sz w:val="27"/>
          <w:szCs w:val="27"/>
        </w:rPr>
      </w:pPr>
      <w:r w:rsidRPr="00E95B6F">
        <w:rPr>
          <w:rFonts w:ascii="宋体" w:eastAsia="宋体" w:hAnsi="宋体" w:cs="宋体"/>
          <w:b/>
          <w:bCs/>
          <w:kern w:val="0"/>
          <w:sz w:val="27"/>
          <w:szCs w:val="27"/>
        </w:rPr>
        <w:t>3.2 数据清洗的重要性验证</w:t>
      </w:r>
    </w:p>
    <w:p w:rsidR="00E95B6F" w:rsidRPr="00E95B6F" w:rsidRDefault="00E95B6F" w:rsidP="00E95B6F">
      <w:pPr>
        <w:widowControl/>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表1展示了数据清洗过程中拟合结果的演变，凸显了清洗流程的关键作用：</w:t>
      </w:r>
      <w:r w:rsidRPr="00E95B6F">
        <w:rPr>
          <w:rFonts w:ascii="宋体" w:eastAsia="宋体" w:hAnsi="宋体" w:cs="宋体"/>
          <w:kern w:val="0"/>
          <w:sz w:val="24"/>
          <w:szCs w:val="24"/>
        </w:rPr>
        <w:br/>
      </w:r>
      <w:r w:rsidRPr="00E95B6F">
        <w:rPr>
          <w:rFonts w:ascii="宋体" w:eastAsia="宋体" w:hAnsi="宋体" w:cs="宋体"/>
          <w:b/>
          <w:bCs/>
          <w:kern w:val="0"/>
          <w:sz w:val="24"/>
          <w:szCs w:val="24"/>
        </w:rPr>
        <w:t>表1：数据清洗各阶段拟合参数对比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688"/>
        <w:gridCol w:w="1467"/>
        <w:gridCol w:w="1197"/>
        <w:gridCol w:w="2867"/>
      </w:tblGrid>
      <w:tr w:rsidR="00E95B6F" w:rsidRPr="00E95B6F" w:rsidTr="00E95B6F">
        <w:trPr>
          <w:tblHeader/>
          <w:tblCellSpacing w:w="15" w:type="dxa"/>
        </w:trPr>
        <w:tc>
          <w:tcPr>
            <w:tcW w:w="0" w:type="auto"/>
            <w:vAlign w:val="center"/>
            <w:hideMark/>
          </w:tcPr>
          <w:p w:rsidR="00E95B6F" w:rsidRPr="00E95B6F" w:rsidRDefault="00E95B6F" w:rsidP="00E95B6F">
            <w:pPr>
              <w:widowControl/>
              <w:jc w:val="left"/>
              <w:rPr>
                <w:rFonts w:ascii="宋体" w:eastAsia="宋体" w:hAnsi="宋体" w:cs="宋体"/>
                <w:b/>
                <w:bCs/>
                <w:kern w:val="0"/>
                <w:sz w:val="24"/>
                <w:szCs w:val="24"/>
              </w:rPr>
            </w:pPr>
            <w:r w:rsidRPr="00E95B6F">
              <w:rPr>
                <w:rFonts w:ascii="宋体" w:eastAsia="宋体" w:hAnsi="宋体" w:cs="宋体"/>
                <w:b/>
                <w:bCs/>
                <w:kern w:val="0"/>
                <w:sz w:val="24"/>
                <w:szCs w:val="24"/>
              </w:rPr>
              <w:t>处理阶段</w:t>
            </w:r>
          </w:p>
        </w:tc>
        <w:tc>
          <w:tcPr>
            <w:tcW w:w="0" w:type="auto"/>
            <w:vAlign w:val="center"/>
            <w:hideMark/>
          </w:tcPr>
          <w:p w:rsidR="00E95B6F" w:rsidRPr="00E95B6F" w:rsidRDefault="00E95B6F" w:rsidP="00E95B6F">
            <w:pPr>
              <w:widowControl/>
              <w:jc w:val="left"/>
              <w:rPr>
                <w:rFonts w:ascii="宋体" w:eastAsia="宋体" w:hAnsi="宋体" w:cs="宋体"/>
                <w:b/>
                <w:bCs/>
                <w:kern w:val="0"/>
                <w:sz w:val="24"/>
                <w:szCs w:val="24"/>
              </w:rPr>
            </w:pPr>
            <w:r w:rsidRPr="00E95B6F">
              <w:rPr>
                <w:rFonts w:ascii="宋体" w:eastAsia="宋体" w:hAnsi="宋体" w:cs="宋体"/>
                <w:b/>
                <w:bCs/>
                <w:kern w:val="0"/>
                <w:sz w:val="24"/>
                <w:szCs w:val="24"/>
              </w:rPr>
              <w:t>样本数</w:t>
            </w:r>
          </w:p>
        </w:tc>
        <w:tc>
          <w:tcPr>
            <w:tcW w:w="0" w:type="auto"/>
            <w:vAlign w:val="center"/>
            <w:hideMark/>
          </w:tcPr>
          <w:p w:rsidR="00E95B6F" w:rsidRPr="00E95B6F" w:rsidRDefault="00E95B6F" w:rsidP="00E95B6F">
            <w:pPr>
              <w:widowControl/>
              <w:jc w:val="left"/>
              <w:rPr>
                <w:rFonts w:ascii="宋体" w:eastAsia="宋体" w:hAnsi="宋体" w:cs="宋体"/>
                <w:b/>
                <w:bCs/>
                <w:kern w:val="0"/>
                <w:sz w:val="24"/>
                <w:szCs w:val="24"/>
              </w:rPr>
            </w:pPr>
            <w:r w:rsidRPr="00E95B6F">
              <w:rPr>
                <w:rFonts w:ascii="宋体" w:eastAsia="宋体" w:hAnsi="宋体" w:cs="宋体"/>
                <w:b/>
                <w:bCs/>
                <w:kern w:val="0"/>
                <w:sz w:val="24"/>
                <w:szCs w:val="24"/>
              </w:rPr>
              <w:t>标度指数 k</w:t>
            </w:r>
          </w:p>
        </w:tc>
        <w:tc>
          <w:tcPr>
            <w:tcW w:w="0" w:type="auto"/>
            <w:vAlign w:val="center"/>
            <w:hideMark/>
          </w:tcPr>
          <w:p w:rsidR="00E95B6F" w:rsidRPr="00E95B6F" w:rsidRDefault="00E95B6F" w:rsidP="00E95B6F">
            <w:pPr>
              <w:widowControl/>
              <w:jc w:val="left"/>
              <w:rPr>
                <w:rFonts w:ascii="宋体" w:eastAsia="宋体" w:hAnsi="宋体" w:cs="宋体"/>
                <w:b/>
                <w:bCs/>
                <w:kern w:val="0"/>
                <w:sz w:val="24"/>
                <w:szCs w:val="24"/>
              </w:rPr>
            </w:pPr>
            <w:r w:rsidRPr="00E95B6F">
              <w:rPr>
                <w:rFonts w:ascii="宋体" w:eastAsia="宋体" w:hAnsi="宋体" w:cs="宋体"/>
                <w:b/>
                <w:bCs/>
                <w:kern w:val="0"/>
                <w:sz w:val="24"/>
                <w:szCs w:val="24"/>
              </w:rPr>
              <w:t>拟合优度 R²</w:t>
            </w:r>
          </w:p>
        </w:tc>
        <w:tc>
          <w:tcPr>
            <w:tcW w:w="0" w:type="auto"/>
            <w:vAlign w:val="center"/>
            <w:hideMark/>
          </w:tcPr>
          <w:p w:rsidR="00E95B6F" w:rsidRPr="00E95B6F" w:rsidRDefault="00E95B6F" w:rsidP="00E95B6F">
            <w:pPr>
              <w:widowControl/>
              <w:jc w:val="left"/>
              <w:rPr>
                <w:rFonts w:ascii="宋体" w:eastAsia="宋体" w:hAnsi="宋体" w:cs="宋体"/>
                <w:b/>
                <w:bCs/>
                <w:kern w:val="0"/>
                <w:sz w:val="24"/>
                <w:szCs w:val="24"/>
              </w:rPr>
            </w:pPr>
            <w:r w:rsidRPr="00E95B6F">
              <w:rPr>
                <w:rFonts w:ascii="宋体" w:eastAsia="宋体" w:hAnsi="宋体" w:cs="宋体"/>
                <w:b/>
                <w:bCs/>
                <w:kern w:val="0"/>
                <w:sz w:val="24"/>
                <w:szCs w:val="24"/>
              </w:rPr>
              <w:t>说明</w:t>
            </w:r>
          </w:p>
        </w:tc>
      </w:tr>
      <w:tr w:rsidR="00E95B6F" w:rsidRPr="00E95B6F" w:rsidTr="00E95B6F">
        <w:trPr>
          <w:tblCellSpacing w:w="15" w:type="dxa"/>
        </w:trPr>
        <w:tc>
          <w:tcPr>
            <w:tcW w:w="0" w:type="auto"/>
            <w:vAlign w:val="center"/>
            <w:hideMark/>
          </w:tcPr>
          <w:p w:rsidR="00E95B6F" w:rsidRPr="00E95B6F" w:rsidRDefault="00E95B6F" w:rsidP="00E95B6F">
            <w:pPr>
              <w:widowControl/>
              <w:jc w:val="left"/>
              <w:rPr>
                <w:rFonts w:ascii="宋体" w:eastAsia="宋体" w:hAnsi="宋体" w:cs="宋体"/>
                <w:kern w:val="0"/>
                <w:sz w:val="24"/>
                <w:szCs w:val="24"/>
              </w:rPr>
            </w:pPr>
            <w:r w:rsidRPr="00E95B6F">
              <w:rPr>
                <w:rFonts w:ascii="宋体" w:eastAsia="宋体" w:hAnsi="宋体" w:cs="宋体"/>
                <w:kern w:val="0"/>
                <w:sz w:val="24"/>
                <w:szCs w:val="24"/>
              </w:rPr>
              <w:t>原始样本</w:t>
            </w:r>
          </w:p>
        </w:tc>
        <w:tc>
          <w:tcPr>
            <w:tcW w:w="0" w:type="auto"/>
            <w:vAlign w:val="center"/>
            <w:hideMark/>
          </w:tcPr>
          <w:p w:rsidR="00E95B6F" w:rsidRPr="00E95B6F" w:rsidRDefault="00E95B6F" w:rsidP="00E95B6F">
            <w:pPr>
              <w:widowControl/>
              <w:jc w:val="left"/>
              <w:rPr>
                <w:rFonts w:ascii="宋体" w:eastAsia="宋体" w:hAnsi="宋体" w:cs="宋体"/>
                <w:kern w:val="0"/>
                <w:sz w:val="24"/>
                <w:szCs w:val="24"/>
              </w:rPr>
            </w:pPr>
            <w:r w:rsidRPr="00E95B6F">
              <w:rPr>
                <w:rFonts w:ascii="宋体" w:eastAsia="宋体" w:hAnsi="宋体" w:cs="宋体"/>
                <w:kern w:val="0"/>
                <w:sz w:val="24"/>
                <w:szCs w:val="24"/>
              </w:rPr>
              <w:t>171</w:t>
            </w:r>
          </w:p>
        </w:tc>
        <w:tc>
          <w:tcPr>
            <w:tcW w:w="0" w:type="auto"/>
            <w:vAlign w:val="center"/>
            <w:hideMark/>
          </w:tcPr>
          <w:p w:rsidR="00E95B6F" w:rsidRPr="00E95B6F" w:rsidRDefault="00E95B6F" w:rsidP="00E95B6F">
            <w:pPr>
              <w:widowControl/>
              <w:jc w:val="left"/>
              <w:rPr>
                <w:rFonts w:ascii="宋体" w:eastAsia="宋体" w:hAnsi="宋体" w:cs="宋体"/>
                <w:kern w:val="0"/>
                <w:sz w:val="24"/>
                <w:szCs w:val="24"/>
              </w:rPr>
            </w:pPr>
            <w:r w:rsidRPr="00E95B6F">
              <w:rPr>
                <w:rFonts w:ascii="宋体" w:eastAsia="宋体" w:hAnsi="宋体" w:cs="宋体"/>
                <w:kern w:val="0"/>
                <w:sz w:val="24"/>
                <w:szCs w:val="24"/>
              </w:rPr>
              <w:t>0.406 ± 0.103</w:t>
            </w:r>
          </w:p>
        </w:tc>
        <w:tc>
          <w:tcPr>
            <w:tcW w:w="0" w:type="auto"/>
            <w:vAlign w:val="center"/>
            <w:hideMark/>
          </w:tcPr>
          <w:p w:rsidR="00E95B6F" w:rsidRPr="00E95B6F" w:rsidRDefault="00E95B6F" w:rsidP="00E95B6F">
            <w:pPr>
              <w:widowControl/>
              <w:jc w:val="left"/>
              <w:rPr>
                <w:rFonts w:ascii="宋体" w:eastAsia="宋体" w:hAnsi="宋体" w:cs="宋体"/>
                <w:kern w:val="0"/>
                <w:sz w:val="24"/>
                <w:szCs w:val="24"/>
              </w:rPr>
            </w:pPr>
            <w:r w:rsidRPr="00E95B6F">
              <w:rPr>
                <w:rFonts w:ascii="宋体" w:eastAsia="宋体" w:hAnsi="宋体" w:cs="宋体"/>
                <w:kern w:val="0"/>
                <w:sz w:val="24"/>
                <w:szCs w:val="24"/>
              </w:rPr>
              <w:t>0.030</w:t>
            </w:r>
          </w:p>
        </w:tc>
        <w:tc>
          <w:tcPr>
            <w:tcW w:w="0" w:type="auto"/>
            <w:vAlign w:val="center"/>
            <w:hideMark/>
          </w:tcPr>
          <w:p w:rsidR="00E95B6F" w:rsidRPr="00E95B6F" w:rsidRDefault="00E95B6F" w:rsidP="00E95B6F">
            <w:pPr>
              <w:widowControl/>
              <w:jc w:val="left"/>
              <w:rPr>
                <w:rFonts w:ascii="宋体" w:eastAsia="宋体" w:hAnsi="宋体" w:cs="宋体"/>
                <w:kern w:val="0"/>
                <w:sz w:val="24"/>
                <w:szCs w:val="24"/>
              </w:rPr>
            </w:pPr>
            <w:r w:rsidRPr="00E95B6F">
              <w:rPr>
                <w:rFonts w:ascii="宋体" w:eastAsia="宋体" w:hAnsi="宋体" w:cs="宋体"/>
                <w:kern w:val="0"/>
                <w:sz w:val="24"/>
                <w:szCs w:val="24"/>
              </w:rPr>
              <w:t>包含大量无效与低质量数据点</w:t>
            </w:r>
          </w:p>
        </w:tc>
      </w:tr>
      <w:tr w:rsidR="00E95B6F" w:rsidRPr="00E95B6F" w:rsidTr="00E95B6F">
        <w:trPr>
          <w:tblCellSpacing w:w="15" w:type="dxa"/>
        </w:trPr>
        <w:tc>
          <w:tcPr>
            <w:tcW w:w="0" w:type="auto"/>
            <w:vAlign w:val="center"/>
            <w:hideMark/>
          </w:tcPr>
          <w:p w:rsidR="00E95B6F" w:rsidRPr="00E95B6F" w:rsidRDefault="00E95B6F" w:rsidP="00E95B6F">
            <w:pPr>
              <w:widowControl/>
              <w:jc w:val="left"/>
              <w:rPr>
                <w:rFonts w:ascii="宋体" w:eastAsia="宋体" w:hAnsi="宋体" w:cs="宋体"/>
                <w:kern w:val="0"/>
                <w:sz w:val="24"/>
                <w:szCs w:val="24"/>
              </w:rPr>
            </w:pPr>
            <w:r w:rsidRPr="00E95B6F">
              <w:rPr>
                <w:rFonts w:ascii="宋体" w:eastAsia="宋体" w:hAnsi="宋体" w:cs="宋体"/>
                <w:kern w:val="0"/>
                <w:sz w:val="24"/>
                <w:szCs w:val="24"/>
              </w:rPr>
              <w:t>剔除η=100后</w:t>
            </w:r>
          </w:p>
        </w:tc>
        <w:tc>
          <w:tcPr>
            <w:tcW w:w="0" w:type="auto"/>
            <w:vAlign w:val="center"/>
            <w:hideMark/>
          </w:tcPr>
          <w:p w:rsidR="00E95B6F" w:rsidRPr="00E95B6F" w:rsidRDefault="00E95B6F" w:rsidP="00E95B6F">
            <w:pPr>
              <w:widowControl/>
              <w:jc w:val="left"/>
              <w:rPr>
                <w:rFonts w:ascii="宋体" w:eastAsia="宋体" w:hAnsi="宋体" w:cs="宋体"/>
                <w:kern w:val="0"/>
                <w:sz w:val="24"/>
                <w:szCs w:val="24"/>
              </w:rPr>
            </w:pPr>
            <w:r w:rsidRPr="00E95B6F">
              <w:rPr>
                <w:rFonts w:ascii="宋体" w:eastAsia="宋体" w:hAnsi="宋体" w:cs="宋体"/>
                <w:kern w:val="0"/>
                <w:sz w:val="24"/>
                <w:szCs w:val="24"/>
              </w:rPr>
              <w:t>148</w:t>
            </w:r>
          </w:p>
        </w:tc>
        <w:tc>
          <w:tcPr>
            <w:tcW w:w="0" w:type="auto"/>
            <w:vAlign w:val="center"/>
            <w:hideMark/>
          </w:tcPr>
          <w:p w:rsidR="00E95B6F" w:rsidRPr="00E95B6F" w:rsidRDefault="00E95B6F" w:rsidP="00E95B6F">
            <w:pPr>
              <w:widowControl/>
              <w:jc w:val="left"/>
              <w:rPr>
                <w:rFonts w:ascii="宋体" w:eastAsia="宋体" w:hAnsi="宋体" w:cs="宋体"/>
                <w:kern w:val="0"/>
                <w:sz w:val="24"/>
                <w:szCs w:val="24"/>
              </w:rPr>
            </w:pPr>
            <w:r w:rsidRPr="00E95B6F">
              <w:rPr>
                <w:rFonts w:ascii="宋体" w:eastAsia="宋体" w:hAnsi="宋体" w:cs="宋体"/>
                <w:kern w:val="0"/>
                <w:sz w:val="24"/>
                <w:szCs w:val="24"/>
              </w:rPr>
              <w:t>0.471 ± 0.081</w:t>
            </w:r>
          </w:p>
        </w:tc>
        <w:tc>
          <w:tcPr>
            <w:tcW w:w="0" w:type="auto"/>
            <w:vAlign w:val="center"/>
            <w:hideMark/>
          </w:tcPr>
          <w:p w:rsidR="00E95B6F" w:rsidRPr="00E95B6F" w:rsidRDefault="00E95B6F" w:rsidP="00E95B6F">
            <w:pPr>
              <w:widowControl/>
              <w:jc w:val="left"/>
              <w:rPr>
                <w:rFonts w:ascii="宋体" w:eastAsia="宋体" w:hAnsi="宋体" w:cs="宋体"/>
                <w:kern w:val="0"/>
                <w:sz w:val="24"/>
                <w:szCs w:val="24"/>
              </w:rPr>
            </w:pPr>
            <w:r w:rsidRPr="00E95B6F">
              <w:rPr>
                <w:rFonts w:ascii="宋体" w:eastAsia="宋体" w:hAnsi="宋体" w:cs="宋体"/>
                <w:kern w:val="0"/>
                <w:sz w:val="24"/>
                <w:szCs w:val="24"/>
              </w:rPr>
              <w:t>0.389</w:t>
            </w:r>
          </w:p>
        </w:tc>
        <w:tc>
          <w:tcPr>
            <w:tcW w:w="0" w:type="auto"/>
            <w:vAlign w:val="center"/>
            <w:hideMark/>
          </w:tcPr>
          <w:p w:rsidR="00E95B6F" w:rsidRPr="00E95B6F" w:rsidRDefault="00E95B6F" w:rsidP="00E95B6F">
            <w:pPr>
              <w:widowControl/>
              <w:jc w:val="left"/>
              <w:rPr>
                <w:rFonts w:ascii="宋体" w:eastAsia="宋体" w:hAnsi="宋体" w:cs="宋体"/>
                <w:kern w:val="0"/>
                <w:sz w:val="24"/>
                <w:szCs w:val="24"/>
              </w:rPr>
            </w:pPr>
            <w:r w:rsidRPr="00E95B6F">
              <w:rPr>
                <w:rFonts w:ascii="宋体" w:eastAsia="宋体" w:hAnsi="宋体" w:cs="宋体"/>
                <w:kern w:val="0"/>
                <w:sz w:val="24"/>
                <w:szCs w:val="24"/>
              </w:rPr>
              <w:t>移除明显坏点，相关性显著提升</w:t>
            </w:r>
          </w:p>
        </w:tc>
      </w:tr>
      <w:tr w:rsidR="00E95B6F" w:rsidRPr="00E95B6F" w:rsidTr="00E95B6F">
        <w:trPr>
          <w:tblCellSpacing w:w="15" w:type="dxa"/>
        </w:trPr>
        <w:tc>
          <w:tcPr>
            <w:tcW w:w="0" w:type="auto"/>
            <w:vAlign w:val="center"/>
            <w:hideMark/>
          </w:tcPr>
          <w:p w:rsidR="00E95B6F" w:rsidRPr="00E95B6F" w:rsidRDefault="00E95B6F" w:rsidP="00E95B6F">
            <w:pPr>
              <w:widowControl/>
              <w:jc w:val="left"/>
              <w:rPr>
                <w:rFonts w:ascii="宋体" w:eastAsia="宋体" w:hAnsi="宋体" w:cs="宋体"/>
                <w:kern w:val="0"/>
                <w:sz w:val="24"/>
                <w:szCs w:val="24"/>
              </w:rPr>
            </w:pPr>
            <w:r w:rsidRPr="00E95B6F">
              <w:rPr>
                <w:rFonts w:ascii="宋体" w:eastAsia="宋体" w:hAnsi="宋体" w:cs="宋体"/>
                <w:b/>
                <w:bCs/>
                <w:kern w:val="0"/>
                <w:sz w:val="24"/>
                <w:szCs w:val="24"/>
              </w:rPr>
              <w:t>最终样本 (3σ清洗后)</w:t>
            </w:r>
          </w:p>
        </w:tc>
        <w:tc>
          <w:tcPr>
            <w:tcW w:w="0" w:type="auto"/>
            <w:vAlign w:val="center"/>
            <w:hideMark/>
          </w:tcPr>
          <w:p w:rsidR="00E95B6F" w:rsidRPr="00E95B6F" w:rsidRDefault="00E95B6F" w:rsidP="00E95B6F">
            <w:pPr>
              <w:widowControl/>
              <w:jc w:val="left"/>
              <w:rPr>
                <w:rFonts w:ascii="宋体" w:eastAsia="宋体" w:hAnsi="宋体" w:cs="宋体"/>
                <w:kern w:val="0"/>
                <w:sz w:val="24"/>
                <w:szCs w:val="24"/>
              </w:rPr>
            </w:pPr>
            <w:r w:rsidRPr="00E95B6F">
              <w:rPr>
                <w:rFonts w:ascii="宋体" w:eastAsia="宋体" w:hAnsi="宋体" w:cs="宋体"/>
                <w:b/>
                <w:bCs/>
                <w:kern w:val="0"/>
                <w:sz w:val="24"/>
                <w:szCs w:val="24"/>
              </w:rPr>
              <w:t>114</w:t>
            </w:r>
          </w:p>
        </w:tc>
        <w:tc>
          <w:tcPr>
            <w:tcW w:w="0" w:type="auto"/>
            <w:vAlign w:val="center"/>
            <w:hideMark/>
          </w:tcPr>
          <w:p w:rsidR="00E95B6F" w:rsidRPr="00E95B6F" w:rsidRDefault="00E95B6F" w:rsidP="00E95B6F">
            <w:pPr>
              <w:widowControl/>
              <w:jc w:val="left"/>
              <w:rPr>
                <w:rFonts w:ascii="宋体" w:eastAsia="宋体" w:hAnsi="宋体" w:cs="宋体"/>
                <w:kern w:val="0"/>
                <w:sz w:val="24"/>
                <w:szCs w:val="24"/>
              </w:rPr>
            </w:pPr>
            <w:r w:rsidRPr="00E95B6F">
              <w:rPr>
                <w:rFonts w:ascii="宋体" w:eastAsia="宋体" w:hAnsi="宋体" w:cs="宋体"/>
                <w:b/>
                <w:bCs/>
                <w:kern w:val="0"/>
                <w:sz w:val="24"/>
                <w:szCs w:val="24"/>
              </w:rPr>
              <w:t>0.425 ± 0.046</w:t>
            </w:r>
          </w:p>
        </w:tc>
        <w:tc>
          <w:tcPr>
            <w:tcW w:w="0" w:type="auto"/>
            <w:vAlign w:val="center"/>
            <w:hideMark/>
          </w:tcPr>
          <w:p w:rsidR="00E95B6F" w:rsidRPr="00E95B6F" w:rsidRDefault="00E95B6F" w:rsidP="00E95B6F">
            <w:pPr>
              <w:widowControl/>
              <w:jc w:val="left"/>
              <w:rPr>
                <w:rFonts w:ascii="宋体" w:eastAsia="宋体" w:hAnsi="宋体" w:cs="宋体"/>
                <w:kern w:val="0"/>
                <w:sz w:val="24"/>
                <w:szCs w:val="24"/>
              </w:rPr>
            </w:pPr>
            <w:r w:rsidRPr="00E95B6F">
              <w:rPr>
                <w:rFonts w:ascii="宋体" w:eastAsia="宋体" w:hAnsi="宋体" w:cs="宋体"/>
                <w:b/>
                <w:bCs/>
                <w:kern w:val="0"/>
                <w:sz w:val="24"/>
                <w:szCs w:val="24"/>
              </w:rPr>
              <w:t>0.419</w:t>
            </w:r>
          </w:p>
        </w:tc>
        <w:tc>
          <w:tcPr>
            <w:tcW w:w="0" w:type="auto"/>
            <w:vAlign w:val="center"/>
            <w:hideMark/>
          </w:tcPr>
          <w:p w:rsidR="00E95B6F" w:rsidRPr="00E95B6F" w:rsidRDefault="00E95B6F" w:rsidP="00E95B6F">
            <w:pPr>
              <w:widowControl/>
              <w:jc w:val="left"/>
              <w:rPr>
                <w:rFonts w:ascii="宋体" w:eastAsia="宋体" w:hAnsi="宋体" w:cs="宋体"/>
                <w:kern w:val="0"/>
                <w:sz w:val="24"/>
                <w:szCs w:val="24"/>
              </w:rPr>
            </w:pPr>
            <w:r w:rsidRPr="00E95B6F">
              <w:rPr>
                <w:rFonts w:ascii="宋体" w:eastAsia="宋体" w:hAnsi="宋体" w:cs="宋体"/>
                <w:b/>
                <w:bCs/>
                <w:kern w:val="0"/>
                <w:sz w:val="24"/>
                <w:szCs w:val="24"/>
              </w:rPr>
              <w:t>结果收敛，误差最小，稳健性最高</w:t>
            </w:r>
          </w:p>
        </w:tc>
      </w:tr>
    </w:tbl>
    <w:p w:rsidR="00E95B6F" w:rsidRPr="00E95B6F" w:rsidRDefault="00E95B6F" w:rsidP="00E95B6F">
      <w:pPr>
        <w:widowControl/>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清洗过程使结果从几乎无相关性（R²=0.03）收敛到一个稳定、显著的关系（R²=0.42），证明了严谨数据预处理对于揭示真实物理关联的必要性。</w:t>
      </w:r>
    </w:p>
    <w:p w:rsidR="00E95B6F" w:rsidRPr="00E95B6F" w:rsidRDefault="00E95B6F" w:rsidP="00E95B6F">
      <w:pPr>
        <w:widowControl/>
        <w:spacing w:before="100" w:beforeAutospacing="1" w:after="100" w:afterAutospacing="1"/>
        <w:jc w:val="left"/>
        <w:outlineLvl w:val="2"/>
        <w:rPr>
          <w:rFonts w:ascii="宋体" w:eastAsia="宋体" w:hAnsi="宋体" w:cs="宋体"/>
          <w:b/>
          <w:bCs/>
          <w:kern w:val="0"/>
          <w:sz w:val="27"/>
          <w:szCs w:val="27"/>
        </w:rPr>
      </w:pPr>
      <w:r w:rsidRPr="00E95B6F">
        <w:rPr>
          <w:rFonts w:ascii="宋体" w:eastAsia="宋体" w:hAnsi="宋体" w:cs="宋体"/>
          <w:b/>
          <w:bCs/>
          <w:kern w:val="0"/>
          <w:sz w:val="27"/>
          <w:szCs w:val="27"/>
        </w:rPr>
        <w:t>3.3 残差分析</w:t>
      </w:r>
    </w:p>
    <w:p w:rsidR="00E95B6F" w:rsidRPr="00E95B6F" w:rsidRDefault="00E95B6F" w:rsidP="00E95B6F">
      <w:pPr>
        <w:widowControl/>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对最终模型的残差进行分析显示，残差Δlog</w:t>
      </w:r>
      <w:r w:rsidRPr="00E95B6F">
        <w:rPr>
          <w:rFonts w:ascii="Times New Roman" w:eastAsia="宋体" w:hAnsi="Times New Roman" w:cs="Times New Roman"/>
          <w:kern w:val="0"/>
          <w:sz w:val="24"/>
          <w:szCs w:val="24"/>
        </w:rPr>
        <w:t>₁₀</w:t>
      </w:r>
      <w:r w:rsidRPr="00E95B6F">
        <w:rPr>
          <w:rFonts w:ascii="宋体" w:eastAsia="宋体" w:hAnsi="宋体" w:cs="宋体"/>
          <w:kern w:val="0"/>
          <w:sz w:val="24"/>
          <w:szCs w:val="24"/>
        </w:rPr>
        <w:t xml:space="preserve"> </w:t>
      </w:r>
      <w:r w:rsidRPr="00E95B6F">
        <w:rPr>
          <w:rFonts w:ascii="宋体" w:eastAsia="宋体" w:hAnsi="宋体" w:cs="宋体" w:hint="eastAsia"/>
          <w:kern w:val="0"/>
          <w:sz w:val="24"/>
          <w:szCs w:val="24"/>
        </w:rPr>
        <w:t>η</w:t>
      </w:r>
      <w:r w:rsidRPr="00E95B6F">
        <w:rPr>
          <w:rFonts w:ascii="宋体" w:eastAsia="宋体" w:hAnsi="宋体" w:cs="宋体"/>
          <w:kern w:val="0"/>
          <w:sz w:val="24"/>
          <w:szCs w:val="24"/>
        </w:rPr>
        <w:t>在log</w:t>
      </w:r>
      <w:r w:rsidRPr="00E95B6F">
        <w:rPr>
          <w:rFonts w:ascii="Times New Roman" w:eastAsia="宋体" w:hAnsi="Times New Roman" w:cs="Times New Roman"/>
          <w:kern w:val="0"/>
          <w:sz w:val="24"/>
          <w:szCs w:val="24"/>
        </w:rPr>
        <w:t>₁₀</w:t>
      </w:r>
      <w:r w:rsidRPr="00E95B6F">
        <w:rPr>
          <w:rFonts w:ascii="宋体" w:eastAsia="宋体" w:hAnsi="宋体" w:cs="宋体"/>
          <w:kern w:val="0"/>
          <w:sz w:val="24"/>
          <w:szCs w:val="24"/>
        </w:rPr>
        <w:t xml:space="preserve"> M_b空间上呈均匀随机分布，无明显的系统趋势或异方差性。这表明线性模型已充分提取了数据中的主要趋势，剩余离散可能源于星系的个体物理差异或测量不确定性。</w:t>
      </w:r>
    </w:p>
    <w:p w:rsidR="00E95B6F" w:rsidRPr="00E95B6F" w:rsidRDefault="00E95B6F" w:rsidP="00E95B6F">
      <w:pPr>
        <w:widowControl/>
        <w:spacing w:before="100" w:beforeAutospacing="1" w:after="100" w:afterAutospacing="1"/>
        <w:jc w:val="left"/>
        <w:outlineLvl w:val="1"/>
        <w:rPr>
          <w:rFonts w:ascii="宋体" w:eastAsia="宋体" w:hAnsi="宋体" w:cs="宋体"/>
          <w:b/>
          <w:bCs/>
          <w:kern w:val="0"/>
          <w:sz w:val="36"/>
          <w:szCs w:val="36"/>
        </w:rPr>
      </w:pPr>
      <w:r w:rsidRPr="00E95B6F">
        <w:rPr>
          <w:rFonts w:ascii="宋体" w:eastAsia="宋体" w:hAnsi="宋体" w:cs="宋体"/>
          <w:b/>
          <w:bCs/>
          <w:kern w:val="0"/>
          <w:sz w:val="36"/>
          <w:szCs w:val="36"/>
        </w:rPr>
        <w:t>4. 讨论：在流体宇宙模型框架下的解释</w:t>
      </w:r>
    </w:p>
    <w:p w:rsidR="00E95B6F" w:rsidRPr="00E95B6F" w:rsidRDefault="00E95B6F" w:rsidP="00E95B6F">
      <w:pPr>
        <w:widowControl/>
        <w:spacing w:before="100" w:beforeAutospacing="1" w:after="100" w:afterAutospacing="1"/>
        <w:jc w:val="left"/>
        <w:outlineLvl w:val="2"/>
        <w:rPr>
          <w:rFonts w:ascii="宋体" w:eastAsia="宋体" w:hAnsi="宋体" w:cs="宋体"/>
          <w:b/>
          <w:bCs/>
          <w:kern w:val="0"/>
          <w:sz w:val="27"/>
          <w:szCs w:val="27"/>
        </w:rPr>
      </w:pPr>
      <w:r w:rsidRPr="00E95B6F">
        <w:rPr>
          <w:rFonts w:ascii="宋体" w:eastAsia="宋体" w:hAnsi="宋体" w:cs="宋体"/>
          <w:b/>
          <w:bCs/>
          <w:kern w:val="0"/>
          <w:sz w:val="27"/>
          <w:szCs w:val="27"/>
        </w:rPr>
        <w:t>4.1 作为涡旋涌现属性的标度关系</w:t>
      </w:r>
    </w:p>
    <w:p w:rsidR="00E95B6F" w:rsidRPr="00E95B6F" w:rsidRDefault="00E95B6F" w:rsidP="00E95B6F">
      <w:pPr>
        <w:widowControl/>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在流体宇宙模型中，星系是宇宙流体中的局域涡旋。标度指数 k ≈ 0.425 可能反映了这种涡旋结构在质量与动力学强度之间的</w:t>
      </w:r>
      <w:r w:rsidRPr="00E95B6F">
        <w:rPr>
          <w:rFonts w:ascii="宋体" w:eastAsia="宋体" w:hAnsi="宋体" w:cs="宋体"/>
          <w:b/>
          <w:bCs/>
          <w:kern w:val="0"/>
          <w:sz w:val="24"/>
          <w:szCs w:val="24"/>
        </w:rPr>
        <w:t>自相似标度律</w:t>
      </w:r>
      <w:r w:rsidRPr="00E95B6F">
        <w:rPr>
          <w:rFonts w:ascii="宋体" w:eastAsia="宋体" w:hAnsi="宋体" w:cs="宋体"/>
          <w:kern w:val="0"/>
          <w:sz w:val="24"/>
          <w:szCs w:val="24"/>
        </w:rPr>
        <w:t>。具体而言，它可能关联于涡旋的角动量分布、涡量-质量耦合关系，或流体应力平衡条件下的自然标度。这与模型第5.1节的预言精神一致，即星系的动力学由流体自身属性决定。</w:t>
      </w:r>
    </w:p>
    <w:p w:rsidR="00E95B6F" w:rsidRPr="00E95B6F" w:rsidRDefault="00E95B6F" w:rsidP="00E95B6F">
      <w:pPr>
        <w:widowControl/>
        <w:spacing w:before="100" w:beforeAutospacing="1" w:after="100" w:afterAutospacing="1"/>
        <w:jc w:val="left"/>
        <w:outlineLvl w:val="2"/>
        <w:rPr>
          <w:rFonts w:ascii="宋体" w:eastAsia="宋体" w:hAnsi="宋体" w:cs="宋体"/>
          <w:b/>
          <w:bCs/>
          <w:kern w:val="0"/>
          <w:sz w:val="27"/>
          <w:szCs w:val="27"/>
        </w:rPr>
      </w:pPr>
      <w:r w:rsidRPr="00E95B6F">
        <w:rPr>
          <w:rFonts w:ascii="宋体" w:eastAsia="宋体" w:hAnsi="宋体" w:cs="宋体"/>
          <w:b/>
          <w:bCs/>
          <w:kern w:val="0"/>
          <w:sz w:val="27"/>
          <w:szCs w:val="27"/>
        </w:rPr>
        <w:t>4.2 对“无暗物质”解释的支持</w:t>
      </w:r>
    </w:p>
    <w:p w:rsidR="00E95B6F" w:rsidRPr="00E95B6F" w:rsidRDefault="00E95B6F" w:rsidP="00E95B6F">
      <w:pPr>
        <w:widowControl/>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标准ΛCDM模型中，星系的动力学（包括η所代表的特征）被认为主要由暗物质晕主导。然而，本研究发现的η与</w:t>
      </w:r>
      <w:r w:rsidRPr="00E95B6F">
        <w:rPr>
          <w:rFonts w:ascii="宋体" w:eastAsia="宋体" w:hAnsi="宋体" w:cs="宋体"/>
          <w:b/>
          <w:bCs/>
          <w:kern w:val="0"/>
          <w:sz w:val="24"/>
          <w:szCs w:val="24"/>
        </w:rPr>
        <w:t>重子</w:t>
      </w:r>
      <w:r w:rsidRPr="00E95B6F">
        <w:rPr>
          <w:rFonts w:ascii="宋体" w:eastAsia="宋体" w:hAnsi="宋体" w:cs="宋体"/>
          <w:kern w:val="0"/>
          <w:sz w:val="24"/>
          <w:szCs w:val="24"/>
        </w:rPr>
        <w:t>质量M_b之间的清晰幂律关系表明，星系的动力学状态与其可见物质含量存在直接、紧密的关联。这为流体宇宙模型的观点——即星系的动力学是</w:t>
      </w:r>
      <w:r w:rsidRPr="00E95B6F">
        <w:rPr>
          <w:rFonts w:ascii="宋体" w:eastAsia="宋体" w:hAnsi="宋体" w:cs="宋体"/>
          <w:b/>
          <w:bCs/>
          <w:kern w:val="0"/>
          <w:sz w:val="24"/>
          <w:szCs w:val="24"/>
        </w:rPr>
        <w:t>其重子物质作为流体涡旋的内在属性</w:t>
      </w:r>
      <w:r w:rsidRPr="00E95B6F">
        <w:rPr>
          <w:rFonts w:ascii="宋体" w:eastAsia="宋体" w:hAnsi="宋体" w:cs="宋体"/>
          <w:kern w:val="0"/>
          <w:sz w:val="24"/>
          <w:szCs w:val="24"/>
        </w:rPr>
        <w:t>——提供了有力的观测支持。该关系无需援引暗物质与重子质量之间的复杂并合历史或反馈模型，显得更为直接和简洁。</w:t>
      </w:r>
    </w:p>
    <w:p w:rsidR="00E95B6F" w:rsidRPr="00E95B6F" w:rsidRDefault="00E95B6F" w:rsidP="00E95B6F">
      <w:pPr>
        <w:widowControl/>
        <w:spacing w:before="100" w:beforeAutospacing="1" w:after="100" w:afterAutospacing="1"/>
        <w:jc w:val="left"/>
        <w:outlineLvl w:val="2"/>
        <w:rPr>
          <w:rFonts w:ascii="宋体" w:eastAsia="宋体" w:hAnsi="宋体" w:cs="宋体"/>
          <w:b/>
          <w:bCs/>
          <w:kern w:val="0"/>
          <w:sz w:val="27"/>
          <w:szCs w:val="27"/>
        </w:rPr>
      </w:pPr>
      <w:r w:rsidRPr="00E95B6F">
        <w:rPr>
          <w:rFonts w:ascii="宋体" w:eastAsia="宋体" w:hAnsi="宋体" w:cs="宋体"/>
          <w:b/>
          <w:bCs/>
          <w:kern w:val="0"/>
          <w:sz w:val="27"/>
          <w:szCs w:val="27"/>
        </w:rPr>
        <w:t>4.3 模型的进一步约束与预言</w:t>
      </w:r>
    </w:p>
    <w:p w:rsidR="00E95B6F" w:rsidRPr="00E95B6F" w:rsidRDefault="00E95B6F" w:rsidP="00E95B6F">
      <w:pPr>
        <w:widowControl/>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η ∝ M_b^0.425 这一经验公式为流体宇宙模型中描述星系涡旋的微观理论（如具体的涡量演化方程、状态方程）提供了一个</w:t>
      </w:r>
      <w:r w:rsidRPr="00E95B6F">
        <w:rPr>
          <w:rFonts w:ascii="宋体" w:eastAsia="宋体" w:hAnsi="宋体" w:cs="宋体"/>
          <w:b/>
          <w:bCs/>
          <w:kern w:val="0"/>
          <w:sz w:val="24"/>
          <w:szCs w:val="24"/>
        </w:rPr>
        <w:t>可拟合的观测约束</w:t>
      </w:r>
      <w:r w:rsidRPr="00E95B6F">
        <w:rPr>
          <w:rFonts w:ascii="宋体" w:eastAsia="宋体" w:hAnsi="宋体" w:cs="宋体"/>
          <w:kern w:val="0"/>
          <w:sz w:val="24"/>
          <w:szCs w:val="24"/>
        </w:rPr>
        <w:t>。未来的理论工作需能在一定的参数范围内重现这一指数。此外，模型可进一步预言该标度关系在不同星系类型、不同红移处的演化，这将成为后续观测检验的新方向。</w:t>
      </w:r>
    </w:p>
    <w:p w:rsidR="00E95B6F" w:rsidRPr="00E95B6F" w:rsidRDefault="00E95B6F" w:rsidP="00E95B6F">
      <w:pPr>
        <w:widowControl/>
        <w:spacing w:before="100" w:beforeAutospacing="1" w:after="100" w:afterAutospacing="1"/>
        <w:jc w:val="left"/>
        <w:outlineLvl w:val="1"/>
        <w:rPr>
          <w:rFonts w:ascii="宋体" w:eastAsia="宋体" w:hAnsi="宋体" w:cs="宋体"/>
          <w:b/>
          <w:bCs/>
          <w:kern w:val="0"/>
          <w:sz w:val="36"/>
          <w:szCs w:val="36"/>
        </w:rPr>
      </w:pPr>
      <w:r w:rsidRPr="00E95B6F">
        <w:rPr>
          <w:rFonts w:ascii="宋体" w:eastAsia="宋体" w:hAnsi="宋体" w:cs="宋体"/>
          <w:b/>
          <w:bCs/>
          <w:kern w:val="0"/>
          <w:sz w:val="36"/>
          <w:szCs w:val="36"/>
        </w:rPr>
        <w:t>5. 结论</w:t>
      </w:r>
    </w:p>
    <w:p w:rsidR="00E95B6F" w:rsidRPr="00E95B6F" w:rsidRDefault="00E95B6F" w:rsidP="00E95B6F">
      <w:pPr>
        <w:widowControl/>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本研究在流体宇宙模型的框架下，通过对SPARC星系样本的严谨分析，发现了一个稳健的标度关系：</w:t>
      </w:r>
      <w:r w:rsidRPr="00E95B6F">
        <w:rPr>
          <w:rFonts w:ascii="宋体" w:eastAsia="宋体" w:hAnsi="宋体" w:cs="宋体"/>
          <w:b/>
          <w:bCs/>
          <w:kern w:val="0"/>
          <w:sz w:val="24"/>
          <w:szCs w:val="24"/>
        </w:rPr>
        <w:t>星系的动力学弥散参数η与其总重子质量M_b的0.425次方成正比</w:t>
      </w:r>
      <w:r w:rsidRPr="00E95B6F">
        <w:rPr>
          <w:rFonts w:ascii="宋体" w:eastAsia="宋体" w:hAnsi="宋体" w:cs="宋体"/>
          <w:kern w:val="0"/>
          <w:sz w:val="24"/>
          <w:szCs w:val="24"/>
        </w:rPr>
        <w:t>。</w:t>
      </w:r>
    </w:p>
    <w:p w:rsidR="00E95B6F" w:rsidRPr="00E95B6F" w:rsidRDefault="00E95B6F" w:rsidP="00E95B6F">
      <w:pPr>
        <w:widowControl/>
        <w:numPr>
          <w:ilvl w:val="0"/>
          <w:numId w:val="47"/>
        </w:numPr>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这一关系基于严格数据清洗后的114个高质量星系样本，具有高度的统计显著性。</w:t>
      </w:r>
    </w:p>
    <w:p w:rsidR="00E95B6F" w:rsidRPr="00E95B6F" w:rsidRDefault="00E95B6F" w:rsidP="00E95B6F">
      <w:pPr>
        <w:widowControl/>
        <w:numPr>
          <w:ilvl w:val="0"/>
          <w:numId w:val="47"/>
        </w:numPr>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该关系在流体宇宙模型中可以被自然地解释为</w:t>
      </w:r>
      <w:r w:rsidRPr="00E95B6F">
        <w:rPr>
          <w:rFonts w:ascii="宋体" w:eastAsia="宋体" w:hAnsi="宋体" w:cs="宋体"/>
          <w:b/>
          <w:bCs/>
          <w:kern w:val="0"/>
          <w:sz w:val="24"/>
          <w:szCs w:val="24"/>
        </w:rPr>
        <w:t>宇宙流体中局域涡旋结构的涌现属性</w:t>
      </w:r>
      <w:r w:rsidRPr="00E95B6F">
        <w:rPr>
          <w:rFonts w:ascii="宋体" w:eastAsia="宋体" w:hAnsi="宋体" w:cs="宋体"/>
          <w:kern w:val="0"/>
          <w:sz w:val="24"/>
          <w:szCs w:val="24"/>
        </w:rPr>
        <w:t>，为模型提供了关键的定量观测依据。</w:t>
      </w:r>
    </w:p>
    <w:p w:rsidR="00E95B6F" w:rsidRPr="00E95B6F" w:rsidRDefault="00E95B6F" w:rsidP="00E95B6F">
      <w:pPr>
        <w:widowControl/>
        <w:numPr>
          <w:ilvl w:val="0"/>
          <w:numId w:val="47"/>
        </w:numPr>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它支持了模型“无需暗物质即可解释星系动力学”的核心观点，展示了该统一框架在解释天体物理现象上的潜力。</w:t>
      </w:r>
    </w:p>
    <w:p w:rsidR="00E95B6F" w:rsidRPr="00E95B6F" w:rsidRDefault="00E95B6F" w:rsidP="00E95B6F">
      <w:pPr>
        <w:widowControl/>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本研究的所有数据、清洗流程与分析代码均已公开，以确保结果的完全可复现性，并为流体宇宙模型的后续发展与检验提供基础。</w:t>
      </w:r>
    </w:p>
    <w:p w:rsidR="00E95B6F" w:rsidRPr="00E95B6F" w:rsidRDefault="00E95B6F" w:rsidP="00E95B6F">
      <w:pPr>
        <w:widowControl/>
        <w:spacing w:before="100" w:beforeAutospacing="1" w:after="100" w:afterAutospacing="1"/>
        <w:jc w:val="left"/>
        <w:outlineLvl w:val="1"/>
        <w:rPr>
          <w:rFonts w:ascii="宋体" w:eastAsia="宋体" w:hAnsi="宋体" w:cs="宋体"/>
          <w:b/>
          <w:bCs/>
          <w:kern w:val="0"/>
          <w:sz w:val="36"/>
          <w:szCs w:val="36"/>
        </w:rPr>
      </w:pPr>
      <w:r w:rsidRPr="00E95B6F">
        <w:rPr>
          <w:rFonts w:ascii="宋体" w:eastAsia="宋体" w:hAnsi="宋体" w:cs="宋体"/>
          <w:b/>
          <w:bCs/>
          <w:kern w:val="0"/>
          <w:sz w:val="36"/>
          <w:szCs w:val="36"/>
        </w:rPr>
        <w:t>数据可用性</w:t>
      </w:r>
    </w:p>
    <w:p w:rsidR="00E95B6F" w:rsidRPr="00E95B6F" w:rsidRDefault="00E95B6F" w:rsidP="00E95B6F">
      <w:pPr>
        <w:widowControl/>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本研究所用的最终清洗样本数据、分析代码及图表生成脚本，均可在GitHub仓库获取：https://github.com/FIUM132/Fluid-Universe-Model</w:t>
      </w:r>
    </w:p>
    <w:p w:rsidR="00E95B6F" w:rsidRPr="00E95B6F" w:rsidRDefault="00E95B6F" w:rsidP="00E95B6F">
      <w:pPr>
        <w:widowControl/>
        <w:spacing w:before="100" w:beforeAutospacing="1" w:after="100" w:afterAutospacing="1"/>
        <w:jc w:val="left"/>
        <w:outlineLvl w:val="1"/>
        <w:rPr>
          <w:rFonts w:ascii="宋体" w:eastAsia="宋体" w:hAnsi="宋体" w:cs="宋体"/>
          <w:b/>
          <w:bCs/>
          <w:kern w:val="0"/>
          <w:sz w:val="36"/>
          <w:szCs w:val="36"/>
        </w:rPr>
      </w:pPr>
      <w:r w:rsidRPr="00E95B6F">
        <w:rPr>
          <w:rFonts w:ascii="宋体" w:eastAsia="宋体" w:hAnsi="宋体" w:cs="宋体"/>
          <w:b/>
          <w:bCs/>
          <w:kern w:val="0"/>
          <w:sz w:val="36"/>
          <w:szCs w:val="36"/>
        </w:rPr>
        <w:t>利益冲突声明</w:t>
      </w:r>
    </w:p>
    <w:p w:rsidR="00E95B6F" w:rsidRPr="00E95B6F" w:rsidRDefault="00E95B6F" w:rsidP="00E95B6F">
      <w:pPr>
        <w:widowControl/>
        <w:spacing w:before="100" w:beforeAutospacing="1" w:after="100" w:afterAutospacing="1"/>
        <w:jc w:val="left"/>
        <w:rPr>
          <w:rFonts w:ascii="宋体" w:eastAsia="宋体" w:hAnsi="宋体" w:cs="宋体"/>
          <w:kern w:val="0"/>
          <w:sz w:val="24"/>
          <w:szCs w:val="24"/>
        </w:rPr>
      </w:pPr>
      <w:r w:rsidRPr="00E95B6F">
        <w:rPr>
          <w:rFonts w:ascii="宋体" w:eastAsia="宋体" w:hAnsi="宋体" w:cs="宋体"/>
          <w:kern w:val="0"/>
          <w:sz w:val="24"/>
          <w:szCs w:val="24"/>
        </w:rPr>
        <w:t>作者声明无任何利益冲突。</w:t>
      </w:r>
    </w:p>
    <w:p w:rsidR="00E95B6F" w:rsidRPr="00E95B6F" w:rsidRDefault="006151F2" w:rsidP="00E95B6F">
      <w:pPr>
        <w:widowControl/>
        <w:jc w:val="left"/>
        <w:rPr>
          <w:rFonts w:ascii="宋体" w:eastAsia="宋体" w:hAnsi="宋体" w:cs="宋体"/>
          <w:kern w:val="0"/>
          <w:sz w:val="24"/>
          <w:szCs w:val="24"/>
        </w:rPr>
      </w:pPr>
      <w:r>
        <w:rPr>
          <w:rFonts w:ascii="宋体" w:eastAsia="宋体" w:hAnsi="宋体" w:cs="宋体"/>
          <w:kern w:val="0"/>
          <w:sz w:val="24"/>
          <w:szCs w:val="24"/>
        </w:rPr>
        <w:pict>
          <v:rect id="_x0000_i1026" style="width:0;height:1.5pt" o:hralign="center" o:hrstd="t" o:hr="t" fillcolor="#a0a0a0" stroked="f"/>
        </w:pict>
      </w:r>
    </w:p>
    <w:p w:rsidR="002F0716" w:rsidRPr="00E95B6F" w:rsidRDefault="002F0716" w:rsidP="00E95B6F"/>
    <w:sectPr w:rsidR="002F0716" w:rsidRPr="00E95B6F">
      <w:headerReference w:type="default" r:id="rId8"/>
      <w:footerReference w:type="default" r:id="rId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51F2" w:rsidRDefault="006151F2">
      <w:r>
        <w:separator/>
      </w:r>
    </w:p>
  </w:endnote>
  <w:endnote w:type="continuationSeparator" w:id="0">
    <w:p w:rsidR="006151F2" w:rsidRDefault="00615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unse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0716" w:rsidRDefault="002F0716"/>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51F2" w:rsidRDefault="006151F2">
      <w:r>
        <w:separator/>
      </w:r>
    </w:p>
  </w:footnote>
  <w:footnote w:type="continuationSeparator" w:id="0">
    <w:p w:rsidR="006151F2" w:rsidRDefault="006151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0716" w:rsidRDefault="002F0716"/>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C51F4"/>
    <w:multiLevelType w:val="multilevel"/>
    <w:tmpl w:val="A9F4A3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B426E2"/>
    <w:multiLevelType w:val="multilevel"/>
    <w:tmpl w:val="C80E74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7D548E"/>
    <w:multiLevelType w:val="multilevel"/>
    <w:tmpl w:val="3E6E78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7622B4"/>
    <w:multiLevelType w:val="multilevel"/>
    <w:tmpl w:val="1C2E8B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491734"/>
    <w:multiLevelType w:val="multilevel"/>
    <w:tmpl w:val="CD26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95CF6"/>
    <w:multiLevelType w:val="multilevel"/>
    <w:tmpl w:val="09C2AC9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9B2D38"/>
    <w:multiLevelType w:val="multilevel"/>
    <w:tmpl w:val="D47414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3E31B08"/>
    <w:multiLevelType w:val="multilevel"/>
    <w:tmpl w:val="52BC82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7095CE7"/>
    <w:multiLevelType w:val="multilevel"/>
    <w:tmpl w:val="C98EF26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8E420B2"/>
    <w:multiLevelType w:val="multilevel"/>
    <w:tmpl w:val="2E98D3F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9951025"/>
    <w:multiLevelType w:val="multilevel"/>
    <w:tmpl w:val="1CC4D9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D7960EA"/>
    <w:multiLevelType w:val="multilevel"/>
    <w:tmpl w:val="96AA83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5B13D77"/>
    <w:multiLevelType w:val="multilevel"/>
    <w:tmpl w:val="61707E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5CF3EE6"/>
    <w:multiLevelType w:val="multilevel"/>
    <w:tmpl w:val="7910FB8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8074C29"/>
    <w:multiLevelType w:val="multilevel"/>
    <w:tmpl w:val="FB9E7C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C13161D"/>
    <w:multiLevelType w:val="multilevel"/>
    <w:tmpl w:val="F468CE0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0672571"/>
    <w:multiLevelType w:val="multilevel"/>
    <w:tmpl w:val="500E8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DE6065"/>
    <w:multiLevelType w:val="multilevel"/>
    <w:tmpl w:val="9552FC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23C58DE"/>
    <w:multiLevelType w:val="multilevel"/>
    <w:tmpl w:val="011AB8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C6404A1"/>
    <w:multiLevelType w:val="multilevel"/>
    <w:tmpl w:val="A6EC2A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E575A5C"/>
    <w:multiLevelType w:val="multilevel"/>
    <w:tmpl w:val="9170F8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EA0536B"/>
    <w:multiLevelType w:val="multilevel"/>
    <w:tmpl w:val="D0D8AD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EDB20A2"/>
    <w:multiLevelType w:val="multilevel"/>
    <w:tmpl w:val="34563E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F4863A1"/>
    <w:multiLevelType w:val="multilevel"/>
    <w:tmpl w:val="CD18AA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1621453"/>
    <w:multiLevelType w:val="multilevel"/>
    <w:tmpl w:val="EB56DA2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1FB03B5"/>
    <w:multiLevelType w:val="multilevel"/>
    <w:tmpl w:val="DE6C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41E2D"/>
    <w:multiLevelType w:val="multilevel"/>
    <w:tmpl w:val="CE64644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0AF089E"/>
    <w:multiLevelType w:val="multilevel"/>
    <w:tmpl w:val="AAE2531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2705736"/>
    <w:multiLevelType w:val="multilevel"/>
    <w:tmpl w:val="16E250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2EA2B14"/>
    <w:multiLevelType w:val="multilevel"/>
    <w:tmpl w:val="D2CA13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47146E2"/>
    <w:multiLevelType w:val="multilevel"/>
    <w:tmpl w:val="3202EA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7BB621F"/>
    <w:multiLevelType w:val="multilevel"/>
    <w:tmpl w:val="11F679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E565DD7"/>
    <w:multiLevelType w:val="multilevel"/>
    <w:tmpl w:val="942E56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3E630FC"/>
    <w:multiLevelType w:val="multilevel"/>
    <w:tmpl w:val="E8B2A9C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60E7BCF"/>
    <w:multiLevelType w:val="multilevel"/>
    <w:tmpl w:val="32E4DB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613349B"/>
    <w:multiLevelType w:val="multilevel"/>
    <w:tmpl w:val="CC0A4E2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8612920"/>
    <w:multiLevelType w:val="multilevel"/>
    <w:tmpl w:val="C9EA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EB18A3"/>
    <w:multiLevelType w:val="multilevel"/>
    <w:tmpl w:val="BD7CF57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B282D8D"/>
    <w:multiLevelType w:val="multilevel"/>
    <w:tmpl w:val="568245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0147F60"/>
    <w:multiLevelType w:val="multilevel"/>
    <w:tmpl w:val="B56EE1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19D6CD4"/>
    <w:multiLevelType w:val="multilevel"/>
    <w:tmpl w:val="ADBEF2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2B55868"/>
    <w:multiLevelType w:val="multilevel"/>
    <w:tmpl w:val="C4BAA0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3000EC9"/>
    <w:multiLevelType w:val="multilevel"/>
    <w:tmpl w:val="F1D0828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832558F"/>
    <w:multiLevelType w:val="multilevel"/>
    <w:tmpl w:val="3D52CC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9CD024B"/>
    <w:multiLevelType w:val="multilevel"/>
    <w:tmpl w:val="59E292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B385E19"/>
    <w:multiLevelType w:val="multilevel"/>
    <w:tmpl w:val="5B4E358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C227907"/>
    <w:multiLevelType w:val="multilevel"/>
    <w:tmpl w:val="9344FA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0"/>
  </w:num>
  <w:num w:numId="2">
    <w:abstractNumId w:val="7"/>
  </w:num>
  <w:num w:numId="3">
    <w:abstractNumId w:val="29"/>
  </w:num>
  <w:num w:numId="4">
    <w:abstractNumId w:val="27"/>
  </w:num>
  <w:num w:numId="5">
    <w:abstractNumId w:val="5"/>
  </w:num>
  <w:num w:numId="6">
    <w:abstractNumId w:val="8"/>
  </w:num>
  <w:num w:numId="7">
    <w:abstractNumId w:val="40"/>
  </w:num>
  <w:num w:numId="8">
    <w:abstractNumId w:val="1"/>
  </w:num>
  <w:num w:numId="9">
    <w:abstractNumId w:val="41"/>
  </w:num>
  <w:num w:numId="10">
    <w:abstractNumId w:val="13"/>
  </w:num>
  <w:num w:numId="11">
    <w:abstractNumId w:val="9"/>
  </w:num>
  <w:num w:numId="12">
    <w:abstractNumId w:val="42"/>
  </w:num>
  <w:num w:numId="13">
    <w:abstractNumId w:val="45"/>
  </w:num>
  <w:num w:numId="14">
    <w:abstractNumId w:val="21"/>
  </w:num>
  <w:num w:numId="15">
    <w:abstractNumId w:val="44"/>
  </w:num>
  <w:num w:numId="16">
    <w:abstractNumId w:val="14"/>
  </w:num>
  <w:num w:numId="17">
    <w:abstractNumId w:val="32"/>
  </w:num>
  <w:num w:numId="18">
    <w:abstractNumId w:val="3"/>
  </w:num>
  <w:num w:numId="19">
    <w:abstractNumId w:val="34"/>
  </w:num>
  <w:num w:numId="20">
    <w:abstractNumId w:val="30"/>
  </w:num>
  <w:num w:numId="21">
    <w:abstractNumId w:val="2"/>
  </w:num>
  <w:num w:numId="22">
    <w:abstractNumId w:val="37"/>
  </w:num>
  <w:num w:numId="23">
    <w:abstractNumId w:val="15"/>
  </w:num>
  <w:num w:numId="24">
    <w:abstractNumId w:val="12"/>
  </w:num>
  <w:num w:numId="25">
    <w:abstractNumId w:val="19"/>
  </w:num>
  <w:num w:numId="26">
    <w:abstractNumId w:val="31"/>
  </w:num>
  <w:num w:numId="27">
    <w:abstractNumId w:val="39"/>
  </w:num>
  <w:num w:numId="28">
    <w:abstractNumId w:val="18"/>
  </w:num>
  <w:num w:numId="29">
    <w:abstractNumId w:val="46"/>
  </w:num>
  <w:num w:numId="30">
    <w:abstractNumId w:val="22"/>
  </w:num>
  <w:num w:numId="31">
    <w:abstractNumId w:val="10"/>
  </w:num>
  <w:num w:numId="32">
    <w:abstractNumId w:val="11"/>
  </w:num>
  <w:num w:numId="33">
    <w:abstractNumId w:val="23"/>
  </w:num>
  <w:num w:numId="34">
    <w:abstractNumId w:val="38"/>
  </w:num>
  <w:num w:numId="35">
    <w:abstractNumId w:val="28"/>
  </w:num>
  <w:num w:numId="36">
    <w:abstractNumId w:val="6"/>
  </w:num>
  <w:num w:numId="37">
    <w:abstractNumId w:val="43"/>
  </w:num>
  <w:num w:numId="38">
    <w:abstractNumId w:val="0"/>
  </w:num>
  <w:num w:numId="39">
    <w:abstractNumId w:val="17"/>
  </w:num>
  <w:num w:numId="40">
    <w:abstractNumId w:val="35"/>
  </w:num>
  <w:num w:numId="41">
    <w:abstractNumId w:val="33"/>
  </w:num>
  <w:num w:numId="42">
    <w:abstractNumId w:val="26"/>
  </w:num>
  <w:num w:numId="43">
    <w:abstractNumId w:val="24"/>
  </w:num>
  <w:num w:numId="44">
    <w:abstractNumId w:val="4"/>
  </w:num>
  <w:num w:numId="45">
    <w:abstractNumId w:val="16"/>
  </w:num>
  <w:num w:numId="46">
    <w:abstractNumId w:val="25"/>
  </w:num>
  <w:num w:numId="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716"/>
    <w:rsid w:val="002F0716"/>
    <w:rsid w:val="006151F2"/>
    <w:rsid w:val="00736132"/>
    <w:rsid w:val="007B0CDC"/>
    <w:rsid w:val="008A7414"/>
    <w:rsid w:val="00B14849"/>
    <w:rsid w:val="00E95B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90D28"/>
  <w15:docId w15:val="{E82B2F20-C00A-4473-8B73-AC734841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E95B6F"/>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E95B6F"/>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E95B6F"/>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5B6F"/>
    <w:rPr>
      <w:rFonts w:ascii="宋体" w:eastAsia="宋体" w:hAnsi="宋体" w:cs="宋体"/>
      <w:b/>
      <w:bCs/>
      <w:kern w:val="36"/>
      <w:sz w:val="48"/>
      <w:szCs w:val="48"/>
    </w:rPr>
  </w:style>
  <w:style w:type="character" w:customStyle="1" w:styleId="20">
    <w:name w:val="标题 2 字符"/>
    <w:basedOn w:val="a0"/>
    <w:link w:val="2"/>
    <w:uiPriority w:val="9"/>
    <w:rsid w:val="00E95B6F"/>
    <w:rPr>
      <w:rFonts w:ascii="宋体" w:eastAsia="宋体" w:hAnsi="宋体" w:cs="宋体"/>
      <w:b/>
      <w:bCs/>
      <w:kern w:val="0"/>
      <w:sz w:val="36"/>
      <w:szCs w:val="36"/>
    </w:rPr>
  </w:style>
  <w:style w:type="character" w:customStyle="1" w:styleId="30">
    <w:name w:val="标题 3 字符"/>
    <w:basedOn w:val="a0"/>
    <w:link w:val="3"/>
    <w:uiPriority w:val="9"/>
    <w:rsid w:val="00E95B6F"/>
    <w:rPr>
      <w:rFonts w:ascii="宋体" w:eastAsia="宋体" w:hAnsi="宋体" w:cs="宋体"/>
      <w:b/>
      <w:bCs/>
      <w:kern w:val="0"/>
      <w:sz w:val="27"/>
      <w:szCs w:val="27"/>
    </w:rPr>
  </w:style>
  <w:style w:type="paragraph" w:styleId="a3">
    <w:name w:val="Normal (Web)"/>
    <w:basedOn w:val="a"/>
    <w:uiPriority w:val="99"/>
    <w:semiHidden/>
    <w:unhideWhenUsed/>
    <w:rsid w:val="00E95B6F"/>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E95B6F"/>
    <w:rPr>
      <w:b/>
      <w:bCs/>
    </w:rPr>
  </w:style>
  <w:style w:type="character" w:styleId="HTML">
    <w:name w:val="HTML Code"/>
    <w:basedOn w:val="a0"/>
    <w:uiPriority w:val="99"/>
    <w:semiHidden/>
    <w:unhideWhenUsed/>
    <w:rsid w:val="00E95B6F"/>
    <w:rPr>
      <w:rFonts w:ascii="宋体" w:eastAsia="宋体" w:hAnsi="宋体" w:cs="宋体"/>
      <w:sz w:val="24"/>
      <w:szCs w:val="24"/>
    </w:rPr>
  </w:style>
  <w:style w:type="character" w:styleId="a5">
    <w:name w:val="Hyperlink"/>
    <w:basedOn w:val="a0"/>
    <w:uiPriority w:val="99"/>
    <w:semiHidden/>
    <w:unhideWhenUsed/>
    <w:rsid w:val="00B14849"/>
    <w:rPr>
      <w:color w:val="0563C1" w:themeColor="hyperlink"/>
      <w:u w:val="single"/>
    </w:rPr>
  </w:style>
  <w:style w:type="paragraph" w:styleId="a6">
    <w:name w:val="Subtitle"/>
    <w:basedOn w:val="a"/>
    <w:next w:val="a"/>
    <w:link w:val="a7"/>
    <w:uiPriority w:val="11"/>
    <w:qFormat/>
    <w:rsid w:val="00B14849"/>
    <w:pPr>
      <w:spacing w:before="240" w:after="60" w:line="312" w:lineRule="auto"/>
      <w:jc w:val="center"/>
      <w:outlineLvl w:val="1"/>
    </w:pPr>
    <w:rPr>
      <w:b/>
      <w:bCs/>
      <w:kern w:val="28"/>
      <w:sz w:val="32"/>
      <w:szCs w:val="32"/>
    </w:rPr>
  </w:style>
  <w:style w:type="character" w:customStyle="1" w:styleId="a7">
    <w:name w:val="副标题 字符"/>
    <w:basedOn w:val="a0"/>
    <w:link w:val="a6"/>
    <w:uiPriority w:val="11"/>
    <w:rsid w:val="00B14849"/>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489195">
      <w:bodyDiv w:val="1"/>
      <w:marLeft w:val="0"/>
      <w:marRight w:val="0"/>
      <w:marTop w:val="0"/>
      <w:marBottom w:val="0"/>
      <w:divBdr>
        <w:top w:val="none" w:sz="0" w:space="0" w:color="auto"/>
        <w:left w:val="none" w:sz="0" w:space="0" w:color="auto"/>
        <w:bottom w:val="none" w:sz="0" w:space="0" w:color="auto"/>
        <w:right w:val="none" w:sz="0" w:space="0" w:color="auto"/>
      </w:divBdr>
      <w:divsChild>
        <w:div w:id="1602103439">
          <w:marLeft w:val="0"/>
          <w:marRight w:val="0"/>
          <w:marTop w:val="360"/>
          <w:marBottom w:val="360"/>
          <w:divBdr>
            <w:top w:val="none" w:sz="0" w:space="0" w:color="auto"/>
            <w:left w:val="none" w:sz="0" w:space="0" w:color="auto"/>
            <w:bottom w:val="none" w:sz="0" w:space="0" w:color="auto"/>
            <w:right w:val="none" w:sz="0" w:space="0" w:color="auto"/>
          </w:divBdr>
        </w:div>
      </w:divsChild>
    </w:div>
    <w:div w:id="892546644">
      <w:bodyDiv w:val="1"/>
      <w:marLeft w:val="0"/>
      <w:marRight w:val="0"/>
      <w:marTop w:val="0"/>
      <w:marBottom w:val="0"/>
      <w:divBdr>
        <w:top w:val="none" w:sz="0" w:space="0" w:color="auto"/>
        <w:left w:val="none" w:sz="0" w:space="0" w:color="auto"/>
        <w:bottom w:val="none" w:sz="0" w:space="0" w:color="auto"/>
        <w:right w:val="none" w:sz="0" w:space="0" w:color="auto"/>
      </w:divBdr>
    </w:div>
    <w:div w:id="1015307930">
      <w:bodyDiv w:val="1"/>
      <w:marLeft w:val="0"/>
      <w:marRight w:val="0"/>
      <w:marTop w:val="0"/>
      <w:marBottom w:val="0"/>
      <w:divBdr>
        <w:top w:val="none" w:sz="0" w:space="0" w:color="auto"/>
        <w:left w:val="none" w:sz="0" w:space="0" w:color="auto"/>
        <w:bottom w:val="none" w:sz="0" w:space="0" w:color="auto"/>
        <w:right w:val="none" w:sz="0" w:space="0" w:color="auto"/>
      </w:divBdr>
      <w:divsChild>
        <w:div w:id="606935250">
          <w:marLeft w:val="0"/>
          <w:marRight w:val="0"/>
          <w:marTop w:val="0"/>
          <w:marBottom w:val="0"/>
          <w:divBdr>
            <w:top w:val="none" w:sz="0" w:space="0" w:color="auto"/>
            <w:left w:val="none" w:sz="0" w:space="0" w:color="auto"/>
            <w:bottom w:val="none" w:sz="0" w:space="0" w:color="auto"/>
            <w:right w:val="none" w:sz="0" w:space="0" w:color="auto"/>
          </w:divBdr>
          <w:divsChild>
            <w:div w:id="1263805880">
              <w:marLeft w:val="0"/>
              <w:marRight w:val="0"/>
              <w:marTop w:val="0"/>
              <w:marBottom w:val="0"/>
              <w:divBdr>
                <w:top w:val="none" w:sz="0" w:space="0" w:color="auto"/>
                <w:left w:val="none" w:sz="0" w:space="0" w:color="auto"/>
                <w:bottom w:val="none" w:sz="0" w:space="0" w:color="auto"/>
                <w:right w:val="none" w:sz="0" w:space="0" w:color="auto"/>
              </w:divBdr>
              <w:divsChild>
                <w:div w:id="2516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5609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FIUM132/Fluid-Universe-Mod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Administrator</cp:lastModifiedBy>
  <cp:revision>4</cp:revision>
  <dcterms:created xsi:type="dcterms:W3CDTF">2026-04-17T09:08:00Z</dcterms:created>
  <dcterms:modified xsi:type="dcterms:W3CDTF">2026-04-17T09:30:00Z</dcterms:modified>
</cp:coreProperties>
</file>