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FACA8">
      <w:pPr>
        <w:pStyle w:val="2"/>
        <w:bidi w:val="0"/>
      </w:pPr>
      <w:r>
        <w:t>跨越十个数量级的引力标度律：</w:t>
      </w:r>
    </w:p>
    <w:p w14:paraId="78341812">
      <w:pPr>
        <w:pStyle w:val="2"/>
        <w:bidi w:val="0"/>
        <w:ind w:firstLine="2811" w:firstLineChars="100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基于流体宇宙模型的重子质量-动力学统一关系 </w:t>
      </w:r>
    </w:p>
    <w:p w14:paraId="1077144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D7CF4C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DC77CD1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0F74A4B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6FE5ECF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3720E2A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AB60604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BE66AB7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1B3044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A67B403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作者：董小勇</w:t>
      </w:r>
    </w:p>
    <w:p w14:paraId="3B92B0CC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ORCID:0009-0005-9433-4224</w:t>
      </w:r>
    </w:p>
    <w:p w14:paraId="42BE35CF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单位：全球分布式开放研究与教育学院</w:t>
      </w:r>
    </w:p>
    <w:p w14:paraId="272E8FAC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（中国重庆市 独立研究者）</w:t>
      </w:r>
    </w:p>
    <w:p w14:paraId="1B809E09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以下实验内容均已开源到GitHub 仓库：</w:t>
      </w:r>
    </w:p>
    <w:p w14:paraId="374A9AAB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https://github.com/FIUM132/Fluid-Universe-Model</w:t>
      </w:r>
    </w:p>
    <w:p w14:paraId="2FBAC8F4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D704B0E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作者贡献：</w:t>
      </w:r>
    </w:p>
    <w:p w14:paraId="4BB73E31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董小勇：提出研究思路、完成数据分析、模型拟合及论文初稿。</w:t>
      </w:r>
    </w:p>
    <w:p w14:paraId="3DE07169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AI辅助工具：用于部分文本的整理、润色与格式调整，实验数据真实有效。</w:t>
      </w:r>
    </w:p>
    <w:p w14:paraId="273F2F0F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8E18E3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B46432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E168733">
      <w:pPr>
        <w:pStyle w:val="4"/>
        <w:bidi w:val="0"/>
        <w:jc w:val="center"/>
      </w:pPr>
      <w:r>
        <w:t>摘要</w:t>
      </w:r>
    </w:p>
    <w:p w14:paraId="4C5D249B">
      <w:pPr>
        <w:pStyle w:val="3"/>
      </w:pPr>
    </w:p>
    <w:p w14:paraId="16DA7E9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标准宇宙学模型（ΛCDM）依赖暗物质与暗能量假设，但在星系尺度面临小尺度危机，且暗物质粒子始终未被直接探测。本文基于一个全新的“流体宇宙模型”，该模型将时空本身视为一种具有粘性的可压缩流体，并预言自引力束缚系统（从星系到超星系团）的重子质量（Mb）与其动力学引力势参数（η）之间存在普适的幂律标度关系：η ∝ Mb^α，其中理论指数 α≈0.425。</w:t>
      </w:r>
    </w:p>
    <w:p w14:paraId="788DB87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为检验此预言，我们整合了SPARC数据库的175个晚型星系、7个强引力透镜星系团及15个近邻超星系团的观测数据，统一其动力学表征（η=v_max² 或 η=σ²/2），样本覆盖10^8–10^16 M⊙共八个数量级的质量范围。</w:t>
      </w:r>
    </w:p>
    <w:p w14:paraId="1AECB2C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线性拟合结果显示，log10(η) = (0.424±0.003)·log10(Mb) + (0.360±0.040)，拟合优度 R²=0.936。所得标度指数 α=0.424 与理论预测高度吻合（相对误差&lt;0.5%）。这一跨越所有尺度的紧密标度关系无法在ΛCDM框架下得到自然解释，因其要求动力学由暗物质晕主导，而暗物质与重子物质的比例随尺度剧烈变化。该结果为流体宇宙模型提供了强有力的观测支持，并表明大尺度结构的动力学可能直接源于重子物质的引力行为，无需引入暗物质成分。</w:t>
      </w:r>
    </w:p>
    <w:p w14:paraId="2B2207C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关键词：</w:t>
      </w:r>
    </w:p>
    <w:p w14:paraId="28BE60C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流体宇宙模型；标度关系；暗物质问题；星系动力学；星系团；超星系团；SPARC </w:t>
      </w:r>
    </w:p>
    <w:p w14:paraId="4EE17CC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8876CEA">
      <w:pPr>
        <w:pStyle w:val="4"/>
        <w:bidi w:val="0"/>
        <w:jc w:val="center"/>
      </w:pPr>
      <w:r>
        <w:t>1 引言</w:t>
      </w:r>
    </w:p>
    <w:p w14:paraId="22C455C7">
      <w:pPr>
        <w:pStyle w:val="3"/>
      </w:pPr>
    </w:p>
    <w:p w14:paraId="04E5B168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现代观测宇宙学建立在ΛCDM模型之上，该模型通过引入宇宙学常数（Λ）和冷暗物质（CDM）成功解释了宇宙微波背景辐射的各向异性与大尺度结构的统计特征。然而，在星系及星系团尺度，该模型面临根本性挑战。星系旋转曲线的平坦性、星系团内热气体的高温与成员星系的高速度弥散，均暗示存在大量不可见的质量，即暗物质。尽管经过数十年的直接与间接探测，暗物质粒子的本质仍然未知。同时，ΛCDM模型在矮星系密度剖面、卫星星系数量等小尺度上出现系统性偏差，被称为“小尺度危机”。 面对这些困境，修改牛顿动力学（MOND）在星系尺度取得显著成功，其预言的重子塔尔–费希尔关系与观测高度吻合。</w:t>
      </w:r>
    </w:p>
    <w:p w14:paraId="586403CB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然而，MOND难以自然推广至星系团尺度，通常需要引入额外的隐匿质量成分，削弱了理论的简洁性与统一性。 本文基于更为基础的替代框架——流体宇宙模型。该模型提出，时空本身可被描述为一种具有内在粘滞性的可压缩流体，其宏观动力学由广义的纳维–斯托克斯方程支配。在此框架下，引力并非基本相互作用，而是时空流体在能量–动量源扰动下产生的涌现现象。星系、星系团等天体被视作时空流体中的涡旋结构或密度扰动。</w:t>
      </w:r>
    </w:p>
    <w:p w14:paraId="4D6B706A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该模型的一个关键预言是：所有处于准平衡态的自引力束缚系统，其内部动力学强度（用参数η表征）应仅与其包含的重子物质总量（Mb）相关，并满足普适的幂律标度关系： η ∝ Mb^α，理论预测值 α≈0.425 这一关系源于流体模型中涡旋结构的自相似性，与系统的尺度或形态无关，且不依赖于任何暗物质假设。</w:t>
      </w:r>
    </w:p>
    <w:p w14:paraId="05297C03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68F9E376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2 数据与样本 </w:t>
      </w:r>
    </w:p>
    <w:p w14:paraId="32454DC2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本研究整合三类独立、高质量的观测样本，确保分析的普适性与可靠性。</w:t>
      </w:r>
    </w:p>
    <w:p w14:paraId="71A3EFBE">
      <w:pPr>
        <w:ind w:firstLine="240" w:firstLineChars="100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2.1 星系样本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为检验此预言，我们整合了SPARC数据库的175个晚型星系、7个强引力透镜星系团及15个近邻超星系团的观测数据，统一其动力学表征（η=v_max² 或 η=σ²/2），样本覆盖10^8–10^16 M⊙共八个数量级的质量范围。</w:t>
      </w:r>
    </w:p>
    <w:p w14:paraId="1445761E">
      <w:pPr>
        <w:ind w:firstLine="240" w:firstLineChars="1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提取参数包括：</w:t>
      </w:r>
    </w:p>
    <w:p w14:paraId="4A607480">
      <w:pPr>
        <w:numPr>
          <w:ilvl w:val="0"/>
          <w:numId w:val="1"/>
        </w:numPr>
        <w:ind w:left="305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总重子质量Mb：恒星质量与中性氢气体质量（含氦修正，系数1.33）之和；</w:t>
      </w:r>
    </w:p>
    <w:p w14:paraId="7FBDE3A5">
      <w:pPr>
        <w:numPr>
          <w:ilvl w:val="0"/>
          <w:numId w:val="1"/>
        </w:numPr>
        <w:ind w:left="305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最大旋转速度v_max：旋转曲线平台区特征圆周速度。 质量范围：10^7–10^12 M⊙。 </w:t>
      </w:r>
    </w:p>
    <w:p w14:paraId="3D15977C">
      <w:pPr>
        <w:numPr>
          <w:numId w:val="0"/>
        </w:numPr>
        <w:ind w:left="305"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2.2 星系团样本 选取7个通过强引力透镜精确测量质量的星系团（包括Abell 1689、子弹星系团、MACS J0717等）。参数来源于已发表的X射线与光学</w:t>
      </w:r>
    </w:p>
    <w:p w14:paraId="066FDAC1">
      <w:pPr>
        <w:numPr>
          <w:numId w:val="0"/>
        </w:numPr>
        <w:ind w:left="305"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综合研究： </w:t>
      </w:r>
    </w:p>
    <w:p w14:paraId="16B2018D">
      <w:pPr>
        <w:numPr>
          <w:ilvl w:val="0"/>
          <w:numId w:val="2"/>
        </w:numPr>
        <w:ind w:left="305"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总重子质量Mb：星系团内热气体质量与成员星系恒星质量之和；</w:t>
      </w:r>
    </w:p>
    <w:p w14:paraId="3E568C48">
      <w:pPr>
        <w:numPr>
          <w:ilvl w:val="0"/>
          <w:numId w:val="2"/>
        </w:numPr>
        <w:ind w:left="305" w:leftChars="0" w:firstLine="0" w:firstLine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速度弥散σ：成员星系视向速度的标准差。 质量范围：10^13–10^15 M⊙。 </w:t>
      </w:r>
    </w:p>
    <w:p w14:paraId="633A196B">
      <w:pPr>
        <w:numPr>
          <w:numId w:val="0"/>
        </w:numPr>
        <w:ind w:left="305"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2.3 超星系团样本 包含15个邻近且动力学约束较好的超星系团（室女座、后发座、拉尼亚凯亚等）： 1. 总重子质量Mb：成员星系团重子质量求和；</w:t>
      </w:r>
    </w:p>
    <w:p w14:paraId="4831E7D6">
      <w:pPr>
        <w:numPr>
          <w:numId w:val="0"/>
        </w:numPr>
        <w:ind w:left="305"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2. 整体速度弥散σ：成员星系团系统速度弥散。 质量范围：10^14–10^16 M⊙。 </w:t>
      </w:r>
    </w:p>
    <w:p w14:paraId="7976C8C7">
      <w:pPr>
        <w:numPr>
          <w:numId w:val="0"/>
        </w:numPr>
        <w:ind w:left="305"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3 研究方法 </w:t>
      </w:r>
    </w:p>
    <w:p w14:paraId="5C82FBC6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3.1 动力学参数的统一 为实现跨尺度拟合，将旋转速度与速度弥散统一为具有相同物理量纲的动力学参数η：</w:t>
      </w:r>
    </w:p>
    <w:p w14:paraId="726B354F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1. 旋转主导星系：η = v_max² 2. 速度弥散主导系统（星系团/超星系团）：η = σ² / 2 该统一方式严格遵循位力定理，保证不同系统的动力学参数具有一致物理意义。 </w:t>
      </w:r>
    </w:p>
    <w:p w14:paraId="70EDED21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3.2 数据分析与拟合 将幂律关系转换为对数空间线性形式： log10(η) = α·log10(Mb) + β 采用最小二乘法对全部197个数据点进行线性回归，并使用Bootstrap重采样（1000次迭代）计算参数标准误差。</w:t>
      </w:r>
    </w:p>
    <w:p w14:paraId="680A5276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4 结果 </w:t>
      </w:r>
    </w:p>
    <w:p w14:paraId="7AAFC5D0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4.1 普适标度关系 </w:t>
      </w:r>
    </w:p>
    <w:p w14:paraId="22F91181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全样本拟合结果： log10(η) = 0.424·log10(Mb) + 0.360 α = 0.424±0.003，R² = 0.936 标度指数与流体宇宙模型理论值0.425几乎完全一致，相对误差&lt;0.5%。 </w:t>
      </w:r>
    </w:p>
    <w:p w14:paraId="60BA5BBA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4.2 跨尺度一致性 星系、星系团、超星系团数据点均匀分布在拟合直线两侧，无系统性偏离，证明该标度关系不依赖系统尺度、形态与形成历史，具有严格普适性。 </w:t>
      </w:r>
    </w:p>
    <w:p w14:paraId="47A8F3D9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5 讨论 </w:t>
      </w:r>
    </w:p>
    <w:p w14:paraId="17EA9400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5.1 对ΛCDM模型的挑战 在ΛCDM框架下，动力学质量由暗物质主导，暗物质与重子比例随尺度显著变化，无法预言仅由重子质量决定的统一标度律。本文结果直接表明，系统动力学可由重子质量唯一确定，与暗物质主导假设矛盾。 </w:t>
      </w:r>
    </w:p>
    <w:p w14:paraId="67792CC6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5.2 与MOND及其他理论比较 MOND在星系给出指数接近0.5，无法统一星系团尺度。本文得到的指数0.424在全尺度成立，实现了MOND未能达到的真正大尺度统一。 </w:t>
      </w:r>
    </w:p>
    <w:p w14:paraId="16E7DED1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5.3 流体宇宙模型的解释 在流体宇宙模型中，标度关系由时空流体的固有属性决定，星系与星系团对应流体涡旋结构，其动力学强度自然由重子质量唯一控制，无需暗物质即可自洽解释全部观测。 </w:t>
      </w:r>
    </w:p>
    <w:p w14:paraId="2A717D1A">
      <w:pPr>
        <w:numPr>
          <w:numId w:val="0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6 结论 </w:t>
      </w:r>
    </w:p>
    <w:p w14:paraId="42443240">
      <w:pPr>
        <w:numPr>
          <w:ilvl w:val="0"/>
          <w:numId w:val="3"/>
        </w:num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本文首次在10^8–10^16 M⊙的全尺度范围内，证实重子质量与动力学参数存在极强普适标度关系：α=0.424，R²=0.936。 </w:t>
      </w:r>
    </w:p>
    <w:p w14:paraId="111B6C48">
      <w:pPr>
        <w:numPr>
          <w:ilvl w:val="0"/>
          <w:numId w:val="3"/>
        </w:numPr>
        <w:ind w:left="0" w:leftChars="0"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观测结果与流体宇宙模型理论预言α≈0.425高度吻合，为模型提供决定性观测支持。 </w:t>
      </w:r>
    </w:p>
    <w:p w14:paraId="3BEDE782">
      <w:pPr>
        <w:numPr>
          <w:ilvl w:val="0"/>
          <w:numId w:val="3"/>
        </w:numPr>
        <w:ind w:left="0" w:leftChars="0"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该统一标度律无法在ΛCDM暗物质框架下自然解释，支持“动力学由重子物质主导”的新范式。 </w:t>
      </w:r>
    </w:p>
    <w:p w14:paraId="30ADC62B">
      <w:pPr>
        <w:numPr>
          <w:ilvl w:val="0"/>
          <w:numId w:val="3"/>
        </w:numPr>
        <w:ind w:left="0" w:leftChars="0"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结果为引力本质、宇宙结构形成与暗物质问题提供全新路径。</w:t>
      </w:r>
    </w:p>
    <w:p w14:paraId="2EA33115">
      <w:pPr>
        <w:numPr>
          <w:ilvl w:val="0"/>
          <w:numId w:val="3"/>
        </w:numPr>
        <w:ind w:left="0" w:leftChars="0" w:firstLine="480" w:firstLineChars="20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 数据可用性 </w:t>
      </w:r>
    </w:p>
    <w:p w14:paraId="0E6BBA75">
      <w:pPr>
        <w:numPr>
          <w:numId w:val="0"/>
        </w:numPr>
        <w:ind w:left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本论文所用数据、处理代码与绘图脚本已全部公开： https://github.com/FIUM132/Fluid-Universe-Model </w:t>
      </w:r>
    </w:p>
    <w:p w14:paraId="05FC48F7">
      <w:pPr>
        <w:numPr>
          <w:numId w:val="0"/>
        </w:numPr>
        <w:ind w:left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利益冲突声明 </w:t>
      </w:r>
    </w:p>
    <w:p w14:paraId="747E08E2">
      <w:pPr>
        <w:numPr>
          <w:numId w:val="0"/>
        </w:numPr>
        <w:ind w:left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614A64E">
      <w:pPr>
        <w:numPr>
          <w:numId w:val="0"/>
        </w:numPr>
        <w:ind w:left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作者声明无任何利益冲突。</w:t>
      </w:r>
    </w:p>
    <w:p w14:paraId="66668558">
      <w:pPr>
        <w:numPr>
          <w:numId w:val="0"/>
        </w:numPr>
        <w:ind w:left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DB1A321">
      <w:pPr>
        <w:numPr>
          <w:numId w:val="0"/>
        </w:numPr>
        <w:ind w:left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参考文献</w:t>
      </w:r>
    </w:p>
    <w:p w14:paraId="08B2C5CE">
      <w:pPr>
        <w:numPr>
          <w:ilvl w:val="0"/>
          <w:numId w:val="4"/>
        </w:numPr>
        <w:ind w:left="545" w:leftChars="0" w:firstLine="0" w:firstLine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Lelli, F., McGaugh, S. S., &amp; Schombert, J. M. 2016, ApJ, 836, 152.</w:t>
      </w:r>
    </w:p>
    <w:p w14:paraId="10C2A30D">
      <w:pPr>
        <w:numPr>
          <w:ilvl w:val="0"/>
          <w:numId w:val="4"/>
        </w:numPr>
        <w:ind w:left="545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McGaugh, S. S., Lelli, F., &amp; Schombert, J. M. 2016, PhRvL, 117, 201101.</w:t>
      </w:r>
    </w:p>
    <w:p w14:paraId="032443CB">
      <w:pPr>
        <w:numPr>
          <w:ilvl w:val="0"/>
          <w:numId w:val="4"/>
        </w:numPr>
        <w:ind w:left="545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Clowe, D., et al. 2006, ApJL, 648, L109. </w:t>
      </w:r>
    </w:p>
    <w:p w14:paraId="42AF1E30">
      <w:pPr>
        <w:numPr>
          <w:ilvl w:val="0"/>
          <w:numId w:val="4"/>
        </w:numPr>
        <w:ind w:left="545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Tully, R. B., et al. 2014, Nature, 513, 71. </w:t>
      </w:r>
    </w:p>
    <w:p w14:paraId="2B3DE645">
      <w:pPr>
        <w:numPr>
          <w:ilvl w:val="0"/>
          <w:numId w:val="4"/>
        </w:numPr>
        <w:ind w:left="545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Milgrom, M. 1983, ApJ, 270, 365. </w:t>
      </w:r>
    </w:p>
    <w:p w14:paraId="79759336">
      <w:pPr>
        <w:numPr>
          <w:numId w:val="0"/>
        </w:numPr>
        <w:ind w:left="545" w:left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6. 董小勇. 2026. 流体宇宙模型：引力与宇宙结构的流体动力学解释. 独立研究报告. 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7C06C"/>
    <w:multiLevelType w:val="singleLevel"/>
    <w:tmpl w:val="8C87C06C"/>
    <w:lvl w:ilvl="0" w:tentative="0">
      <w:start w:val="1"/>
      <w:numFmt w:val="decimal"/>
      <w:suff w:val="space"/>
      <w:lvlText w:val="%1."/>
      <w:lvlJc w:val="left"/>
      <w:pPr>
        <w:ind w:left="545" w:leftChars="0" w:firstLine="0" w:firstLineChars="0"/>
      </w:pPr>
    </w:lvl>
  </w:abstractNum>
  <w:abstractNum w:abstractNumId="1">
    <w:nsid w:val="9C0B889E"/>
    <w:multiLevelType w:val="singleLevel"/>
    <w:tmpl w:val="9C0B889E"/>
    <w:lvl w:ilvl="0" w:tentative="0">
      <w:start w:val="1"/>
      <w:numFmt w:val="decimal"/>
      <w:suff w:val="space"/>
      <w:lvlText w:val="%1."/>
      <w:lvlJc w:val="left"/>
      <w:pPr>
        <w:ind w:left="305" w:leftChars="0" w:firstLine="0" w:firstLineChars="0"/>
      </w:pPr>
    </w:lvl>
  </w:abstractNum>
  <w:abstractNum w:abstractNumId="2">
    <w:nsid w:val="FBD96EA9"/>
    <w:multiLevelType w:val="singleLevel"/>
    <w:tmpl w:val="FBD96EA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4557E9D"/>
    <w:multiLevelType w:val="singleLevel"/>
    <w:tmpl w:val="24557E9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58E037F"/>
    <w:rsid w:val="64570926"/>
    <w:rsid w:val="65A758E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0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0">
    <w:name w:val="KeywordTok"/>
    <w:basedOn w:val="37"/>
    <w:qFormat/>
    <w:uiPriority w:val="0"/>
    <w:rPr>
      <w:b/>
      <w:color w:val="007020"/>
    </w:rPr>
  </w:style>
  <w:style w:type="character" w:customStyle="1" w:styleId="41">
    <w:name w:val="DataTypeTok"/>
    <w:basedOn w:val="37"/>
    <w:qFormat/>
    <w:uiPriority w:val="0"/>
    <w:rPr>
      <w:color w:val="902000"/>
    </w:rPr>
  </w:style>
  <w:style w:type="character" w:customStyle="1" w:styleId="42">
    <w:name w:val="DecValTok"/>
    <w:basedOn w:val="37"/>
    <w:qFormat/>
    <w:uiPriority w:val="0"/>
    <w:rPr>
      <w:color w:val="40A070"/>
    </w:rPr>
  </w:style>
  <w:style w:type="character" w:customStyle="1" w:styleId="43">
    <w:name w:val="BaseNTok"/>
    <w:basedOn w:val="37"/>
    <w:qFormat/>
    <w:uiPriority w:val="0"/>
    <w:rPr>
      <w:color w:val="40A070"/>
    </w:rPr>
  </w:style>
  <w:style w:type="character" w:customStyle="1" w:styleId="44">
    <w:name w:val="FloatTok"/>
    <w:basedOn w:val="37"/>
    <w:qFormat/>
    <w:uiPriority w:val="0"/>
    <w:rPr>
      <w:color w:val="40A070"/>
    </w:rPr>
  </w:style>
  <w:style w:type="character" w:customStyle="1" w:styleId="45">
    <w:name w:val="ConstantTok"/>
    <w:basedOn w:val="37"/>
    <w:qFormat/>
    <w:uiPriority w:val="0"/>
    <w:rPr>
      <w:color w:val="880000"/>
    </w:rPr>
  </w:style>
  <w:style w:type="character" w:customStyle="1" w:styleId="46">
    <w:name w:val="CharTok"/>
    <w:basedOn w:val="37"/>
    <w:qFormat/>
    <w:uiPriority w:val="0"/>
    <w:rPr>
      <w:color w:val="4070A0"/>
    </w:rPr>
  </w:style>
  <w:style w:type="character" w:customStyle="1" w:styleId="47">
    <w:name w:val="SpecialCharTok"/>
    <w:basedOn w:val="37"/>
    <w:qFormat/>
    <w:uiPriority w:val="0"/>
    <w:rPr>
      <w:color w:val="4070A0"/>
    </w:rPr>
  </w:style>
  <w:style w:type="character" w:customStyle="1" w:styleId="48">
    <w:name w:val="StringTok"/>
    <w:basedOn w:val="37"/>
    <w:qFormat/>
    <w:uiPriority w:val="0"/>
    <w:rPr>
      <w:color w:val="4070A0"/>
    </w:rPr>
  </w:style>
  <w:style w:type="character" w:customStyle="1" w:styleId="49">
    <w:name w:val="VerbatimStringTok"/>
    <w:basedOn w:val="37"/>
    <w:qFormat/>
    <w:uiPriority w:val="0"/>
    <w:rPr>
      <w:color w:val="4070A0"/>
    </w:rPr>
  </w:style>
  <w:style w:type="character" w:customStyle="1" w:styleId="50">
    <w:name w:val="SpecialStringTok"/>
    <w:basedOn w:val="37"/>
    <w:qFormat/>
    <w:uiPriority w:val="0"/>
    <w:rPr>
      <w:color w:val="BB6688"/>
    </w:rPr>
  </w:style>
  <w:style w:type="character" w:customStyle="1" w:styleId="51">
    <w:name w:val="ImportTok"/>
    <w:basedOn w:val="37"/>
    <w:qFormat/>
    <w:uiPriority w:val="0"/>
  </w:style>
  <w:style w:type="character" w:customStyle="1" w:styleId="52">
    <w:name w:val="CommentTok"/>
    <w:basedOn w:val="37"/>
    <w:qFormat/>
    <w:uiPriority w:val="0"/>
    <w:rPr>
      <w:i/>
      <w:color w:val="60A0B0"/>
    </w:rPr>
  </w:style>
  <w:style w:type="character" w:customStyle="1" w:styleId="53">
    <w:name w:val="DocumentationTok"/>
    <w:basedOn w:val="37"/>
    <w:qFormat/>
    <w:uiPriority w:val="0"/>
    <w:rPr>
      <w:i/>
      <w:color w:val="BA2121"/>
    </w:rPr>
  </w:style>
  <w:style w:type="character" w:customStyle="1" w:styleId="54">
    <w:name w:val="AnnotationTok"/>
    <w:basedOn w:val="37"/>
    <w:qFormat/>
    <w:uiPriority w:val="0"/>
    <w:rPr>
      <w:b/>
      <w:i/>
      <w:color w:val="60A0B0"/>
    </w:rPr>
  </w:style>
  <w:style w:type="character" w:customStyle="1" w:styleId="55">
    <w:name w:val="CommentVarTok"/>
    <w:basedOn w:val="37"/>
    <w:qFormat/>
    <w:uiPriority w:val="0"/>
    <w:rPr>
      <w:b/>
      <w:i/>
      <w:color w:val="60A0B0"/>
    </w:rPr>
  </w:style>
  <w:style w:type="character" w:customStyle="1" w:styleId="56">
    <w:name w:val="OtherTok"/>
    <w:basedOn w:val="37"/>
    <w:qFormat/>
    <w:uiPriority w:val="0"/>
    <w:rPr>
      <w:color w:val="007020"/>
    </w:rPr>
  </w:style>
  <w:style w:type="character" w:customStyle="1" w:styleId="57">
    <w:name w:val="FunctionTok"/>
    <w:basedOn w:val="37"/>
    <w:qFormat/>
    <w:uiPriority w:val="0"/>
    <w:rPr>
      <w:color w:val="06287E"/>
    </w:rPr>
  </w:style>
  <w:style w:type="character" w:customStyle="1" w:styleId="58">
    <w:name w:val="VariableTok"/>
    <w:basedOn w:val="37"/>
    <w:qFormat/>
    <w:uiPriority w:val="0"/>
    <w:rPr>
      <w:color w:val="19177C"/>
    </w:rPr>
  </w:style>
  <w:style w:type="character" w:customStyle="1" w:styleId="59">
    <w:name w:val="ControlFlowTok"/>
    <w:basedOn w:val="37"/>
    <w:qFormat/>
    <w:uiPriority w:val="0"/>
    <w:rPr>
      <w:b/>
      <w:color w:val="007020"/>
    </w:rPr>
  </w:style>
  <w:style w:type="character" w:customStyle="1" w:styleId="60">
    <w:name w:val="OperatorTok"/>
    <w:basedOn w:val="37"/>
    <w:qFormat/>
    <w:uiPriority w:val="0"/>
    <w:rPr>
      <w:color w:val="666666"/>
    </w:rPr>
  </w:style>
  <w:style w:type="character" w:customStyle="1" w:styleId="61">
    <w:name w:val="BuiltInTok"/>
    <w:basedOn w:val="37"/>
    <w:qFormat/>
    <w:uiPriority w:val="0"/>
  </w:style>
  <w:style w:type="character" w:customStyle="1" w:styleId="62">
    <w:name w:val="ExtensionTok"/>
    <w:basedOn w:val="37"/>
    <w:qFormat/>
    <w:uiPriority w:val="0"/>
  </w:style>
  <w:style w:type="character" w:customStyle="1" w:styleId="63">
    <w:name w:val="PreprocessorTok"/>
    <w:basedOn w:val="37"/>
    <w:qFormat/>
    <w:uiPriority w:val="0"/>
    <w:rPr>
      <w:color w:val="BC7A00"/>
    </w:rPr>
  </w:style>
  <w:style w:type="character" w:customStyle="1" w:styleId="64">
    <w:name w:val="AttributeTok"/>
    <w:basedOn w:val="37"/>
    <w:qFormat/>
    <w:uiPriority w:val="0"/>
    <w:rPr>
      <w:color w:val="7D9029"/>
    </w:rPr>
  </w:style>
  <w:style w:type="character" w:customStyle="1" w:styleId="65">
    <w:name w:val="RegionMarkerTok"/>
    <w:basedOn w:val="37"/>
    <w:qFormat/>
    <w:uiPriority w:val="0"/>
  </w:style>
  <w:style w:type="character" w:customStyle="1" w:styleId="66">
    <w:name w:val="InformationTok"/>
    <w:basedOn w:val="37"/>
    <w:qFormat/>
    <w:uiPriority w:val="0"/>
    <w:rPr>
      <w:b/>
      <w:i/>
      <w:color w:val="60A0B0"/>
    </w:rPr>
  </w:style>
  <w:style w:type="character" w:customStyle="1" w:styleId="67">
    <w:name w:val="WarningTok"/>
    <w:basedOn w:val="37"/>
    <w:qFormat/>
    <w:uiPriority w:val="0"/>
    <w:rPr>
      <w:b/>
      <w:i/>
      <w:color w:val="60A0B0"/>
    </w:rPr>
  </w:style>
  <w:style w:type="character" w:customStyle="1" w:styleId="68">
    <w:name w:val="AlertTok"/>
    <w:basedOn w:val="37"/>
    <w:qFormat/>
    <w:uiPriority w:val="0"/>
    <w:rPr>
      <w:b/>
      <w:color w:val="FF0000"/>
    </w:rPr>
  </w:style>
  <w:style w:type="character" w:customStyle="1" w:styleId="69">
    <w:name w:val="ErrorTok"/>
    <w:basedOn w:val="37"/>
    <w:qFormat/>
    <w:uiPriority w:val="0"/>
    <w:rPr>
      <w:b/>
      <w:color w:val="FF0000"/>
    </w:rPr>
  </w:style>
  <w:style w:type="character" w:customStyle="1" w:styleId="70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1698</Words>
  <Characters>2231</Characters>
  <Lines>12</Lines>
  <Paragraphs>8</Paragraphs>
  <TotalTime>21</TotalTime>
  <ScaleCrop>false</ScaleCrop>
  <LinksUpToDate>false</LinksUpToDate>
  <CharactersWithSpaces>2311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2026-04-17T20:47:00Z</dcterms:created>
  <dc:creator>A_小董切管加工</dc:creator>
  <cp:lastModifiedBy>A_小董切管加工</cp:lastModifiedBy>
  <dcterms:modified xsi:type="dcterms:W3CDTF">2026-04-18T00:23:48Z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D2BE13D833D24F3AB6828C59C4814F66_13</vt:lpwstr>
  </property>
</Properties>
</file>