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line="480"/>
      </w:pPr>
      <w:r>
        <w:rPr>
          <w:rFonts w:ascii="Arial" w:cs="Arial" w:eastAsia="Arial" w:hAnsi="Arial"/>
          <w:b/>
          <w:bCs/>
          <w:sz w:val="22"/>
          <w:szCs w:val="22"/>
        </w:rPr>
        <w:t xml:space="preserve">27/10</w:t>
      </w:r>
    </w:p>
    <w:p>
      <w:pPr>
        <w:spacing w:line="480"/>
      </w:pPr>
      <w:r>
        <w:rPr>
          <w:rFonts w:ascii="Arial" w:cs="Arial" w:eastAsia="Arial" w:hAnsi="Arial"/>
          <w:b/>
          <w:bCs/>
          <w:sz w:val="22"/>
          <w:szCs w:val="22"/>
        </w:rPr>
        <w:t xml:space="preserve">8:15</w:t>
      </w:r>
    </w:p>
    <w:p>
      <w:pPr>
        <w:spacing w:after="120" w:line="480"/>
      </w:pPr>
      <w:r>
        <w:rPr>
          <w:rFonts w:ascii="Arial" w:cs="Arial" w:eastAsia="Arial" w:hAnsi="Arial"/>
          <w:sz w:val="22"/>
          <w:szCs w:val="22"/>
        </w:rPr>
        <w:t xml:space="preserve">En el día de la fecha, se llevó a cabo la segunda y última parte del trabajo sobre la tabla grilla, que completa su API REST con los procedimientos que permiten reordenar la cola de emisión. Mientras que en la primera parte se resolvieron las consultas y las operaciones básicas de agregar, avanzar y quitar, en esta se incorporaron las operaciones que modifican el orden de los bloques que todavía no salieron al aire.</w:t>
      </w:r>
    </w:p>
    <w:p>
      <w:pPr>
        <w:spacing w:after="120" w:line="480"/>
      </w:pPr>
      <w:r>
        <w:rPr>
          <w:rFonts w:ascii="Arial" w:cs="Arial" w:eastAsia="Arial" w:hAnsi="Arial"/>
          <w:sz w:val="22"/>
          <w:szCs w:val="22"/>
        </w:rPr>
        <w:t xml:space="preserve">Todos estos procedimientos comparten una regla de negocio que está definida en la base de datos: la posición uno corresponde al bloque que se está emitiendo en ese momento, por lo que no puede insertarse, moverse, intercambiarse ni reemplazarse. Al implementar la API se decidió no repetir esa validación en Java, sino aprovechar el mensaje que lanza el procedimiento y traducirlo, de manera que la regla quede definida en un único lugar.</w:t>
      </w:r>
    </w:p>
    <w:p>
      <w:pPr>
        <w:keepNext/>
        <w:spacing w:after="60" w:before="120" w:line="480"/>
      </w:pPr>
      <w:r>
        <w:rPr>
          <w:rFonts w:ascii="Arial" w:cs="Arial" w:eastAsia="Arial" w:hAnsi="Arial"/>
          <w:b/>
          <w:bCs/>
          <w:sz w:val="22"/>
          <w:szCs w:val="22"/>
        </w:rPr>
        <w:t xml:space="preserve">1. Procedimientos almacenados utilizados</w:t>
      </w:r>
    </w:p>
    <w:p>
      <w:pPr>
        <w:spacing w:after="120" w:line="480"/>
      </w:pPr>
      <w:r>
        <w:rPr>
          <w:rFonts w:ascii="Arial" w:cs="Arial" w:eastAsia="Arial" w:hAnsi="Arial"/>
          <w:sz w:val="22"/>
          <w:szCs w:val="22"/>
        </w:rPr>
        <w:t xml:space="preserve">En esta segunda parte se incorporaron los cinco procedimientos restantes de la sección de grilla:</w:t>
      </w:r>
    </w:p>
    <w:p>
      <w:pPr>
        <w:pStyle w:val="ListParagraph"/>
        <w:numPr>
          <w:ilvl w:val="0"/>
          <w:numId w:val="2"/>
        </w:numPr>
        <w:spacing w:after="60" w:line="480"/>
      </w:pPr>
      <w:r>
        <w:rPr>
          <w:rFonts w:ascii="Arial" w:cs="Arial" w:eastAsia="Arial" w:hAnsi="Arial"/>
          <w:b/>
          <w:bCs/>
          <w:sz w:val="22"/>
          <w:szCs w:val="22"/>
        </w:rPr>
        <w:t xml:space="preserve">insertar_bloque_en_posicion</w:t>
      </w:r>
      <w:r>
        <w:rPr>
          <w:rFonts w:ascii="Arial" w:cs="Arial" w:eastAsia="Arial" w:hAnsi="Arial"/>
          <w:sz w:val="22"/>
          <w:szCs w:val="22"/>
        </w:rPr>
        <w:t xml:space="preserve">: inserta un bloque en la posición indicada, corre los demás hacia atrás y devuelve el identificador de la nueva fila mediante un parámetro de salida.</w:t>
      </w:r>
    </w:p>
    <w:p>
      <w:pPr>
        <w:pStyle w:val="ListParagraph"/>
        <w:numPr>
          <w:ilvl w:val="0"/>
          <w:numId w:val="2"/>
        </w:numPr>
        <w:spacing w:after="60" w:line="480"/>
      </w:pPr>
      <w:r>
        <w:rPr>
          <w:rFonts w:ascii="Arial" w:cs="Arial" w:eastAsia="Arial" w:hAnsi="Arial"/>
          <w:b/>
          <w:bCs/>
          <w:sz w:val="22"/>
          <w:szCs w:val="22"/>
        </w:rPr>
        <w:t xml:space="preserve">intercambiar_posiciones</w:t>
      </w:r>
      <w:r>
        <w:rPr>
          <w:rFonts w:ascii="Arial" w:cs="Arial" w:eastAsia="Arial" w:hAnsi="Arial"/>
          <w:sz w:val="22"/>
          <w:szCs w:val="22"/>
        </w:rPr>
        <w:t xml:space="preserve">: intercambia el lugar de dos bloques de la cola.</w:t>
      </w:r>
    </w:p>
    <w:p>
      <w:pPr>
        <w:pStyle w:val="ListParagraph"/>
        <w:numPr>
          <w:ilvl w:val="0"/>
          <w:numId w:val="2"/>
        </w:numPr>
        <w:spacing w:after="60" w:line="480"/>
      </w:pPr>
      <w:r>
        <w:rPr>
          <w:rFonts w:ascii="Arial" w:cs="Arial" w:eastAsia="Arial" w:hAnsi="Arial"/>
          <w:b/>
          <w:bCs/>
          <w:sz w:val="22"/>
          <w:szCs w:val="22"/>
        </w:rPr>
        <w:t xml:space="preserve">mover_bloque</w:t>
      </w:r>
      <w:r>
        <w:rPr>
          <w:rFonts w:ascii="Arial" w:cs="Arial" w:eastAsia="Arial" w:hAnsi="Arial"/>
          <w:sz w:val="22"/>
          <w:szCs w:val="22"/>
        </w:rPr>
        <w:t xml:space="preserve">: lleva un bloque a otra posición y corre los que quedan en el medio.</w:t>
      </w:r>
    </w:p>
    <w:p>
      <w:pPr>
        <w:pStyle w:val="ListParagraph"/>
        <w:numPr>
          <w:ilvl w:val="0"/>
          <w:numId w:val="2"/>
        </w:numPr>
        <w:spacing w:after="60" w:line="480"/>
      </w:pPr>
      <w:r>
        <w:rPr>
          <w:rFonts w:ascii="Arial" w:cs="Arial" w:eastAsia="Arial" w:hAnsi="Arial"/>
          <w:b/>
          <w:bCs/>
          <w:sz w:val="22"/>
          <w:szCs w:val="22"/>
        </w:rPr>
        <w:t xml:space="preserve">reemplazar_bloque</w:t>
      </w:r>
      <w:r>
        <w:rPr>
          <w:rFonts w:ascii="Arial" w:cs="Arial" w:eastAsia="Arial" w:hAnsi="Arial"/>
          <w:sz w:val="22"/>
          <w:szCs w:val="22"/>
        </w:rPr>
        <w:t xml:space="preserve">: cambia el contenido de una posición sin alterar el orden, y exige que el nuevo bloque tenga una duración mayor a cero.</w:t>
      </w:r>
    </w:p>
    <w:p>
      <w:pPr>
        <w:pStyle w:val="ListParagraph"/>
        <w:numPr>
          <w:ilvl w:val="0"/>
          <w:numId w:val="2"/>
        </w:numPr>
        <w:spacing w:after="60" w:line="480"/>
      </w:pPr>
      <w:r>
        <w:rPr>
          <w:rFonts w:ascii="Arial" w:cs="Arial" w:eastAsia="Arial" w:hAnsi="Arial"/>
          <w:b/>
          <w:bCs/>
          <w:sz w:val="22"/>
          <w:szCs w:val="22"/>
        </w:rPr>
        <w:t xml:space="preserve">duplicar_posicion</w:t>
      </w:r>
      <w:r>
        <w:rPr>
          <w:rFonts w:ascii="Arial" w:cs="Arial" w:eastAsia="Arial" w:hAnsi="Arial"/>
          <w:sz w:val="22"/>
          <w:szCs w:val="22"/>
        </w:rPr>
        <w:t xml:space="preserve">: repite un bloque justo después de su posición actual.</w:t>
      </w:r>
    </w:p>
    <w:p>
      <w:pPr>
        <w:keepNext/>
        <w:spacing w:after="60" w:before="120" w:line="480"/>
      </w:pPr>
      <w:r>
        <w:rPr>
          <w:rFonts w:ascii="Arial" w:cs="Arial" w:eastAsia="Arial" w:hAnsi="Arial"/>
          <w:b/>
          <w:bCs/>
          <w:sz w:val="22"/>
          <w:szCs w:val="22"/>
        </w:rPr>
        <w:t xml:space="preserve">2. Capa de persistencia</w:t>
      </w:r>
    </w:p>
    <w:p>
      <w:pPr>
        <w:spacing w:after="120" w:line="480"/>
      </w:pPr>
      <w:r>
        <w:rPr>
          <w:rFonts w:ascii="Arial" w:cs="Arial" w:eastAsia="Arial" w:hAnsi="Arial"/>
          <w:sz w:val="22"/>
          <w:szCs w:val="22"/>
        </w:rPr>
        <w:t xml:space="preserve">En GrillaRepository se agregó una función por procedimiento. La inserción utiliza @Procedure con outputParameterName para recuperar el identificador de la posición creada, y las otras cuatro operaciones se declararon con @Transactional y @Modifying, igual que las de la primera parte. Cada procedimiento maneja su propia transacción con bloqueo de la tabla, por lo que la capa Java no necesita coordinar nada adicional.</w:t>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@Transactional</w:t>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procedureName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"insertar_bloque_en_posicion"</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outputParameterName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"p_id_posicion"</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insertarBloqueEnPosicionProcedure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"p_id_bloque"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idBloque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"p_posicion"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posicion</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@Transactional</w:t>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@Modifying</w:t>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procedureName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"mover_bloque"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void</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moverBloqueProcedure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"p_pos_origen"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origen</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"p_pos_destino"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destino</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3. Capa de servicio</w:t>
      </w:r>
    </w:p>
    <w:p>
      <w:pPr>
        <w:spacing w:after="120" w:line="480"/>
      </w:pPr>
      <w:r>
        <w:rPr>
          <w:rFonts w:ascii="Arial" w:cs="Arial" w:eastAsia="Arial" w:hAnsi="Arial"/>
          <w:sz w:val="22"/>
          <w:szCs w:val="22"/>
        </w:rPr>
        <w:t xml:space="preserve">GrillaService incorporó un método por cada operación, todos con el mismo esquema que ya se venía utilizando: se invoca el procedimiento dentro de un bloque try y, si la base rechaza la operación, se captura la excepción y se la vuelve a lanzar con el mensaje original que obtiene la clase ErrorBD. De esta manera, mensajes como "Posicion fuera de rango" o "La posicion 1 esta al aire: no se puede mover" llegan al cliente tal como los escribió el procedimiento.</w:t>
      </w:r>
    </w:p>
    <w:p>
      <w:pPr>
        <w:keepNext/>
        <w:keepLines/>
        <w:shd w:fill="1E1E1E" w:color="auto" w:val="clear"/>
        <w:spacing w:after="0" w:before="12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void</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mover</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origen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destino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try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grillaRepository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moverBloqueProcedure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origen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destino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catch</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Exception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throw</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IllegalArgumentException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ErrorBD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mensaje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insertarEnPosicion</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idBloque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posicion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try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grillaRepository</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insertarBloqueEnPosicionProcedure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idBloque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posicion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catch</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Exception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throw</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IllegalArgumentException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ErrorBD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mensaje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4. Capa de controlador y permisos</w:t>
      </w:r>
    </w:p>
    <w:p>
      <w:pPr>
        <w:spacing w:after="120" w:line="480"/>
      </w:pPr>
      <w:r>
        <w:rPr>
          <w:rFonts w:ascii="Arial" w:cs="Arial" w:eastAsia="Arial" w:hAnsi="Arial"/>
          <w:sz w:val="22"/>
          <w:szCs w:val="22"/>
        </w:rPr>
        <w:t xml:space="preserve">En GrillaRestController se agregaron cinco rutas, todas reservadas a los roles de planilla (1, 2 y 5), igual que el resto de las operaciones sobre la cola. Las operaciones que necesitan dos números de posición, intercambiar y mover, reciben un cuerpo JSON, para lo cual se crearon los objetos IntercambiarPosicionesRequest y MoverBloqueRequest en el paquete dto, mientras que las que dependen de una posición y un bloque los reciben como parte de la ruta.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2700"/>
        <w:gridCol w:w="1526"/>
      </w:tblGrid>
      <w:tr>
        <w:trPr>
          <w:tblHeader/>
        </w:trPr>
        <w:tc>
          <w:tcPr>
            <w:tcW w:type="dxa" w:w="11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Método</w:t>
            </w:r>
          </w:p>
        </w:tc>
        <w:tc>
          <w:tcPr>
            <w:tcW w:type="dxa" w:w="37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Ruta</w:t>
            </w:r>
          </w:p>
        </w:tc>
        <w:tc>
          <w:tcPr>
            <w:tcW w:type="dxa" w:w="27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Procedimiento</w:t>
            </w:r>
          </w:p>
        </w:tc>
        <w:tc>
          <w:tcPr>
            <w:tcW w:type="dxa" w:w="15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Acceso</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/api/grilla/posiciones/{posicion}/bloques/{idBloque}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insertar_bloque_en_posicion</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y 5</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PUT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/api/grilla/intercambiar</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intercambiar_posiciones</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y 5</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PUT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/api/grilla/mover</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mover_bloque</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y 5</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PUT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/api/grilla/posiciones/{posicion}/bloques/{idBloque}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reemplazar_bloque</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y 5</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/api/grilla/posiciones/{posicion}/duplicar</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duplicar_posicion</w:t>
            </w:r>
          </w:p>
        </w:tc>
        <w:tc>
          <w:tcPr>
            <w:tcW w:type="dxa" w:w="1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y 5</w:t>
            </w:r>
          </w:p>
        </w:tc>
      </w:tr>
    </w:tbl>
    <w:p>
      <w:pPr>
        <w:spacing w:after="120" w:line="240"/>
      </w:pPr>
      <w:r>
        <w:rPr>
          <w:rFonts w:ascii="Arial" w:cs="Arial" w:eastAsia="Arial" w:hAnsi="Arial"/>
          <w:sz w:val="22"/>
          <w:szCs w:val="22"/>
        </w:rPr>
        <w:t xml:space="preserve"/>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@PutMapping</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"/mover"</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mover</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@RequestBody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MoverBloqueRequest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request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HttpSession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verificarAcceso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ROLES_PLANILLA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grillaService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mover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request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getOrigen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request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getDestino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ok</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"ok"</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"Bloque movido."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5. Pruebas realizadas y cierre</w:t>
      </w:r>
    </w:p>
    <w:p>
      <w:pPr>
        <w:spacing w:after="120" w:line="480"/>
      </w:pPr>
      <w:r>
        <w:rPr>
          <w:rFonts w:ascii="Arial" w:cs="Arial" w:eastAsia="Arial" w:hAnsi="Arial"/>
          <w:sz w:val="22"/>
          <w:szCs w:val="22"/>
        </w:rPr>
        <w:t xml:space="preserve">Para no alterar la emisión de la grilla de prueba, todas las operaciones se realizaron sobre las últimas posiciones de la cola y luego se restableció su estado original. Se insertó un bloque en la última posición, con respuesta 201 y el identificador de la nueva fila, y se duplicó esa posición, con respuesta 201. Luego se reemplazó el bloque de la última posición, se intercambiaron las dos últimas posiciones y se movió una de ellas, y las tres operaciones respondieron 200. Se comprobó además que cada procedimiento rechaza la posición uno con el estado 400 y el mensaje correspondiente: no se puede insertar, reemplazar, intercambiar ni mover. Por último, se quitaron las dos posiciones agregadas y la duración total confirmó que la grilla volvió a tener ocho bloques con los mismos segundos totales que al comenzar.</w:t>
      </w:r>
    </w:p>
    <w:p>
      <w:pPr>
        <w:spacing w:after="120" w:line="480"/>
      </w:pPr>
      <w:r>
        <w:rPr>
          <w:rFonts w:ascii="Arial" w:cs="Arial" w:eastAsia="Arial" w:hAnsi="Arial"/>
          <w:sz w:val="22"/>
          <w:szCs w:val="22"/>
        </w:rPr>
        <w:t xml:space="preserve">Con este commit queda completa la tabla grilla y, con ella, todas las tablas principales del proyecto cuentan con su repositorio, su servicio y su controlador. Quedan pendientes algunos ajustes menores, como incorporar los listados generales de anuncios y vivos, y la revisión final del conjunto de rutas.</w:t>
      </w:r>
    </w:p>
    <w:p>
      <w:pPr>
        <w:spacing w:after="120" w:line="480"/>
      </w:pPr>
      <w:r>
        <w:rPr>
          <w:rFonts w:ascii="Arial" w:cs="Arial" w:eastAsia="Arial" w:hAnsi="Arial"/>
          <w:sz w:val="22"/>
          <w:szCs w:val="22"/>
        </w:rPr>
        <w:t xml:space="preserve">commit: </w:t>
      </w:r>
      <w:hyperlink w:history="1" r:id="rIdo8dtslamdeald7yfbl9tk">
        <w:r>
          <w:rPr>
            <w:rFonts w:ascii="Arial" w:cs="Arial" w:eastAsia="Arial" w:hAnsi="Arial"/>
            <w:color w:val="1155CC"/>
            <w:sz w:val="22"/>
            <w:szCs w:val="22"/>
            <w:u w:val="single"/>
          </w:rPr>
          <w:t xml:space="preserve">commit</w:t>
        </w:r>
      </w:hyperlink>
    </w:p>
    <w:sectPr>
      <w:headerReference w:type="default" r:id="rId6"/>
      <w:pgSz w:w="11906" w:h="16838" w:orient="portrait"/>
      <w:pgMar w:top="1700" w:right="1440" w:bottom="1200" w:left="1440" w:header="5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sz w:val="14"/>
        <w:szCs w:val="14"/>
      </w:rPr>
      <w:t xml:space="preserve">----------------------------------------------------------------------------------------------------------------------</w:t>
    </w:r>
  </w:p>
  <w:p>
    <w:pPr>
      <w:tabs>
        <w:tab w:val="left" w:pos="6200"/>
      </w:tabs>
      <w:spacing w:after="40" w:before="40"/>
    </w:pPr>
    <w:r>
      <w:rPr>
        <w:rFonts w:ascii="Arial" w:cs="Arial" w:eastAsia="Arial" w:hAnsi="Arial"/>
        <w:sz w:val="20"/>
        <w:szCs w:val="20"/>
      </w:rPr>
      <w:t xml:space="preserve">Proyecto Interdisciplinario - Mediacore</w:t>
    </w:r>
    <w:r>
      <w:rPr>
        <w:rFonts w:ascii="Arial" w:cs="Arial" w:eastAsia="Arial" w:hAnsi="Arial"/>
        <w:sz w:val="20"/>
        <w:szCs w:val="20"/>
      </w:rPr>
      <w:t xml:space="preserve">	Numero de pagina: </w:t>
    </w:r>
    <w:r>
      <w:rPr>
        <w:rFonts w:ascii="Arial" w:cs="Arial" w:eastAsia="Arial" w:hAnsi="Arial"/>
        <w:sz w:val="20"/>
        <w:szCs w:val="20"/>
      </w:rPr>
      <w:fldChar w:fldCharType="begin"/>
      <w:instrText xml:space="preserve">PAGE</w:instrText>
      <w:fldChar w:fldCharType="separate"/>
      <w:fldChar w:fldCharType="end"/>
    </w:r>
  </w:p>
  <w:p>
    <w:pPr>
      <w:spacing w:after="200"/>
    </w:pPr>
    <w:r>
      <w:rPr>
        <w:rFonts w:ascii="Arial" w:cs="Arial" w:eastAsia="Arial" w:hAnsi="Arial"/>
        <w:sz w:val="14"/>
        <w:szCs w:val="14"/>
      </w:rPr>
      <w:t xml:space="p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o8dtslamdeald7yfbl9tk" Type="http://schemas.openxmlformats.org/officeDocument/2006/relationships/hyperlink" Target="https://github.com/FIdelrodri/MediaCor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2026-10-27T11:15:20.549Z</dcterms:created>
  <dcterms:modified xsi:type="dcterms:W3CDTF">2026-10-27T11:15:20.554Z</dcterms:modified>
</cp:coreProperties>
</file>

<file path=docProps/custom.xml><?xml version="1.0" encoding="utf-8"?>
<Properties xmlns="http://schemas.openxmlformats.org/officeDocument/2006/custom-properties" xmlns:vt="http://schemas.openxmlformats.org/officeDocument/2006/docPropsVTypes"/>
</file>