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Dividen Saham</w:t>
      </w:r>
    </w:p>
    <w:p>
      <w:r>
        <w:t>Tanggal Laporan: 24 Mei 2024</w:t>
      </w:r>
    </w:p>
    <w:p>
      <w:r>
        <w:t>Periode: Kuartal I - 2024</w:t>
      </w:r>
    </w:p>
    <w:p>
      <w:r>
        <w:t>Investor: Nama Investor Utama</w:t>
      </w:r>
    </w:p>
    <w:p>
      <w:pPr>
        <w:pStyle w:val="Heading1"/>
      </w:pPr>
      <w:r>
        <w:t>Detail Penerimaan Dividen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Kode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Emiten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Cum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Payment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Dividen/Saham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Netto</w:t>
            </w:r>
          </w:p>
        </w:tc>
      </w:tr>
      <w:tr>
        <w:tc>
          <w:tcPr>
            <w:tcW w:type="dxa" w:w="1234"/>
          </w:tcPr>
          <w:p>
            <w:r>
              <w:t>BBCA</w:t>
            </w:r>
          </w:p>
        </w:tc>
        <w:tc>
          <w:tcPr>
            <w:tcW w:type="dxa" w:w="1234"/>
          </w:tcPr>
          <w:p>
            <w:r>
              <w:t>Bank Central Asia Tbk.</w:t>
            </w:r>
          </w:p>
        </w:tc>
        <w:tc>
          <w:tcPr>
            <w:tcW w:type="dxa" w:w="1234"/>
          </w:tcPr>
          <w:p>
            <w:r>
              <w:t>2024-03-15</w:t>
            </w:r>
          </w:p>
        </w:tc>
        <w:tc>
          <w:tcPr>
            <w:tcW w:type="dxa" w:w="1234"/>
          </w:tcPr>
          <w:p>
            <w:r>
              <w:t>2024-04-04</w:t>
            </w:r>
          </w:p>
        </w:tc>
        <w:tc>
          <w:tcPr>
            <w:tcW w:type="dxa" w:w="1234"/>
          </w:tcPr>
          <w:p>
            <w:r>
              <w:t>Rp 227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Rp 227.000</w:t>
            </w:r>
          </w:p>
        </w:tc>
      </w:tr>
      <w:tr>
        <w:tc>
          <w:tcPr>
            <w:tcW w:type="dxa" w:w="1234"/>
          </w:tcPr>
          <w:p>
            <w:r>
              <w:t>ASII</w:t>
            </w:r>
          </w:p>
        </w:tc>
        <w:tc>
          <w:tcPr>
            <w:tcW w:type="dxa" w:w="1234"/>
          </w:tcPr>
          <w:p>
            <w:r>
              <w:t>Astra International Tbk.</w:t>
            </w:r>
          </w:p>
        </w:tc>
        <w:tc>
          <w:tcPr>
            <w:tcW w:type="dxa" w:w="1234"/>
          </w:tcPr>
          <w:p>
            <w:r>
              <w:t>2024-05-10</w:t>
            </w:r>
          </w:p>
        </w:tc>
        <w:tc>
          <w:tcPr>
            <w:tcW w:type="dxa" w:w="1234"/>
          </w:tcPr>
          <w:p>
            <w:r>
              <w:t>2024-05-30</w:t>
            </w:r>
          </w:p>
        </w:tc>
        <w:tc>
          <w:tcPr>
            <w:tcW w:type="dxa" w:w="1234"/>
          </w:tcPr>
          <w:p>
            <w:r>
              <w:t>Rp 421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Rp 842.000</w:t>
            </w:r>
          </w:p>
        </w:tc>
      </w:tr>
      <w:tr>
        <w:tc>
          <w:tcPr>
            <w:tcW w:type="dxa" w:w="1234"/>
          </w:tcPr>
          <w:p>
            <w:r>
              <w:t>TLKM</w:t>
            </w:r>
          </w:p>
        </w:tc>
        <w:tc>
          <w:tcPr>
            <w:tcW w:type="dxa" w:w="1234"/>
          </w:tcPr>
          <w:p>
            <w:r>
              <w:t>Telkom Indonesia Tbk.</w:t>
            </w:r>
          </w:p>
        </w:tc>
        <w:tc>
          <w:tcPr>
            <w:tcW w:type="dxa" w:w="1234"/>
          </w:tcPr>
          <w:p>
            <w:r>
              <w:t>2024-05-20</w:t>
            </w:r>
          </w:p>
        </w:tc>
        <w:tc>
          <w:tcPr>
            <w:tcW w:type="dxa" w:w="1234"/>
          </w:tcPr>
          <w:p>
            <w:r>
              <w:t>2024-06-10</w:t>
            </w:r>
          </w:p>
        </w:tc>
        <w:tc>
          <w:tcPr>
            <w:tcW w:type="dxa" w:w="1234"/>
          </w:tcPr>
          <w:p>
            <w:r>
              <w:t>Rp 149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Rp 745.000</w:t>
            </w:r>
          </w:p>
        </w:tc>
      </w:tr>
      <w:tr>
        <w:tc>
          <w:tcPr>
            <w:tcW w:type="dxa" w:w="1234"/>
          </w:tcPr>
          <w:p>
            <w:r>
              <w:t>UNVR</w:t>
            </w:r>
          </w:p>
        </w:tc>
        <w:tc>
          <w:tcPr>
            <w:tcW w:type="dxa" w:w="1234"/>
          </w:tcPr>
          <w:p>
            <w:r>
              <w:t>Unilever Indonesia Tbk.</w:t>
            </w:r>
          </w:p>
        </w:tc>
        <w:tc>
          <w:tcPr>
            <w:tcW w:type="dxa" w:w="1234"/>
          </w:tcPr>
          <w:p>
            <w:r>
              <w:t>2024-06-12</w:t>
            </w:r>
          </w:p>
        </w:tc>
        <w:tc>
          <w:tcPr>
            <w:tcW w:type="dxa" w:w="1234"/>
          </w:tcPr>
          <w:p>
            <w:r>
              <w:t>2024-06-28</w:t>
            </w:r>
          </w:p>
        </w:tc>
        <w:tc>
          <w:tcPr>
            <w:tcW w:type="dxa" w:w="1234"/>
          </w:tcPr>
          <w:p>
            <w:r>
              <w:t>Rp 84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Rp 126.000</w:t>
            </w:r>
          </w:p>
        </w:tc>
      </w:tr>
    </w:tbl>
    <w:p/>
    <w:p>
      <w:r>
        <w:rPr>
          <w:b/>
        </w:rPr>
        <w:t xml:space="preserve">Total Estimasi Dividen: </w:t>
      </w:r>
      <w:r>
        <w:t>Rp 1.940.000</w:t>
      </w:r>
    </w:p>
    <w:p>
      <w:pPr>
        <w:pStyle w:val="Heading2"/>
      </w:pPr>
      <w:r>
        <w:t>Catatan:</w:t>
      </w:r>
    </w:p>
    <w:p>
      <w:pPr>
        <w:pStyle w:val="ListBullet"/>
      </w:pPr>
      <w:r>
        <w:t>1. Pajak dividen 10% telah diperhitungkan (jika berlaku).</w:t>
      </w:r>
    </w:p>
    <w:p>
      <w:pPr>
        <w:pStyle w:val="ListBullet"/>
      </w:pPr>
      <w:r>
        <w:t>2. Tanggal pembayaran dapat berubah sesuai kebijakan emiten.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