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478D" w:rsidRDefault="002D77D0">
      <w:r>
        <w:t>Critically discuss and compare the relative importance of the legal profession, the judiciary and Parliament in the development of land law. You should illustrate your answer with reference to either: the law of mortgages, or</w:t>
      </w:r>
      <w:r>
        <w:rPr>
          <w:b/>
          <w:u w:val="single"/>
        </w:rPr>
        <w:t xml:space="preserve"> trusts of the family home</w:t>
      </w:r>
      <w:r>
        <w:t>, or the law on leases.</w:t>
      </w:r>
    </w:p>
    <w:p w14:paraId="00000002" w14:textId="77777777" w:rsidR="00C1478D" w:rsidRDefault="00C1478D"/>
    <w:p w14:paraId="00000003" w14:textId="77777777" w:rsidR="00C1478D" w:rsidRDefault="00C1478D"/>
    <w:p w14:paraId="00000004" w14:textId="77777777" w:rsidR="00C1478D" w:rsidRDefault="002D77D0">
      <w:r>
        <w:t>Introduction:</w:t>
      </w:r>
    </w:p>
    <w:p w14:paraId="00000005" w14:textId="77777777" w:rsidR="00C1478D" w:rsidRDefault="00C1478D"/>
    <w:p w14:paraId="00000006" w14:textId="77777777" w:rsidR="00C1478D" w:rsidRDefault="00C1478D"/>
    <w:p w14:paraId="00000007" w14:textId="77777777" w:rsidR="00C1478D" w:rsidRDefault="002D77D0">
      <w:r>
        <w:t>B1: The Judiciary</w:t>
      </w:r>
    </w:p>
    <w:p w14:paraId="00000008" w14:textId="77777777" w:rsidR="00C1478D" w:rsidRDefault="00C1478D"/>
    <w:p w14:paraId="00000009" w14:textId="77777777" w:rsidR="00C1478D" w:rsidRDefault="002D77D0">
      <w:r>
        <w:t xml:space="preserve">TP - </w:t>
      </w:r>
    </w:p>
    <w:p w14:paraId="0000000A" w14:textId="77777777" w:rsidR="00C1478D" w:rsidRDefault="002D77D0">
      <w:r>
        <w:t>MB -</w:t>
      </w:r>
    </w:p>
    <w:p w14:paraId="0000000B" w14:textId="77777777" w:rsidR="00C1478D" w:rsidRDefault="002D77D0">
      <w:r>
        <w:t>CON -</w:t>
      </w:r>
    </w:p>
    <w:p w14:paraId="0000000C" w14:textId="77777777" w:rsidR="00C1478D" w:rsidRDefault="00C1478D"/>
    <w:p w14:paraId="0000000D" w14:textId="77777777" w:rsidR="00C1478D" w:rsidRDefault="002D77D0">
      <w:r>
        <w:t>Landmark rulings such as Gissing v. Gissing [1971], Stack v. Dowden [2007], and Jones v. Kernott [2011] illustrate the judiciary’s ability to adapt legal principles to reflect changing societal norms and realities. These cases underscore the judiciary’s reliance on equitable doctrines, enabling flexibility in resolving disputes over beneficial ownership when legal title does not align with the intentions or contributions of cohabitants. However, while the judiciary often demonstrates a willingness to addres</w:t>
      </w:r>
      <w:r>
        <w:t>s legislative gaps, it remains cautious about overstepping its remit, frequently highlighting the need for legislative action to provide comprehensive solutions.</w:t>
      </w:r>
    </w:p>
    <w:p w14:paraId="0000000E" w14:textId="77777777" w:rsidR="00C1478D" w:rsidRDefault="00C1478D"/>
    <w:p w14:paraId="0000000F" w14:textId="77777777" w:rsidR="00C1478D" w:rsidRDefault="002D77D0">
      <w:r>
        <w:t>B2: The Parliament</w:t>
      </w:r>
    </w:p>
    <w:p w14:paraId="00000010" w14:textId="77777777" w:rsidR="00C1478D" w:rsidRDefault="00C1478D"/>
    <w:p w14:paraId="00000011" w14:textId="77777777" w:rsidR="00C1478D" w:rsidRDefault="002D77D0">
      <w:r>
        <w:t xml:space="preserve">TP - </w:t>
      </w:r>
    </w:p>
    <w:p w14:paraId="00000012" w14:textId="77777777" w:rsidR="00C1478D" w:rsidRDefault="002D77D0">
      <w:r>
        <w:t>MB -</w:t>
      </w:r>
    </w:p>
    <w:p w14:paraId="00000013" w14:textId="77777777" w:rsidR="00C1478D" w:rsidRDefault="002D77D0">
      <w:r>
        <w:t>CON -</w:t>
      </w:r>
    </w:p>
    <w:p w14:paraId="00000014" w14:textId="77777777" w:rsidR="00C1478D" w:rsidRDefault="00C1478D"/>
    <w:p w14:paraId="00000015" w14:textId="77777777" w:rsidR="00C1478D" w:rsidRDefault="002D77D0">
      <w:r>
        <w:t>Through statutes such as the Law of Property Act 1925 and the Trusts of Land and Appointment of Trustees Act 1996 (TOLATA),</w:t>
      </w:r>
    </w:p>
    <w:p w14:paraId="00000016" w14:textId="77777777" w:rsidR="00C1478D" w:rsidRDefault="00C1478D"/>
    <w:p w14:paraId="00000017" w14:textId="77777777" w:rsidR="00C1478D" w:rsidRDefault="002D77D0">
      <w:r>
        <w:t>B3: The Legal Profession: Advocates and Advisors</w:t>
      </w:r>
    </w:p>
    <w:p w14:paraId="00000018" w14:textId="77777777" w:rsidR="00C1478D" w:rsidRDefault="00C1478D"/>
    <w:p w14:paraId="00000019" w14:textId="77777777" w:rsidR="00C1478D" w:rsidRDefault="002D77D0">
      <w:r>
        <w:t xml:space="preserve">TP - </w:t>
      </w:r>
    </w:p>
    <w:p w14:paraId="0000001A" w14:textId="77777777" w:rsidR="00C1478D" w:rsidRDefault="002D77D0">
      <w:r>
        <w:t>MB -</w:t>
      </w:r>
    </w:p>
    <w:p w14:paraId="0000001B" w14:textId="77777777" w:rsidR="00C1478D" w:rsidRDefault="002D77D0">
      <w:r>
        <w:t>CON -</w:t>
      </w:r>
    </w:p>
    <w:p w14:paraId="0000001C" w14:textId="77777777" w:rsidR="00C1478D" w:rsidRDefault="00C1478D"/>
    <w:p w14:paraId="0000001D" w14:textId="77777777" w:rsidR="00C1478D" w:rsidRDefault="002D77D0">
      <w:r>
        <w:t>Lawyers act as advocates, bringing disputes to the courts that often test the boundaries of established legal principles. For example, contentious issues surrounding beneficial ownership in family homes often stem from unclear or inconsistent agreements between cohabitants. By presenting such disputes, lawyers have encouraged courts to refine and clarify legal doctrines. Furthermore, legal scholars have added significant value to this area by offering critical analysis and proposing theoretical frameworks t</w:t>
      </w:r>
      <w:r>
        <w:t>hat enhance understanding and application of equitable principles. The concept of the “common intention constructive trust,” for instance, owes much of its development to academic scrutiny, with figures such as E. Cooke and G. Battersby providing detailed expositions that have guided judicial and legislative thought. Despite this, the legal profession operates largely in a reactive capacity, reliant on the judiciary and Parliament to embrace and implement its contributions effectively.</w:t>
      </w:r>
    </w:p>
    <w:p w14:paraId="0000001E" w14:textId="77777777" w:rsidR="00C1478D" w:rsidRDefault="00C1478D"/>
    <w:p w14:paraId="0000001F" w14:textId="77777777" w:rsidR="00C1478D" w:rsidRDefault="002D77D0">
      <w:r>
        <w:t>B4: The comparative analysis</w:t>
      </w:r>
    </w:p>
    <w:p w14:paraId="00000020" w14:textId="77777777" w:rsidR="00C1478D" w:rsidRDefault="00C1478D"/>
    <w:p w14:paraId="00000021" w14:textId="77777777" w:rsidR="00C1478D" w:rsidRDefault="002D77D0">
      <w:r>
        <w:t xml:space="preserve">TP - </w:t>
      </w:r>
    </w:p>
    <w:p w14:paraId="00000022" w14:textId="77777777" w:rsidR="00C1478D" w:rsidRDefault="002D77D0">
      <w:r>
        <w:t>MB -</w:t>
      </w:r>
    </w:p>
    <w:p w14:paraId="00000023" w14:textId="77777777" w:rsidR="00C1478D" w:rsidRDefault="002D77D0">
      <w:r>
        <w:t>CON -</w:t>
      </w:r>
    </w:p>
    <w:p w14:paraId="00000024" w14:textId="77777777" w:rsidR="00C1478D" w:rsidRDefault="00C1478D"/>
    <w:p w14:paraId="00000025" w14:textId="77777777" w:rsidR="00C1478D" w:rsidRDefault="00C1478D"/>
    <w:p w14:paraId="00000026" w14:textId="77777777" w:rsidR="00C1478D" w:rsidRDefault="002D77D0">
      <w:r>
        <w:t xml:space="preserve">Conclusion: </w:t>
      </w:r>
    </w:p>
    <w:p w14:paraId="00000027" w14:textId="77777777" w:rsidR="00C1478D" w:rsidRDefault="00C1478D"/>
    <w:p w14:paraId="00000028" w14:textId="77777777" w:rsidR="00C1478D" w:rsidRDefault="00C1478D"/>
    <w:p w14:paraId="00000029" w14:textId="77777777" w:rsidR="00C1478D" w:rsidRDefault="00C1478D"/>
    <w:p w14:paraId="0000002A" w14:textId="77777777" w:rsidR="00C1478D" w:rsidRDefault="00C1478D"/>
    <w:p w14:paraId="0000002B" w14:textId="77777777" w:rsidR="00C1478D" w:rsidRDefault="00C1478D"/>
    <w:p w14:paraId="0000002C" w14:textId="77777777" w:rsidR="00C1478D" w:rsidRDefault="00C1478D"/>
    <w:p w14:paraId="0000002D" w14:textId="77777777" w:rsidR="00C1478D" w:rsidRDefault="00C1478D"/>
    <w:p w14:paraId="0000002E" w14:textId="77777777" w:rsidR="00C1478D" w:rsidRDefault="00C1478D"/>
    <w:p w14:paraId="0000002F" w14:textId="77777777" w:rsidR="00C1478D" w:rsidRDefault="002D77D0">
      <w:r>
        <w:t xml:space="preserve">CHATGPT AI: </w:t>
      </w:r>
    </w:p>
    <w:p w14:paraId="00000030" w14:textId="77777777" w:rsidR="00C1478D" w:rsidRDefault="00C1478D"/>
    <w:p w14:paraId="00000031" w14:textId="77777777" w:rsidR="00C1478D" w:rsidRDefault="002D77D0">
      <w:pPr>
        <w:pStyle w:val="Heading3"/>
        <w:keepNext w:val="0"/>
        <w:keepLines w:val="0"/>
        <w:spacing w:before="280"/>
        <w:rPr>
          <w:b/>
          <w:color w:val="000000"/>
          <w:sz w:val="26"/>
          <w:szCs w:val="26"/>
        </w:rPr>
      </w:pPr>
      <w:bookmarkStart w:id="0" w:name="_hmfvh6qk6egm" w:colFirst="0" w:colLast="0"/>
      <w:bookmarkEnd w:id="0"/>
      <w:r>
        <w:rPr>
          <w:b/>
          <w:color w:val="000000"/>
          <w:sz w:val="26"/>
          <w:szCs w:val="26"/>
        </w:rPr>
        <w:t>Critically Discuss and Compare the Relative Importance of the Legal Profession, the Judiciary, and Parliament in the Development of Land Law, with Reference to Trusts of the Family Home</w:t>
      </w:r>
    </w:p>
    <w:p w14:paraId="00000032" w14:textId="77777777" w:rsidR="00C1478D" w:rsidRDefault="002D77D0">
      <w:pPr>
        <w:spacing w:before="240" w:after="240"/>
      </w:pPr>
      <w:r>
        <w:t xml:space="preserve">The development of land law, particularly </w:t>
      </w:r>
      <w:proofErr w:type="gramStart"/>
      <w:r>
        <w:t>in the area of</w:t>
      </w:r>
      <w:proofErr w:type="gramEnd"/>
      <w:r>
        <w:t xml:space="preserve"> trusts of the family home, has been significantly shaped by the interplay of the legal profession, the judiciary, and Parliament. Each entity plays a distinct yet interrelated role in shaping the law, reflecting evolving societal values and addressing practical challenges. This essay critically examines and compares the relative importance of these three actors in the development of land law, with a focus on trusts of the family home.</w:t>
      </w:r>
    </w:p>
    <w:p w14:paraId="00000033" w14:textId="77777777" w:rsidR="00C1478D" w:rsidRDefault="002D77D0">
      <w:pPr>
        <w:pStyle w:val="Heading3"/>
        <w:keepNext w:val="0"/>
        <w:keepLines w:val="0"/>
        <w:spacing w:before="280"/>
        <w:rPr>
          <w:b/>
          <w:color w:val="000000"/>
          <w:sz w:val="26"/>
          <w:szCs w:val="26"/>
        </w:rPr>
      </w:pPr>
      <w:bookmarkStart w:id="1" w:name="_cdzrcoiuujwy" w:colFirst="0" w:colLast="0"/>
      <w:bookmarkEnd w:id="1"/>
      <w:r>
        <w:rPr>
          <w:b/>
          <w:color w:val="000000"/>
          <w:sz w:val="26"/>
          <w:szCs w:val="26"/>
        </w:rPr>
        <w:t>1. The Role of the Legal Profession</w:t>
      </w:r>
    </w:p>
    <w:p w14:paraId="00000034" w14:textId="77777777" w:rsidR="00C1478D" w:rsidRDefault="002D77D0">
      <w:pPr>
        <w:spacing w:before="240" w:after="240"/>
      </w:pPr>
      <w:r>
        <w:t>The legal profession, including solicitors, barristers, and academics, has contributed to the development of land law by interpreting, applying, and critiquing existing legal principles. Lawyers play a crucial role in:</w:t>
      </w:r>
    </w:p>
    <w:p w14:paraId="00000035" w14:textId="77777777" w:rsidR="00C1478D" w:rsidRDefault="002D77D0">
      <w:pPr>
        <w:numPr>
          <w:ilvl w:val="0"/>
          <w:numId w:val="2"/>
        </w:numPr>
        <w:spacing w:before="240"/>
      </w:pPr>
      <w:r>
        <w:rPr>
          <w:b/>
        </w:rPr>
        <w:t>Shaping Case Law</w:t>
      </w:r>
      <w:r>
        <w:t>: Legal practitioners influence the development of land law by bringing disputes before the courts and formulating arguments that test existing legal principles. For example, disputes over beneficial ownership in family homes often arise due to inconsistent or unclear agreements between cohabitants. Lawyers, through strategic litigation, have pushed courts to clarify the principles governing such disputes.</w:t>
      </w:r>
    </w:p>
    <w:p w14:paraId="00000036" w14:textId="77777777" w:rsidR="00C1478D" w:rsidRDefault="002D77D0">
      <w:pPr>
        <w:numPr>
          <w:ilvl w:val="0"/>
          <w:numId w:val="2"/>
        </w:numPr>
        <w:spacing w:after="240"/>
      </w:pPr>
      <w:r>
        <w:rPr>
          <w:b/>
        </w:rPr>
        <w:t>Academic Contributions</w:t>
      </w:r>
      <w:r>
        <w:t>: Academics have profoundly influenced the understanding and critique of trusts of the family home. For instance, the concept of the “common intention constructive trust” has been refined through scholarly analysis, which courts frequently reference. Academics like E. Cooke and G. Battersby have explored the theoretical underpinnings of equity in cohabitation disputes, urging courts and Parliament to adapt the law to modern realities.</w:t>
      </w:r>
    </w:p>
    <w:p w14:paraId="00000037" w14:textId="77777777" w:rsidR="00C1478D" w:rsidRDefault="002D77D0">
      <w:pPr>
        <w:spacing w:before="240" w:after="240"/>
      </w:pPr>
      <w:r>
        <w:t>However, the legal profession’s influence is largely reactive and dependent on the willingness of the judiciary and Parliament to consider its contributions. The profession’s efforts to align land law with societal values may be constrained by the systemic conservatism of the judiciary or the legislative agenda of Parliament.</w:t>
      </w:r>
    </w:p>
    <w:p w14:paraId="00000038" w14:textId="77777777" w:rsidR="00C1478D" w:rsidRDefault="002D77D0">
      <w:pPr>
        <w:pStyle w:val="Heading3"/>
        <w:keepNext w:val="0"/>
        <w:keepLines w:val="0"/>
        <w:spacing w:before="280"/>
        <w:rPr>
          <w:b/>
          <w:color w:val="000000"/>
          <w:sz w:val="26"/>
          <w:szCs w:val="26"/>
        </w:rPr>
      </w:pPr>
      <w:bookmarkStart w:id="2" w:name="_t3j91e3mnp4v" w:colFirst="0" w:colLast="0"/>
      <w:bookmarkEnd w:id="2"/>
      <w:r>
        <w:rPr>
          <w:b/>
          <w:color w:val="000000"/>
          <w:sz w:val="26"/>
          <w:szCs w:val="26"/>
        </w:rPr>
        <w:t>2. The Judiciary’s Role</w:t>
      </w:r>
    </w:p>
    <w:p w14:paraId="00000039" w14:textId="77777777" w:rsidR="00C1478D" w:rsidRDefault="002D77D0">
      <w:pPr>
        <w:spacing w:before="240" w:after="240"/>
      </w:pPr>
      <w:r>
        <w:t>The judiciary has been a pivotal force in the development of trusts of the family home, often filling legislative gaps and addressing societal changes. Key contributions include:</w:t>
      </w:r>
    </w:p>
    <w:p w14:paraId="0000003A" w14:textId="77777777" w:rsidR="00C1478D" w:rsidRDefault="002D77D0">
      <w:pPr>
        <w:numPr>
          <w:ilvl w:val="0"/>
          <w:numId w:val="5"/>
        </w:numPr>
        <w:spacing w:before="240"/>
      </w:pPr>
      <w:r>
        <w:rPr>
          <w:b/>
        </w:rPr>
        <w:t>Case Law Development</w:t>
      </w:r>
      <w:r>
        <w:t xml:space="preserve">: Landmark cases such as </w:t>
      </w:r>
      <w:r>
        <w:rPr>
          <w:i/>
        </w:rPr>
        <w:t>Gissing v. Gissing</w:t>
      </w:r>
      <w:r>
        <w:t xml:space="preserve"> [1971] and </w:t>
      </w:r>
      <w:r>
        <w:rPr>
          <w:i/>
        </w:rPr>
        <w:t>Stack v. Dowden</w:t>
      </w:r>
      <w:r>
        <w:t xml:space="preserve"> [2007] demonstrate the judiciary’s critical role in shaping principles of beneficial ownership. These cases established the need for evidence of common intention and clarified the distinction between joint and sole ownership.</w:t>
      </w:r>
    </w:p>
    <w:p w14:paraId="0000003B" w14:textId="77777777" w:rsidR="00C1478D" w:rsidRDefault="002D77D0">
      <w:pPr>
        <w:numPr>
          <w:ilvl w:val="0"/>
          <w:numId w:val="5"/>
        </w:numPr>
      </w:pPr>
      <w:r>
        <w:rPr>
          <w:b/>
        </w:rPr>
        <w:t>Equitable Principles</w:t>
      </w:r>
      <w:r>
        <w:t>: The judiciary’s reliance on equity has allowed flexibility in resolving disputes, particularly where formal legal ownership does not reflect the parties’ intentions or contributions. The development of the “common intention constructive trust” and the “resulting trust” doctrines are prime examples of judicial innovation addressing the complexities of family arrangements.</w:t>
      </w:r>
    </w:p>
    <w:p w14:paraId="0000003C" w14:textId="77777777" w:rsidR="00C1478D" w:rsidRDefault="002D77D0">
      <w:pPr>
        <w:numPr>
          <w:ilvl w:val="0"/>
          <w:numId w:val="5"/>
        </w:numPr>
        <w:spacing w:after="240"/>
      </w:pPr>
      <w:r>
        <w:rPr>
          <w:b/>
        </w:rPr>
        <w:t>Judicial Activism and Restraint</w:t>
      </w:r>
      <w:r>
        <w:t xml:space="preserve">: While judges have shown willingness to develop land law, they often exercise caution, citing the need for legislative intervention. For instance, in </w:t>
      </w:r>
      <w:r>
        <w:rPr>
          <w:i/>
        </w:rPr>
        <w:t>Jones v. Kernott</w:t>
      </w:r>
      <w:r>
        <w:t xml:space="preserve"> [2011], the Supreme Court clarified principles for quantifying beneficial shares but refrained from fundamentally altering the law, emphasizing Parliament’s role in addressing broader issues.</w:t>
      </w:r>
    </w:p>
    <w:p w14:paraId="0000003D" w14:textId="77777777" w:rsidR="00C1478D" w:rsidRDefault="002D77D0">
      <w:pPr>
        <w:spacing w:before="240" w:after="240"/>
      </w:pPr>
      <w:r>
        <w:t>Despite its critical contributions, the judiciary’s piecemeal approach can lead to uncertainty and inconsistency. Judicial decisions are inherently reactive, limited to the facts of the case at hand, and often fail to provide comprehensive solutions to systemic issues.</w:t>
      </w:r>
    </w:p>
    <w:p w14:paraId="0000003E" w14:textId="77777777" w:rsidR="00C1478D" w:rsidRDefault="002D77D0">
      <w:pPr>
        <w:pStyle w:val="Heading3"/>
        <w:keepNext w:val="0"/>
        <w:keepLines w:val="0"/>
        <w:spacing w:before="280"/>
        <w:rPr>
          <w:b/>
          <w:color w:val="000000"/>
          <w:sz w:val="26"/>
          <w:szCs w:val="26"/>
        </w:rPr>
      </w:pPr>
      <w:bookmarkStart w:id="3" w:name="_phcmn8a1px43" w:colFirst="0" w:colLast="0"/>
      <w:bookmarkEnd w:id="3"/>
      <w:r>
        <w:rPr>
          <w:b/>
          <w:color w:val="000000"/>
          <w:sz w:val="26"/>
          <w:szCs w:val="26"/>
        </w:rPr>
        <w:t>3. The Role of Parliament</w:t>
      </w:r>
    </w:p>
    <w:p w14:paraId="0000003F" w14:textId="77777777" w:rsidR="00C1478D" w:rsidRDefault="002D77D0">
      <w:pPr>
        <w:spacing w:before="240" w:after="240"/>
      </w:pPr>
      <w:r>
        <w:t>Parliament, as the primary legislative body, plays a foundational role in defining and reforming land law. Its contributions include:</w:t>
      </w:r>
    </w:p>
    <w:p w14:paraId="00000040" w14:textId="77777777" w:rsidR="00C1478D" w:rsidRDefault="002D77D0">
      <w:pPr>
        <w:numPr>
          <w:ilvl w:val="0"/>
          <w:numId w:val="4"/>
        </w:numPr>
        <w:spacing w:before="240"/>
      </w:pPr>
      <w:r>
        <w:rPr>
          <w:b/>
        </w:rPr>
        <w:t>Statutory Framework</w:t>
      </w:r>
      <w:r>
        <w:t>: Statutes like the Law of Property Act 1925 and the Trusts of Land and Appointment of Trustees Act 1996 (TOLATA) provide the structural framework within which the judiciary and legal profession operate. TOLATA, for instance, clarified the powers of trustees and beneficiaries, addressing practical issues in co-ownership disputes.</w:t>
      </w:r>
    </w:p>
    <w:p w14:paraId="00000041" w14:textId="77777777" w:rsidR="00C1478D" w:rsidRDefault="002D77D0">
      <w:pPr>
        <w:numPr>
          <w:ilvl w:val="0"/>
          <w:numId w:val="4"/>
        </w:numPr>
      </w:pPr>
      <w:r>
        <w:rPr>
          <w:b/>
        </w:rPr>
        <w:t>Social Policy and Reform</w:t>
      </w:r>
      <w:r>
        <w:t>: Parliament’s ability to enact legislation allows it to address broader societal issues that the judiciary cannot. For example, calls for reform in cohabitation law, such as those made by the Law Commission, highlight Parliament’s unique capacity to enact comprehensive changes reflecting modern relationships and family structures.</w:t>
      </w:r>
    </w:p>
    <w:p w14:paraId="00000042" w14:textId="77777777" w:rsidR="00C1478D" w:rsidRDefault="002D77D0">
      <w:pPr>
        <w:numPr>
          <w:ilvl w:val="0"/>
          <w:numId w:val="4"/>
        </w:numPr>
        <w:spacing w:after="240"/>
      </w:pPr>
      <w:r>
        <w:rPr>
          <w:b/>
        </w:rPr>
        <w:t>Limitations of Parliamentary Action</w:t>
      </w:r>
      <w:r>
        <w:t>: Despite its potential, Parliament’s role in land law has often been criticized for being slow and inconsistent. The absence of legislative reform addressing cohabitation disputes, despite repeated recommendations from the Law Commission, illustrates this limitation. This legislative inertia often shifts the burden of development to the judiciary.</w:t>
      </w:r>
    </w:p>
    <w:p w14:paraId="00000043" w14:textId="77777777" w:rsidR="00C1478D" w:rsidRDefault="002D77D0">
      <w:pPr>
        <w:pStyle w:val="Heading3"/>
        <w:keepNext w:val="0"/>
        <w:keepLines w:val="0"/>
        <w:spacing w:before="280"/>
        <w:rPr>
          <w:b/>
          <w:color w:val="000000"/>
          <w:sz w:val="26"/>
          <w:szCs w:val="26"/>
        </w:rPr>
      </w:pPr>
      <w:bookmarkStart w:id="4" w:name="_1ra62768f5zu" w:colFirst="0" w:colLast="0"/>
      <w:bookmarkEnd w:id="4"/>
      <w:r>
        <w:rPr>
          <w:b/>
          <w:color w:val="000000"/>
          <w:sz w:val="26"/>
          <w:szCs w:val="26"/>
        </w:rPr>
        <w:t>4. Comparative Analysis</w:t>
      </w:r>
    </w:p>
    <w:p w14:paraId="00000044" w14:textId="77777777" w:rsidR="00C1478D" w:rsidRDefault="002D77D0">
      <w:pPr>
        <w:spacing w:before="240" w:after="240"/>
      </w:pPr>
      <w:r>
        <w:t>The interplay between the legal profession, the judiciary, and Parliament reveals both synergies and tensions in the development of land law. The judiciary often acts as a bridge, interpreting statutory provisions enacted by Parliament while incorporating the insights of the legal profession.</w:t>
      </w:r>
    </w:p>
    <w:p w14:paraId="00000045" w14:textId="77777777" w:rsidR="00C1478D" w:rsidRDefault="002D77D0">
      <w:pPr>
        <w:numPr>
          <w:ilvl w:val="0"/>
          <w:numId w:val="3"/>
        </w:numPr>
        <w:spacing w:before="240"/>
      </w:pPr>
      <w:r>
        <w:rPr>
          <w:b/>
        </w:rPr>
        <w:t>Judiciary vs. Parliament</w:t>
      </w:r>
      <w:r>
        <w:t xml:space="preserve">: While Parliament provides the statutory framework, the judiciary’s role in interpreting and applying these laws is indispensable. For example, TOLATA’s provisions on co-ownership have been extensively interpreted in cases like </w:t>
      </w:r>
      <w:r>
        <w:rPr>
          <w:i/>
        </w:rPr>
        <w:t>Stack v. Dowden</w:t>
      </w:r>
      <w:r>
        <w:t xml:space="preserve"> to address disputes Parliament did not explicitly foresee. However, judicial development is inherently limited in scope and often lacks the democratic legitimacy of legislative reform.</w:t>
      </w:r>
    </w:p>
    <w:p w14:paraId="00000046" w14:textId="77777777" w:rsidR="00C1478D" w:rsidRDefault="002D77D0">
      <w:pPr>
        <w:numPr>
          <w:ilvl w:val="0"/>
          <w:numId w:val="3"/>
        </w:numPr>
        <w:spacing w:after="240"/>
      </w:pPr>
      <w:r>
        <w:rPr>
          <w:b/>
        </w:rPr>
        <w:t>Legal Profession as Catalyst</w:t>
      </w:r>
      <w:r>
        <w:t>: The legal profession plays a crucial role in bridging the gap between judiciary and Parliament. Through strategic litigation and academic critique, it identifies areas of law requiring development and proposes solutions. However, its influence is indirect and contingent on the receptiveness of the judiciary and Parliament.</w:t>
      </w:r>
    </w:p>
    <w:p w14:paraId="00000047" w14:textId="77777777" w:rsidR="00C1478D" w:rsidRDefault="002D77D0">
      <w:pPr>
        <w:pStyle w:val="Heading3"/>
        <w:keepNext w:val="0"/>
        <w:keepLines w:val="0"/>
        <w:spacing w:before="280"/>
        <w:rPr>
          <w:b/>
          <w:color w:val="000000"/>
          <w:sz w:val="26"/>
          <w:szCs w:val="26"/>
        </w:rPr>
      </w:pPr>
      <w:bookmarkStart w:id="5" w:name="_pey002bliwg8" w:colFirst="0" w:colLast="0"/>
      <w:bookmarkEnd w:id="5"/>
      <w:r>
        <w:rPr>
          <w:b/>
          <w:color w:val="000000"/>
          <w:sz w:val="26"/>
          <w:szCs w:val="26"/>
        </w:rPr>
        <w:t>5. Trusts of the Family Home: A Case Study</w:t>
      </w:r>
    </w:p>
    <w:p w14:paraId="00000048" w14:textId="77777777" w:rsidR="00C1478D" w:rsidRDefault="002D77D0">
      <w:pPr>
        <w:spacing w:before="240" w:after="240"/>
      </w:pPr>
      <w:r>
        <w:t>The development of trusts of the family home exemplifies the relative importance of these actors:</w:t>
      </w:r>
    </w:p>
    <w:p w14:paraId="00000049" w14:textId="77777777" w:rsidR="00C1478D" w:rsidRDefault="002D77D0">
      <w:pPr>
        <w:numPr>
          <w:ilvl w:val="0"/>
          <w:numId w:val="1"/>
        </w:numPr>
        <w:spacing w:before="240"/>
      </w:pPr>
      <w:r>
        <w:t>The judiciary has provided practical solutions through doctrines like the common intention constructive trust, addressing the inadequacies of statutory law.</w:t>
      </w:r>
    </w:p>
    <w:p w14:paraId="0000004A" w14:textId="77777777" w:rsidR="00C1478D" w:rsidRDefault="002D77D0">
      <w:pPr>
        <w:numPr>
          <w:ilvl w:val="0"/>
          <w:numId w:val="1"/>
        </w:numPr>
      </w:pPr>
      <w:r>
        <w:t>The legal profession has shaped these judicial developments by advocating for equitable solutions and critiquing inconsistencies.</w:t>
      </w:r>
    </w:p>
    <w:p w14:paraId="0000004B" w14:textId="77777777" w:rsidR="00C1478D" w:rsidRDefault="002D77D0">
      <w:pPr>
        <w:numPr>
          <w:ilvl w:val="0"/>
          <w:numId w:val="1"/>
        </w:numPr>
        <w:spacing w:after="240"/>
      </w:pPr>
      <w:r>
        <w:t>Parliament, while setting the statutory context, has been slow to address cohabitation disputes comprehensively, leaving gaps that the judiciary and legal profession have attempted to fill.</w:t>
      </w:r>
    </w:p>
    <w:p w14:paraId="0000004C" w14:textId="77777777" w:rsidR="00C1478D" w:rsidRDefault="002D77D0">
      <w:pPr>
        <w:pStyle w:val="Heading3"/>
        <w:keepNext w:val="0"/>
        <w:keepLines w:val="0"/>
        <w:spacing w:before="280"/>
        <w:rPr>
          <w:b/>
          <w:color w:val="000000"/>
          <w:sz w:val="26"/>
          <w:szCs w:val="26"/>
        </w:rPr>
      </w:pPr>
      <w:bookmarkStart w:id="6" w:name="_4a9l8n33ldne" w:colFirst="0" w:colLast="0"/>
      <w:bookmarkEnd w:id="6"/>
      <w:r>
        <w:rPr>
          <w:b/>
          <w:color w:val="000000"/>
          <w:sz w:val="26"/>
          <w:szCs w:val="26"/>
        </w:rPr>
        <w:t>Conclusion</w:t>
      </w:r>
    </w:p>
    <w:p w14:paraId="0000004D" w14:textId="77777777" w:rsidR="00C1478D" w:rsidRDefault="002D77D0">
      <w:pPr>
        <w:spacing w:before="240" w:after="240"/>
      </w:pPr>
      <w:r>
        <w:t xml:space="preserve">In the development of land law, particularly trusts of the family home, the judiciary has played the most dynamic role, </w:t>
      </w:r>
      <w:proofErr w:type="gramStart"/>
      <w:r>
        <w:t>addressing</w:t>
      </w:r>
      <w:proofErr w:type="gramEnd"/>
      <w:r>
        <w:t xml:space="preserve"> immediate practical issues and adapting legal principles to societal changes. However, its reactive nature highlights the importance of proactive legislative intervention by Parliament. The legal profession acts as a vital intermediary, identifying deficiencies and advocating for reform. A holistic and collaborative approach, where Parliament enacts comprehensive reforms informed by judicial experience and professional expertise, would ensure the continued relevance and coherence of land law.</w:t>
      </w:r>
    </w:p>
    <w:p w14:paraId="0000004E" w14:textId="77777777" w:rsidR="00C1478D" w:rsidRDefault="00C1478D"/>
    <w:sectPr w:rsidR="00C147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67E"/>
    <w:multiLevelType w:val="multilevel"/>
    <w:tmpl w:val="9B741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17C49"/>
    <w:multiLevelType w:val="multilevel"/>
    <w:tmpl w:val="A466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1D6A8F"/>
    <w:multiLevelType w:val="multilevel"/>
    <w:tmpl w:val="62A03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4D319A"/>
    <w:multiLevelType w:val="multilevel"/>
    <w:tmpl w:val="1E18F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666E91"/>
    <w:multiLevelType w:val="multilevel"/>
    <w:tmpl w:val="038ED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0277090">
    <w:abstractNumId w:val="2"/>
  </w:num>
  <w:num w:numId="2" w16cid:durableId="1489131523">
    <w:abstractNumId w:val="1"/>
  </w:num>
  <w:num w:numId="3" w16cid:durableId="340401366">
    <w:abstractNumId w:val="3"/>
  </w:num>
  <w:num w:numId="4" w16cid:durableId="158934292">
    <w:abstractNumId w:val="0"/>
  </w:num>
  <w:num w:numId="5" w16cid:durableId="731273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78D"/>
    <w:rsid w:val="002D77D0"/>
    <w:rsid w:val="007D0FA8"/>
    <w:rsid w:val="00B03925"/>
    <w:rsid w:val="00C14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58598212-A4CA-1949-9E3A-011298F8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1586</Words>
  <Characters>8108</Characters>
  <Application>Microsoft Office Word</Application>
  <DocSecurity>0</DocSecurity>
  <Lines>165</Lines>
  <Paragraphs>108</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2025-01-19T16:44:00Z</dcterms:created>
</cp:coreProperties>
</file>