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uso y diagramas del sistema — Atlantic City</w:t>
      </w:r>
    </w:p>
    <w:p>
      <w:r>
        <w:t>Versión del equipo, corregida sobre el documento original de casos de uso. Cada sección conserva el orden del documento original y su contenido queda verificado contra el backlog del producto, la especificación de casos de uso, las reglas confirmadas con el Product Owner y el código del MVP y del prototipo con navegación.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Semana 5</w:t>
            </w:r>
          </w:p>
        </w:tc>
        <w:tc>
          <w:tcPr>
            <w:tcW w:type="dxa" w:w="2160"/>
          </w:tcPr>
          <w:p>
            <w:r>
              <w:t>Documento original de casos de uso del sistema</w:t>
            </w:r>
          </w:p>
        </w:tc>
        <w:tc>
          <w:tcPr>
            <w:tcW w:type="dxa" w:w="2160"/>
          </w:tcPr>
          <w:p>
            <w:r>
              <w:t>Equipo de desarrollo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Semana 5</w:t>
            </w:r>
          </w:p>
        </w:tc>
        <w:tc>
          <w:tcPr>
            <w:tcW w:type="dxa" w:w="2160"/>
          </w:tcPr>
          <w:p>
            <w:r>
              <w:t>Versión del equipo: alcance contra el backlog, nombres por tarea, relaciones con estereotipo y secuencia de eventos con la plantilla del profesor</w:t>
            </w:r>
          </w:p>
        </w:tc>
        <w:tc>
          <w:tcPr>
            <w:tcW w:type="dxa" w:w="2160"/>
          </w:tcPr>
          <w:p>
            <w:r>
              <w:t>Equipo de desarrollo, cuatro integrantes</w:t>
            </w:r>
          </w:p>
        </w:tc>
      </w:tr>
    </w:tbl>
    <w:p>
      <w:pPr>
        <w:pStyle w:val="Heading1"/>
      </w:pPr>
      <w:r>
        <w:t>1. Estructura general</w:t>
      </w:r>
    </w:p>
    <w:p>
      <w:pPr>
        <w:pStyle w:val="ListBullet"/>
      </w:pPr>
      <w:r>
        <w:t>El diagrama de casos de uso utiliza la notación estándar UML y representa las funcionalidades del sistema de gestión unificada de clientes de Atlantic City, así como las personas externas que interactúan con él.</w:t>
      </w:r>
    </w:p>
    <w:p>
      <w:pPr>
        <w:pStyle w:val="ListBullet"/>
      </w:pPr>
      <w:r>
        <w:t>Límite del sistema (caja rectangular): representa los confines del software denominado «Gestión Unificada de Clientes». Dentro se encuentran los doce casos de uso del alcance actual: perfiles, visitas e incidencias, criterios y segmentos, campañas, promociones, ofertas y el reporte verificable.</w:t>
      </w:r>
    </w:p>
    <w:p>
      <w:pPr>
        <w:pStyle w:val="ListBullet"/>
      </w:pPr>
      <w:r>
        <w:t>Actores (figuras humanas): Servicio al Cliente / Operaciones, Marketing y Gerencia o usuario autorizado. El Product Owner se dibuja fuera de los casos ejecutables: no opera el sistema, confirma reglas, periodos e indicadores y ordena el backlog.</w:t>
      </w:r>
    </w:p>
    <w:p>
      <w:pPr>
        <w:pStyle w:val="ListBullet"/>
      </w:pPr>
      <w:r>
        <w:t>Casos de uso (óvalos): nombrados por la tarea que representan, sin numeración de historias de usuario. La trazabilidad entre cada caso y sus historias vive en la matriz de la especificación de casos de uso, no en el nombre del óvalo.</w:t>
      </w:r>
    </w:p>
    <w:p>
      <w:pPr>
        <w:pStyle w:val="ListBullet"/>
      </w:pPr>
      <w:r>
        <w:t>Automatización candidata: se dibuja fuera del límite, unida al Product Owner con línea discontinua, porque no forma parte del alcance hasta que él la priorice.</w:t>
      </w:r>
    </w:p>
    <w:p>
      <w:pPr>
        <w:jc w:val="center"/>
      </w:pPr>
      <w:r>
        <w:t>Figura 1. Diagrama de casos de uso, versión corregida del equipo.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9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de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Actores y sus relaciones directas</w:t>
      </w:r>
    </w:p>
    <w:p>
      <w:pPr>
        <w:pStyle w:val="Heading2"/>
      </w:pPr>
      <w:r>
        <w:t>A. Servicio al Cliente / Operaciones</w:t>
      </w:r>
    </w:p>
    <w:p>
      <w:r>
        <w:t>Representa al personal autorizado que atiende a los clientes y registra sus interacciones con Atlantic City.</w:t>
      </w:r>
    </w:p>
    <w:p>
      <w:pPr>
        <w:pStyle w:val="ListNumber"/>
      </w:pPr>
      <w:r>
        <w:t>Buscar e identificar cliente: permite localizar un perfil existente y evitar registros duplicados.</w:t>
      </w:r>
    </w:p>
    <w:p>
      <w:pPr>
        <w:pStyle w:val="ListNumber"/>
      </w:pPr>
      <w:r>
        <w:t>Registrar perfil de cliente: permite ingresar el identificador, el nombre y los datos disponibles cuando el cliente todavía no está registrado.</w:t>
      </w:r>
    </w:p>
    <w:p>
      <w:pPr>
        <w:pStyle w:val="ListNumber"/>
      </w:pPr>
      <w:r>
        <w:t>Actualizar datos del cliente: permite corregir y mantener actualizada la información sin perder el historial de atenciones.</w:t>
      </w:r>
    </w:p>
    <w:p>
      <w:pPr>
        <w:pStyle w:val="ListNumber"/>
      </w:pPr>
      <w:r>
        <w:t>Consultar perfil e historial: permite revisar en la misma pantalla los datos disponibles, los criterios actuales y las atenciones recientes.</w:t>
      </w:r>
    </w:p>
    <w:p>
      <w:pPr>
        <w:pStyle w:val="ListNumber"/>
      </w:pPr>
      <w:r>
        <w:t>Registrar visita o interacción: permite guardar una atención con tipo, fecha y nota opcional; la atención se conserva aunque no exista incidencia ni promoción asociada.</w:t>
      </w:r>
    </w:p>
    <w:p>
      <w:pPr>
        <w:pStyle w:val="ListNumber"/>
      </w:pPr>
      <w:r>
        <w:t>Registrar y consultar incidencia: permite registrar una queja, consulta o solicitud con su descripción y agregar notas de seguimiento.</w:t>
      </w:r>
    </w:p>
    <w:p>
      <w:pPr>
        <w:pStyle w:val="Heading2"/>
      </w:pPr>
      <w:r>
        <w:t>B. Marketing</w:t>
      </w:r>
    </w:p>
    <w:p>
      <w:r>
        <w:t>Representa al personal responsable de organizar las campañas, consultar los criterios de segmentación y gestionar las ofertas.</w:t>
      </w:r>
    </w:p>
    <w:p>
      <w:pPr>
        <w:pStyle w:val="ListNumber"/>
      </w:pPr>
      <w:r>
        <w:t>Consultar criterios de segmentación: permite revisar la frecuencia de visitas, el nivel de gasto, las preferencias de juegos y el historial; la frecuencia suma únicamente visitas.</w:t>
      </w:r>
    </w:p>
    <w:p>
      <w:pPr>
        <w:pStyle w:val="ListNumber"/>
      </w:pPr>
      <w:r>
        <w:t>Consultar segmento del cliente: permite visualizar la clasificación guardada, que se ingresa de forma manual y el sistema no calcula.</w:t>
      </w:r>
    </w:p>
    <w:p>
      <w:pPr>
        <w:pStyle w:val="ListNumber"/>
      </w:pPr>
      <w:r>
        <w:t>Evaluar si una promoción aplica: permite registrar el resultado de la revisión manual con uno de los dos valores permitidos, «Aplica» o «No aplica».</w:t>
      </w:r>
    </w:p>
    <w:p>
      <w:pPr>
        <w:pStyle w:val="ListNumber"/>
      </w:pPr>
      <w:r>
        <w:t>Definir y gestionar campaña: permite registrar la campaña como contexto de la promoción, sin marcarla como aprobada o publicada.</w:t>
      </w:r>
    </w:p>
    <w:p>
      <w:pPr>
        <w:pStyle w:val="ListNumber"/>
      </w:pPr>
      <w:r>
        <w:t>Registrar y comunicar oferta: permite dejar constancia local cuando el resultado es «Aplica»; ningún resultado envía mensajes externos.</w:t>
      </w:r>
    </w:p>
    <w:p>
      <w:pPr>
        <w:pStyle w:val="Heading2"/>
      </w:pPr>
      <w:r>
        <w:t>C. Gerencia o usuario autorizado</w:t>
      </w:r>
    </w:p>
    <w:p>
      <w:r>
        <w:t>Representa a los responsables autorizados que necesitan información para evaluar la actividad del negocio.</w:t>
      </w:r>
    </w:p>
    <w:p>
      <w:pPr>
        <w:pStyle w:val="ListNumber"/>
      </w:pPr>
      <w:r>
        <w:t>Consultar reporte verificable: permite revisar conteos, distribución por clasificación y detalle por tipo sobre los registros disponibles; sin resultados se muestra un estado vacío y la exportación CSV contiene exactamente lo mostrado en pantalla.</w:t>
      </w:r>
    </w:p>
    <w:p>
      <w:pPr>
        <w:pStyle w:val="Heading2"/>
      </w:pPr>
      <w:r>
        <w:t>D. Product Owner</w:t>
      </w:r>
    </w:p>
    <w:p>
      <w:r>
        <w:t>No ejecuta casos de uso del sistema. Confirma las reglas de negocio, los periodos y los indicadores, y ordena el backlog. La automatización candidata permanece fuera del límite del sistema hasta que él la priorice, y por eso se dibuja unida a este actor con línea discontinua.</w:t>
      </w:r>
    </w:p>
    <w:p>
      <w:pPr>
        <w:pStyle w:val="Heading1"/>
      </w:pPr>
      <w:r>
        <w:t>3. Relaciones entre casos de uso</w:t>
      </w:r>
    </w:p>
    <w:p>
      <w:r>
        <w:t>Las relaciones UML permiten mostrar dependencias entre las funcionalidades del sistema. Deben utilizarse únicamente cuando el comportamiento descrito justifique esa relación.</w:t>
      </w:r>
    </w:p>
    <w:p>
      <w:pPr>
        <w:pStyle w:val="Heading2"/>
      </w:pPr>
      <w:r>
        <w:t>A. Dependencias documentadas en el flujo, no como flechas entre óvalos</w:t>
      </w:r>
    </w:p>
    <w:p>
      <w:pPr>
        <w:pStyle w:val="ListBullet"/>
      </w:pPr>
      <w:r>
        <w:t>Evaluar si una promoción aplica siempre consulta los cuatro criterios de segmentación sobre el registro local: esa dependencia se documenta como paso incluido del flujo de CU03 en la especificación y como los mensajes 3 a 5 de su diagrama de secuencia. Por acuerdo del equipo, el diagrama de casos de uso no dibuja flechas entre óvalos, para que cada caso se lea por sí mismo durante la sustentación.</w:t>
      </w:r>
    </w:p>
    <w:p>
      <w:pPr>
        <w:pStyle w:val="ListBullet"/>
      </w:pPr>
      <w:r>
        <w:t>Registrar incidencia es un paso opcional dentro del recorrido de Registrar visita o interacción: por eso se dibuja como caso de uso asociado al actor y la atención se conserva igual sin incidencia.</w:t>
      </w:r>
    </w:p>
    <w:p>
      <w:pPr>
        <w:pStyle w:val="ListBullet"/>
      </w:pPr>
      <w:r>
        <w:t>La exportación CSV forma parte de Consultar reporte verificable: el archivo contiene exactamente los datos presentados en pantalla, de modo que es la salida del mismo caso y no un comportamiento adicional.</w:t>
      </w:r>
    </w:p>
    <w:p>
      <w:pPr>
        <w:pStyle w:val="ListBullet"/>
      </w:pPr>
      <w:r>
        <w:t>La automatización candidata no lleva relación alguna dentro del límite: está fuera del alcance actual, unida al Product Owner con línea discontinua, hasta que él la priorice.</w:t>
      </w:r>
    </w:p>
    <w:p>
      <w:pPr>
        <w:pStyle w:val="Heading2"/>
      </w:pPr>
      <w:r>
        <w:t>B. Notación del diagrama</w:t>
      </w:r>
    </w:p>
    <w:p>
      <w:pPr>
        <w:pStyle w:val="ListBullet"/>
      </w:pPr>
      <w:r>
        <w:t>Cada actor se une a sus casos con línea continua simple; la única línea discontinua del diagrama es la de la automatización candidata con el Product Owner. Ningún óvalo se conecta con otro: las dependencias del proceso viven en la especificación y en las secuencias, que es donde se revisan paso a paso.</w:t>
      </w:r>
    </w:p>
    <w:p>
      <w:pPr>
        <w:pStyle w:val="Heading1"/>
      </w:pPr>
      <w:r>
        <w:t>4. Secuencia de eventos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CU01</w:t>
            </w:r>
          </w:p>
        </w:tc>
      </w:tr>
      <w:tr>
        <w:tc>
          <w:tcPr>
            <w:tcW w:type="dxa" w:w="4320"/>
          </w:tcPr>
          <w:p>
            <w:r>
              <w:t>Caso de uso</w:t>
            </w:r>
          </w:p>
        </w:tc>
        <w:tc>
          <w:tcPr>
            <w:tcW w:type="dxa" w:w="4320"/>
          </w:tcPr>
          <w:p>
            <w:r>
              <w:t>Registrar cliente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al empleado autorizado crear o actualizar el perfil de un cliente con los datos disponibles de la etapa actual, para que el perfil quede disponible en las atenciones y consultas posteriores del recorrido.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Empleado de Servicio al Cliente / Operaciones (ejecutor); Cliente (fuente de los datos).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El empleado está usando el sistema con el registro local disponible. Para un alta, el identificador no está registrado; para una actualización, el identificador existe.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El perfil queda guardado en el registro local y disponible para consulta. En una actualización, los datos nuevos reemplazan a los anteriores sin perder el historial de atenciones.</w:t>
            </w:r>
          </w:p>
        </w:tc>
      </w:tr>
      <w:tr>
        <w:tc>
          <w:tcPr>
            <w:tcW w:type="dxa" w:w="4320"/>
          </w:tcPr>
          <w:p>
            <w:r>
              <w:t>Criterios de aceptación</w:t>
            </w:r>
          </w:p>
        </w:tc>
        <w:tc>
          <w:tcPr>
            <w:tcW w:type="dxa" w:w="4320"/>
          </w:tcPr>
          <w:p>
            <w:r>
              <w:t>El identificador y el nombre son obligatorios y el sistema no guarda sin ellos. Un identificador existente carga el perfil en lugar de duplicarlo en el MVP y bloquea el alta duplicada en la vista de clientes del prototipo. El perfil queda visible para consulta inmediatamente después de guardar.</w:t>
            </w:r>
          </w:p>
        </w:tc>
      </w:tr>
    </w:tbl>
    <w:p/>
    <w:p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Acción (actor)</w:t>
            </w:r>
          </w:p>
        </w:tc>
        <w:tc>
          <w:tcPr>
            <w:tcW w:type="dxa" w:w="2880"/>
          </w:tcPr>
          <w:p>
            <w:r>
              <w:t>Reacción (sistema)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Escribe el identificador del cliente en el campo de perfil.</w:t>
            </w:r>
          </w:p>
        </w:tc>
        <w:tc>
          <w:tcPr>
            <w:tcW w:type="dxa" w:w="2880"/>
          </w:tcPr>
          <w:p>
            <w:r>
              <w:t>Busca el identificador en el registro local. Si existe, carga los datos guardados en los campos vacíos e informa que el perfil local fue cargado; si no existe, mantiene el formulario listo para un alta.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Completa o confirma nombre, nivel de gasto, preferencias de juegos y clasificación.</w:t>
            </w:r>
          </w:p>
        </w:tc>
        <w:tc>
          <w:tcPr>
            <w:tcW w:type="dxa" w:w="2880"/>
          </w:tcPr>
          <w:p>
            <w:r>
              <w:t>Valida que el nombre no quede vacío y respeta las longitudes máximas.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Confirma el registro del perfil.</w:t>
            </w:r>
          </w:p>
        </w:tc>
        <w:tc>
          <w:tcPr>
            <w:tcW w:type="dxa" w:w="2880"/>
          </w:tcPr>
          <w:p>
            <w:r>
              <w:t>Verifica que el identificador no duplique a otro perfil en un alta, guarda el perfil nuevo o actualiza el existente y confirma el resultado.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Fin del caso de uso.</w:t>
            </w:r>
          </w:p>
        </w:tc>
      </w:tr>
    </w:tbl>
    <w:p/>
    <w:p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Situación</w:t>
            </w:r>
          </w:p>
        </w:tc>
        <w:tc>
          <w:tcPr>
            <w:tcW w:type="dxa" w:w="2880"/>
          </w:tcPr>
          <w:p>
            <w:r>
              <w:t>Comportamiento del sistema</w:t>
            </w:r>
          </w:p>
        </w:tc>
      </w:tr>
      <w:tr>
        <w:tc>
          <w:tcPr>
            <w:tcW w:type="dxa" w:w="2880"/>
          </w:tcPr>
          <w:p>
            <w:r>
              <w:t>EXC01</w:t>
            </w:r>
          </w:p>
        </w:tc>
        <w:tc>
          <w:tcPr>
            <w:tcW w:type="dxa" w:w="2880"/>
          </w:tcPr>
          <w:p>
            <w:r>
              <w:t>Confirma sin identificador o sin nombre.</w:t>
            </w:r>
          </w:p>
        </w:tc>
        <w:tc>
          <w:tcPr>
            <w:tcW w:type="dxa" w:w="2880"/>
          </w:tcPr>
          <w:p>
            <w:r>
              <w:t>Presenta el mensaje de campos obligatorios y no guarda.</w:t>
            </w:r>
          </w:p>
        </w:tc>
      </w:tr>
      <w:tr>
        <w:tc>
          <w:tcPr>
            <w:tcW w:type="dxa" w:w="2880"/>
          </w:tcPr>
          <w:p>
            <w:r>
              <w:t>EXC02</w:t>
            </w:r>
          </w:p>
        </w:tc>
        <w:tc>
          <w:tcPr>
            <w:tcW w:type="dxa" w:w="2880"/>
          </w:tcPr>
          <w:p>
            <w:r>
              <w:t>Alta con identificador existente en la vista de clientes del prototipo.</w:t>
            </w:r>
          </w:p>
        </w:tc>
        <w:tc>
          <w:tcPr>
            <w:tcW w:type="dxa" w:w="2880"/>
          </w:tcPr>
          <w:p>
            <w:r>
              <w:t>Presenta el mensaje de identificador registrado, lleva el foco al campo y no duplica.</w:t>
            </w:r>
          </w:p>
        </w:tc>
      </w:tr>
    </w:tbl>
    <w:p>
      <w:pPr>
        <w:pStyle w:val="Heading1"/>
      </w:pPr>
      <w:r>
        <w:t>5. Diagramas de secuencia y de clases (versión del equipo)</w:t>
      </w:r>
    </w:p>
    <w:p>
      <w:r>
        <w:t>Los diagramas de secuencia muestran una ejecución de un caso de uso en el tiempo, entre las cuatro líneas de vida del sistema: el empleado autorizado que opera, la interfaz que captura y muestra, el sistema que valida y decide, y los datos del registro local donde todo queda guardado en la etapa actual. El diagrama de clases muestra qué queda guardado y qué operaciones ejecuta el código sobre esos registros. Ambos coinciden paso a paso con este documento, con la especificación de casos de uso, con el informe y con el código.</w:t>
      </w:r>
    </w:p>
    <w:p>
      <w:pPr>
        <w:jc w:val="center"/>
      </w:pPr>
      <w:r>
        <w:t>Figura 2. Secuencia de CU01 Registrar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118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registrar_cl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3. Secuencia de CU02 Registrar visita o interacción.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52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registrar_visi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2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4. Secuencia de CU03 Evaluar si una promoción aplica.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27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evaluar_promo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5. Diagrama de clases del registro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51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1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archivo editable de StarUML del equipo es modelado/Atlantic_City_UML.mdj, con los cinco diagramas. La lectura mensaje por mensaje de las secuencias y los clics de StarUML están en docs/Guia_Diagramas_de_Secuencia_Atlantic_City.md; la lectura de los diagramas UML, en docs/Guia_Modelado_UML_Atlantic_City.md; y el porqué de cada corrección respecto del documento original, en docs/Guia_Correcciones_UML_Atlantic_City.md.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