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ICSE Review Draft</w:t>
      </w:r>
    </w:p>
    <w:p>
      <w:pPr>
        <w:jc w:val="center"/>
      </w:pPr>
      <w:r>
        <w:rPr>
          <w:i/>
          <w:sz w:val="24"/>
        </w:rPr>
        <w:t>Paper: "Off-the-Shelf LLMs are Static Roofline Triage Tools for GPU Kernels"</w:t>
      </w:r>
    </w:p>
    <w:p>
      <w:pPr>
        <w:jc w:val="center"/>
      </w:pPr>
      <w:r>
        <w:rPr>
          <w:color w:val="505050"/>
          <w:sz w:val="20"/>
        </w:rPr>
        <w:t>Recommended verdict, scores, detailed justification, and revision roadmap</w:t>
      </w:r>
    </w:p>
    <w:tbl>
      <w:tblPr>
        <w:tblStyle w:val="TableGrid"/>
        <w:tblW w:type="auto" w:w="0"/>
        <w:jc w:val="center"/>
        <w:tblLook w:firstColumn="1" w:firstRow="1" w:lastColumn="0" w:lastRow="0" w:noHBand="0" w:noVBand="1" w:val="04A0"/>
      </w:tblPr>
      <w:tblGrid>
        <w:gridCol w:w="10080"/>
      </w:tblGrid>
      <w:tr>
        <w:tc>
          <w:tcPr>
            <w:tcW w:type="dxa" w:w="10080"/>
            <w:shd w:fill="FFF2CC"/>
          </w:tcPr>
          <w:p>
            <w:pPr>
              <w:spacing w:after="80"/>
            </w:pPr>
            <w:r>
              <w:rPr>
                <w:b/>
                <w:sz w:val="20"/>
              </w:rPr>
              <w:t>Bottom line for the reviewer</w:t>
            </w:r>
          </w:p>
          <w:p>
            <w:pPr>
              <w:spacing w:after="60"/>
            </w:pPr>
            <w:r>
              <w:rPr>
                <w:sz w:val="18"/>
              </w:rPr>
              <w:t>Recommended verdict: Weak Reject.</w:t>
            </w:r>
          </w:p>
          <w:p>
            <w:pPr>
              <w:spacing w:after="60"/>
            </w:pPr>
            <w:r>
              <w:rPr>
                <w:sz w:val="18"/>
              </w:rPr>
              <w:t>Reason: the paper has a promising and timely idea, a nontrivial benchmark, and readable presentation, but the current evidence is not yet strong enough for ICSE because the evaluation lacks essential baselines, uncertainty/replicability analysis, and a sufficiently validated link between the measured metric and actionable software-engineering utility.</w:t>
            </w:r>
          </w:p>
          <w:p>
            <w:pPr>
              <w:spacing w:after="60"/>
            </w:pPr>
            <w:r>
              <w:rPr>
                <w:sz w:val="18"/>
              </w:rPr>
              <w:t>This is not a Strong Reject: the topic is real, the dataset/evaluation scale is meaningful, and the paper could become acceptable after substantial revision. It is also not a Weak Accept: several central claims require additional experiments or reframing, not merely camera-ready edits.</w:t>
            </w:r>
          </w:p>
        </w:tc>
      </w:tr>
    </w:tbl>
    <w:p/>
    <w:p>
      <w:pPr>
        <w:pStyle w:val="Heading1"/>
      </w:pPr>
      <w:r>
        <w:t>1. Recommended ICSE-style ratings</w:t>
      </w:r>
    </w:p>
    <w:p>
      <w:pPr>
        <w:spacing w:after="120" w:line="259" w:lineRule="auto"/>
      </w:pPr>
      <w:r>
        <w:rPr>
          <w:sz w:val="20"/>
        </w:rPr>
        <w:t>Use the exact field names in the review system if they differ; the values below are intended to map to the usual ICSE-style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8"/>
              </w:rPr>
              <w:t>Field</w:t>
            </w:r>
          </w:p>
        </w:tc>
        <w:tc>
          <w:tcPr>
            <w:tcW w:type="dxa" w:w="3360"/>
            <w:vAlign w:val="center"/>
            <w:shd w:fill="1F4E79"/>
          </w:tcPr>
          <w:p>
            <w:r/>
            <w:r>
              <w:rPr>
                <w:b/>
                <w:color w:val="FFFFFF"/>
                <w:sz w:val="18"/>
              </w:rPr>
              <w:t>Recommended rating</w:t>
            </w:r>
          </w:p>
        </w:tc>
        <w:tc>
          <w:tcPr>
            <w:tcW w:type="dxa" w:w="3360"/>
            <w:vAlign w:val="center"/>
            <w:shd w:fill="1F4E79"/>
          </w:tcPr>
          <w:p>
            <w:r/>
            <w:r>
              <w:rPr>
                <w:b/>
                <w:color w:val="FFFFFF"/>
                <w:sz w:val="18"/>
              </w:rPr>
              <w:t>Rationale</w:t>
            </w:r>
          </w:p>
        </w:tc>
      </w:tr>
      <w:tr>
        <w:tc>
          <w:tcPr>
            <w:tcW w:type="dxa" w:w="3360"/>
            <w:vAlign w:val="center"/>
          </w:tcPr>
          <w:p>
            <w:r/>
            <w:r>
              <w:rPr>
                <w:b w:val="0"/>
                <w:sz w:val="16"/>
              </w:rPr>
              <w:t>Overall recommendation</w:t>
            </w:r>
          </w:p>
        </w:tc>
        <w:tc>
          <w:tcPr>
            <w:tcW w:type="dxa" w:w="3360"/>
            <w:vAlign w:val="center"/>
          </w:tcPr>
          <w:p>
            <w:r/>
            <w:r>
              <w:rPr>
                <w:b w:val="0"/>
                <w:sz w:val="16"/>
              </w:rPr>
              <w:t>Weak Reject</w:t>
            </w:r>
          </w:p>
        </w:tc>
        <w:tc>
          <w:tcPr>
            <w:tcW w:type="dxa" w:w="3360"/>
            <w:vAlign w:val="center"/>
          </w:tcPr>
          <w:p>
            <w:r/>
            <w:r>
              <w:rPr>
                <w:b w:val="0"/>
                <w:sz w:val="16"/>
              </w:rPr>
              <w:t>Promising idea and sizable evaluation, but major methodological and evidentiary gaps remain.</w:t>
            </w:r>
          </w:p>
        </w:tc>
      </w:tr>
      <w:tr>
        <w:tc>
          <w:tcPr>
            <w:tcW w:type="dxa" w:w="3360"/>
            <w:vAlign w:val="center"/>
          </w:tcPr>
          <w:p>
            <w:r/>
            <w:r>
              <w:rPr>
                <w:b w:val="0"/>
                <w:sz w:val="16"/>
              </w:rPr>
              <w:t>Numerical score if required</w:t>
            </w:r>
          </w:p>
        </w:tc>
        <w:tc>
          <w:tcPr>
            <w:tcW w:type="dxa" w:w="3360"/>
            <w:vAlign w:val="center"/>
          </w:tcPr>
          <w:p>
            <w:r/>
            <w:r>
              <w:rPr>
                <w:b w:val="0"/>
                <w:sz w:val="16"/>
              </w:rPr>
              <w:t>-1 on a -3..+3 scale; or 2/5 on a 1..5 acceptability scale</w:t>
            </w:r>
          </w:p>
        </w:tc>
        <w:tc>
          <w:tcPr>
            <w:tcW w:type="dxa" w:w="3360"/>
            <w:vAlign w:val="center"/>
          </w:tcPr>
          <w:p>
            <w:r/>
            <w:r>
              <w:rPr>
                <w:b w:val="0"/>
                <w:sz w:val="16"/>
              </w:rPr>
              <w:t>Equivalent to reject with encouragement to resubmit after substantial revision.</w:t>
            </w:r>
          </w:p>
        </w:tc>
      </w:tr>
      <w:tr>
        <w:tc>
          <w:tcPr>
            <w:tcW w:type="dxa" w:w="3360"/>
            <w:vAlign w:val="center"/>
          </w:tcPr>
          <w:p>
            <w:r/>
            <w:r>
              <w:rPr>
                <w:b w:val="0"/>
                <w:sz w:val="16"/>
              </w:rPr>
              <w:t>Reviewer confidence</w:t>
            </w:r>
          </w:p>
        </w:tc>
        <w:tc>
          <w:tcPr>
            <w:tcW w:type="dxa" w:w="3360"/>
            <w:vAlign w:val="center"/>
          </w:tcPr>
          <w:p>
            <w:r/>
            <w:r>
              <w:rPr>
                <w:b w:val="0"/>
                <w:sz w:val="16"/>
              </w:rPr>
              <w:t>4/5</w:t>
            </w:r>
          </w:p>
        </w:tc>
        <w:tc>
          <w:tcPr>
            <w:tcW w:type="dxa" w:w="3360"/>
            <w:vAlign w:val="center"/>
          </w:tcPr>
          <w:p>
            <w:r/>
            <w:r>
              <w:rPr>
                <w:b w:val="0"/>
                <w:sz w:val="16"/>
              </w:rPr>
              <w:t>I can assess the performance-engineering/LLM-evaluation aspects with reasonable confidence; exact system form may differ.</w:t>
            </w:r>
          </w:p>
        </w:tc>
      </w:tr>
      <w:tr>
        <w:tc>
          <w:tcPr>
            <w:tcW w:type="dxa" w:w="3360"/>
            <w:vAlign w:val="center"/>
          </w:tcPr>
          <w:p>
            <w:r/>
            <w:r>
              <w:rPr>
                <w:b w:val="0"/>
                <w:sz w:val="16"/>
              </w:rPr>
              <w:t>Soundness</w:t>
            </w:r>
          </w:p>
        </w:tc>
        <w:tc>
          <w:tcPr>
            <w:tcW w:type="dxa" w:w="3360"/>
            <w:vAlign w:val="center"/>
          </w:tcPr>
          <w:p>
            <w:r/>
            <w:r>
              <w:rPr>
                <w:b w:val="0"/>
                <w:sz w:val="16"/>
              </w:rPr>
              <w:t>2/5</w:t>
            </w:r>
          </w:p>
        </w:tc>
        <w:tc>
          <w:tcPr>
            <w:tcW w:type="dxa" w:w="3360"/>
            <w:vAlign w:val="center"/>
          </w:tcPr>
          <w:p>
            <w:r/>
            <w:r>
              <w:rPr>
                <w:b w:val="0"/>
                <w:sz w:val="16"/>
              </w:rPr>
              <w:t>The core experimental setup is plausible, but the absence of baselines, repetition, uncertainty estimates, and validated feature labels weakens the claims.</w:t>
            </w:r>
          </w:p>
        </w:tc>
      </w:tr>
      <w:tr>
        <w:tc>
          <w:tcPr>
            <w:tcW w:type="dxa" w:w="3360"/>
            <w:vAlign w:val="center"/>
          </w:tcPr>
          <w:p>
            <w:r/>
            <w:r>
              <w:rPr>
                <w:b w:val="0"/>
                <w:sz w:val="16"/>
              </w:rPr>
              <w:t>Significance / impact</w:t>
            </w:r>
          </w:p>
        </w:tc>
        <w:tc>
          <w:tcPr>
            <w:tcW w:type="dxa" w:w="3360"/>
            <w:vAlign w:val="center"/>
          </w:tcPr>
          <w:p>
            <w:r/>
            <w:r>
              <w:rPr>
                <w:b w:val="0"/>
                <w:sz w:val="16"/>
              </w:rPr>
              <w:t>3/5</w:t>
            </w:r>
          </w:p>
        </w:tc>
        <w:tc>
          <w:tcPr>
            <w:tcW w:type="dxa" w:w="3360"/>
            <w:vAlign w:val="center"/>
          </w:tcPr>
          <w:p>
            <w:r/>
            <w:r>
              <w:rPr>
                <w:b w:val="0"/>
                <w:sz w:val="16"/>
              </w:rPr>
              <w:t>The problem is important for LLM-assisted performance engineering, but current evidence stops at offline prediction rather than developer or optimizer utility.</w:t>
            </w:r>
          </w:p>
        </w:tc>
      </w:tr>
      <w:tr>
        <w:tc>
          <w:tcPr>
            <w:tcW w:type="dxa" w:w="3360"/>
            <w:vAlign w:val="center"/>
          </w:tcPr>
          <w:p>
            <w:r/>
            <w:r>
              <w:rPr>
                <w:b w:val="0"/>
                <w:sz w:val="16"/>
              </w:rPr>
              <w:t>Novelty</w:t>
            </w:r>
          </w:p>
        </w:tc>
        <w:tc>
          <w:tcPr>
            <w:tcW w:type="dxa" w:w="3360"/>
            <w:vAlign w:val="center"/>
          </w:tcPr>
          <w:p>
            <w:r/>
            <w:r>
              <w:rPr>
                <w:b w:val="0"/>
                <w:sz w:val="16"/>
              </w:rPr>
              <w:t>3/5</w:t>
            </w:r>
          </w:p>
        </w:tc>
        <w:tc>
          <w:tcPr>
            <w:tcW w:type="dxa" w:w="3360"/>
            <w:vAlign w:val="center"/>
          </w:tcPr>
          <w:p>
            <w:r/>
            <w:r>
              <w:rPr>
                <w:b w:val="0"/>
                <w:sz w:val="16"/>
              </w:rPr>
              <w:t>Quantitative RAI prediction with off-the-shelf LLMs is a useful angle, but prior work on static GPU prediction and LLM performance prediction makes novelty incremental unless the benchmark and analysis are strengthened.</w:t>
            </w:r>
          </w:p>
        </w:tc>
      </w:tr>
      <w:tr>
        <w:tc>
          <w:tcPr>
            <w:tcW w:type="dxa" w:w="3360"/>
            <w:vAlign w:val="center"/>
          </w:tcPr>
          <w:p>
            <w:r/>
            <w:r>
              <w:rPr>
                <w:b w:val="0"/>
                <w:sz w:val="16"/>
              </w:rPr>
              <w:t>Presentation</w:t>
            </w:r>
          </w:p>
        </w:tc>
        <w:tc>
          <w:tcPr>
            <w:tcW w:type="dxa" w:w="3360"/>
            <w:vAlign w:val="center"/>
          </w:tcPr>
          <w:p>
            <w:r/>
            <w:r>
              <w:rPr>
                <w:b w:val="0"/>
                <w:sz w:val="16"/>
              </w:rPr>
              <w:t>3/5</w:t>
            </w:r>
          </w:p>
        </w:tc>
        <w:tc>
          <w:tcPr>
            <w:tcW w:type="dxa" w:w="3360"/>
            <w:vAlign w:val="center"/>
          </w:tcPr>
          <w:p>
            <w:r/>
            <w:r>
              <w:rPr>
                <w:b w:val="0"/>
                <w:sz w:val="16"/>
              </w:rPr>
              <w:t>Generally readable and well organized, with useful figures, but several definitions, metrics, and claims require sharper wording.</w:t>
            </w:r>
          </w:p>
        </w:tc>
      </w:tr>
      <w:tr>
        <w:tc>
          <w:tcPr>
            <w:tcW w:type="dxa" w:w="3360"/>
            <w:vAlign w:val="center"/>
          </w:tcPr>
          <w:p>
            <w:r/>
            <w:r>
              <w:rPr>
                <w:b w:val="0"/>
                <w:sz w:val="16"/>
              </w:rPr>
              <w:t>Reproducibility / artifact</w:t>
            </w:r>
          </w:p>
        </w:tc>
        <w:tc>
          <w:tcPr>
            <w:tcW w:type="dxa" w:w="3360"/>
            <w:vAlign w:val="center"/>
          </w:tcPr>
          <w:p>
            <w:r/>
            <w:r>
              <w:rPr>
                <w:b w:val="0"/>
                <w:sz w:val="16"/>
              </w:rPr>
              <w:t>2/5 now; potentially 4/5 with artifact</w:t>
            </w:r>
          </w:p>
        </w:tc>
        <w:tc>
          <w:tcPr>
            <w:tcW w:type="dxa" w:w="3360"/>
            <w:vAlign w:val="center"/>
          </w:tcPr>
          <w:p>
            <w:r/>
            <w:r>
              <w:rPr>
                <w:b w:val="0"/>
                <w:sz w:val="16"/>
              </w:rPr>
              <w:t>The paper promises a benchmark, but the review needs exact scripts, raw prompts/responses, Nsight metrics, model settings, versions, and released data to verify the results.</w:t>
            </w:r>
          </w:p>
        </w:tc>
      </w:tr>
      <w:tr>
        <w:tc>
          <w:tcPr>
            <w:tcW w:type="dxa" w:w="3360"/>
            <w:vAlign w:val="center"/>
          </w:tcPr>
          <w:p>
            <w:r/>
            <w:r>
              <w:rPr>
                <w:b w:val="0"/>
                <w:sz w:val="16"/>
              </w:rPr>
              <w:t>Appropriateness for ICSE</w:t>
            </w:r>
          </w:p>
        </w:tc>
        <w:tc>
          <w:tcPr>
            <w:tcW w:type="dxa" w:w="3360"/>
            <w:vAlign w:val="center"/>
          </w:tcPr>
          <w:p>
            <w:r/>
            <w:r>
              <w:rPr>
                <w:b w:val="0"/>
                <w:sz w:val="16"/>
              </w:rPr>
              <w:t>Borderline-to-relevant</w:t>
            </w:r>
          </w:p>
        </w:tc>
        <w:tc>
          <w:tcPr>
            <w:tcW w:type="dxa" w:w="3360"/>
            <w:vAlign w:val="center"/>
          </w:tcPr>
          <w:p>
            <w:r/>
            <w:r>
              <w:rPr>
                <w:b w:val="0"/>
                <w:sz w:val="16"/>
              </w:rPr>
              <w:t>The work is relevant if framed as AI-assisted performance engineering for developers; currently it reads more like an HPC measurement paper than a software-engineering paper.</w:t>
            </w:r>
          </w:p>
        </w:tc>
      </w:tr>
    </w:tbl>
    <w:p>
      <w:pPr>
        <w:pStyle w:val="Heading1"/>
      </w:pPr>
      <w:r>
        <w:t>2. Copy-ready overall review</w:t>
      </w:r>
    </w:p>
    <w:p>
      <w:pPr>
        <w:spacing w:after="120" w:line="259" w:lineRule="auto"/>
      </w:pPr>
      <w:r>
        <w:rPr>
          <w:sz w:val="20"/>
        </w:rPr>
        <w:t>The text in this section is written in a style suitable for pasting into an author-visible review field.</w:t>
      </w:r>
    </w:p>
    <w:p>
      <w:pPr>
        <w:pStyle w:val="Heading2"/>
      </w:pPr>
      <w:r>
        <w:t>Summary of the paper</w:t>
      </w:r>
    </w:p>
    <w:p>
      <w:pPr>
        <w:spacing w:after="120" w:line="259" w:lineRule="auto"/>
      </w:pPr>
      <w:r>
        <w:rPr>
          <w:sz w:val="20"/>
        </w:rPr>
        <w:t>The paper studies whether off-the-shelf large language models can predict a Roofline-relevant signal, Roofline Arithmetic Intensity (RAI), for GPU kernels without task-specific training. Instead of asking the model to output RAI directly, the authors ask it to predict launch dimensions, FP16/FP32/FP64 operation counts, and DRAM bytes read/written, and then derive arithmetic intensity. The evaluation uses 254 CUDA and OpenMP kernels from HeCBench on four NVIDIA GPUs (RTX 3080, A10, A100, H100), compares source-only prompts to source+SASS prompts, and reports numerical RAI error, Roofline-class agreement, cost/latency, and an error-feature analysis. The main claims are that stronger LLMs can provide useful early Roofline triage, that SASS helps especially for FP16 and bound classification, and that a cheaper model remains competitive in the source-only setting.</w:t>
      </w:r>
    </w:p>
    <w:p>
      <w:pPr>
        <w:pStyle w:val="Heading2"/>
      </w:pPr>
      <w:r>
        <w:t>Overall assessment</w:t>
      </w:r>
    </w:p>
    <w:p>
      <w:pPr>
        <w:spacing w:after="120" w:line="259" w:lineRule="auto"/>
      </w:pPr>
      <w:r>
        <w:rPr>
          <w:sz w:val="20"/>
        </w:rPr>
        <w:t>I recommend Weak Reject. The paper has a timely and potentially useful idea: using LLMs as early static triage assistants for GPU performance engineering, before full profiling is available. The paper is also well motivated, has a sizable multi-GPU evaluation, and makes a reasonable effort to analyze where the models fail. However, I do not think the current version provides enough evidence for acceptance at ICSE. The central problem is that the evaluation demonstrates that LLMs sometimes correlate with profiled arithmetic intensity, but it does not yet establish that this is the right tool, that the results are robust, or that the method improves a software-engineering workflow relative to simpler static baselines. Several claims also depend on single stochastic model queries, an LLM-generated error-feature labeling pipeline, and a dataset dominated in places by zero-RAI cases. These issues are substantial and cannot be resolved by minor edits alone.</w:t>
      </w:r>
    </w:p>
    <w:p>
      <w:pPr>
        <w:pStyle w:val="Heading2"/>
      </w:pPr>
      <w:r>
        <w:t>Strengths</w:t>
      </w:r>
    </w:p>
    <w:p>
      <w:pPr>
        <w:pStyle w:val="ListBullet"/>
        <w:spacing w:after="60"/>
      </w:pPr>
      <w:r>
        <w:rPr>
          <w:sz w:val="20"/>
        </w:rPr>
        <w:t>The problem is meaningful. GPU optimization workflows often depend on scarce profiling access, and an early triage signal for deciding whether a kernel is likely memory-bound or compute-bound would be practically valuable.</w:t>
      </w:r>
    </w:p>
    <w:p>
      <w:pPr>
        <w:pStyle w:val="ListBullet"/>
        <w:spacing w:after="60"/>
      </w:pPr>
      <w:r>
        <w:rPr>
          <w:sz w:val="20"/>
        </w:rPr>
        <w:t>The paper asks a narrower and more interpretable question than general performance prediction: can models estimate the components of arithmetic intensity? This decomposition into launch configuration, FLOPs, and DRAM traffic is useful and makes failure analysis possible.</w:t>
      </w:r>
    </w:p>
    <w:p>
      <w:pPr>
        <w:pStyle w:val="ListBullet"/>
        <w:spacing w:after="60"/>
      </w:pPr>
      <w:r>
        <w:rPr>
          <w:sz w:val="20"/>
        </w:rPr>
        <w:t>The evaluation is nontrivial in scale: 254 kernels, two programming models, four GPU architectures, and multiple prompt settings/models. This is much stronger than a purely anecdotal prompt-engineering paper.</w:t>
      </w:r>
    </w:p>
    <w:p>
      <w:pPr>
        <w:pStyle w:val="ListBullet"/>
        <w:spacing w:after="60"/>
      </w:pPr>
      <w:r>
        <w:rPr>
          <w:sz w:val="20"/>
        </w:rPr>
        <w:t>The paper is mostly well written. The introduction clearly explains the hardware-access bottleneck, the figures communicate the pipeline effectively, and the related-work section acknowledges both static GPU-performance modeling and LLM-based performance-prediction work.</w:t>
      </w:r>
    </w:p>
    <w:p>
      <w:pPr>
        <w:pStyle w:val="ListBullet"/>
        <w:spacing w:after="60"/>
      </w:pPr>
      <w:r>
        <w:rPr>
          <w:sz w:val="20"/>
        </w:rPr>
        <w:t>The comparison between source-only and source+SASS prompts is interesting. It is plausible that SASS exposes compiler-realized behavior that source-only prompts miss, and this distinction is important for future tools.</w:t>
      </w:r>
    </w:p>
    <w:p>
      <w:pPr>
        <w:pStyle w:val="ListBullet"/>
        <w:spacing w:after="60"/>
      </w:pPr>
      <w:r>
        <w:rPr>
          <w:sz w:val="20"/>
        </w:rPr>
        <w:t>The promised benchmark could be a valuable contribution if the artifact is complete, anonymized, reproducible, and includes raw prompts/responses, profiling data, scripts, and metadata.</w:t>
      </w:r>
    </w:p>
    <w:p>
      <w:pPr>
        <w:pStyle w:val="Heading2"/>
      </w:pPr>
      <w:r>
        <w:t>Major weaknesses</w:t>
      </w:r>
    </w:p>
    <w:p>
      <w:pPr>
        <w:pStyle w:val="ListBullet"/>
      </w:pPr>
      <w:r>
        <w:rPr>
          <w:b/>
          <w:sz w:val="20"/>
        </w:rPr>
        <w:t xml:space="preserve">Missing non-LLM and simple baselines. </w:t>
      </w:r>
      <w:r>
        <w:rPr>
          <w:sz w:val="20"/>
        </w:rPr>
        <w:t>The main missing comparison is against simple static analysis baselines. Since the source+SASS setting supplies assembly, a rule-based SASS instruction counter, a source/AST-level operation counter, a regex/heuristic counter, a majority-class classifier, and simple per-runtime/per-GPU baselines are essential. Without these, it is unclear whether the LLM is doing something uniquely useful or merely approximating what a much cheaper deterministic analyzer could do more reliably.</w:t>
      </w:r>
    </w:p>
    <w:p>
      <w:pPr>
        <w:pStyle w:val="ListBullet"/>
      </w:pPr>
      <w:r>
        <w:rPr>
          <w:b/>
          <w:sz w:val="20"/>
        </w:rPr>
        <w:t xml:space="preserve">Robustness of LLM predictions is not established. </w:t>
      </w:r>
      <w:r>
        <w:rPr>
          <w:sz w:val="20"/>
        </w:rPr>
        <w:t>The paper states that expensive models are queried only once per kernel/GPU setting. If temperature, model versioning, tool-calling behavior, or nondeterminism are not controlled and repeated, the results may not be stable. A single query per item is particularly problematic when differences between source-only and source+SASS are used to support a central claim.</w:t>
      </w:r>
    </w:p>
    <w:p>
      <w:pPr>
        <w:pStyle w:val="ListBullet"/>
      </w:pPr>
      <w:r>
        <w:rPr>
          <w:b/>
          <w:sz w:val="20"/>
        </w:rPr>
        <w:t xml:space="preserve">The “useful triage” claim is stronger than what is measured. </w:t>
      </w:r>
      <w:r>
        <w:rPr>
          <w:sz w:val="20"/>
        </w:rPr>
        <w:t>The experiments measure RAI numerical error and class agreement, but do not evaluate whether developers or optimizer agents would actually make better decisions. For an ICSE paper, the software-engineering impact should be operationalized: for example, whether the method correctly prioritizes kernels for memory vs compute optimization, reduces wasted profiling time, or improves an LLM optimization loop under a fixed hardware budget.</w:t>
      </w:r>
    </w:p>
    <w:p>
      <w:pPr>
        <w:pStyle w:val="ListBullet"/>
      </w:pPr>
      <w:r>
        <w:rPr>
          <w:b/>
          <w:sz w:val="20"/>
        </w:rPr>
        <w:t xml:space="preserve">The definition and handling of RAI need to be tightened. </w:t>
      </w:r>
      <w:r>
        <w:rPr>
          <w:sz w:val="20"/>
        </w:rPr>
        <w:t>The paper computes separate FP16, FP32, and FP64 RAIs and then classifies each against precision-specific balance points. This can be reasonable, but it is not the standard way many readers think about operational intensity for mixed-precision kernels. The paper needs to explain how mixed precision is handled, why compiler-injected FP16 instructions should count as useful Roofline work, and how these per-precision classifications translate into actionable optimization advice.</w:t>
      </w:r>
    </w:p>
    <w:p>
      <w:pPr>
        <w:pStyle w:val="ListBullet"/>
      </w:pPr>
      <w:r>
        <w:rPr>
          <w:b/>
          <w:sz w:val="20"/>
        </w:rPr>
        <w:t xml:space="preserve">Zero-RAI cases risk distorting the conclusions. </w:t>
      </w:r>
      <w:r>
        <w:rPr>
          <w:sz w:val="20"/>
        </w:rPr>
        <w:t>The paper notes that most kernels have zero RAI. This raises two concerns: first, a large part of the dataset may not be representative of the intended floating-point Roofline task; second, classification performance may be inflated or dominated by a trivial zero/nonzero distinction. The paper partially excludes zero cases from percent-error plots, but the analysis needs a clearer separation between zero detection, nonzero RAI regression, and bound classification among nonzero kernels.</w:t>
      </w:r>
    </w:p>
    <w:p>
      <w:pPr>
        <w:pStyle w:val="ListBullet"/>
      </w:pPr>
      <w:r>
        <w:rPr>
          <w:b/>
          <w:sz w:val="20"/>
        </w:rPr>
        <w:t xml:space="preserve">The error-feature analysis is not sufficiently validated. </w:t>
      </w:r>
      <w:r>
        <w:rPr>
          <w:sz w:val="20"/>
        </w:rPr>
        <w:t>The paper uses a voting ensemble of inexpensive LLMs to label source-code features that are then correlated with LLM prediction errors. This is potentially circular and introduces another unvalidated model-based measurement layer. The feature labels need human validation, inter-rater agreement, raw prevalence counts, confidence intervals for Cliff’s Delta, and correction for multiple comparisons.</w:t>
      </w:r>
    </w:p>
    <w:p>
      <w:pPr>
        <w:pStyle w:val="ListBullet"/>
      </w:pPr>
      <w:r>
        <w:rPr>
          <w:b/>
          <w:sz w:val="20"/>
        </w:rPr>
        <w:t xml:space="preserve">The source+SASS setting complicates the hardware-free narrative. </w:t>
      </w:r>
      <w:r>
        <w:rPr>
          <w:sz w:val="20"/>
        </w:rPr>
        <w:t>The paper motivates the work as useful before hardware access, but source+SASS relies on target-specific compilation artifacts. That may still be hardware-free if compilation for the target architecture is possible without the device, but the paper must be precise about what resources are required and what is unavailable. It should distinguish “no runtime/profiling access” from “no compiler/toolchain/access to target architecture.”</w:t>
      </w:r>
    </w:p>
    <w:p>
      <w:pPr>
        <w:pStyle w:val="ListBullet"/>
      </w:pPr>
      <w:r>
        <w:rPr>
          <w:b/>
          <w:sz w:val="20"/>
        </w:rPr>
        <w:t xml:space="preserve">The profiling ground truth and memory-traffic assumptions require more precision. </w:t>
      </w:r>
      <w:r>
        <w:rPr>
          <w:sz w:val="20"/>
        </w:rPr>
        <w:t>The paper should list exact Nsight Compute metrics, units, conversion formulas, counter reliability concerns, replay effects, compiler/driver versions, and how first invocation is isolated. DRAM writes and cache write-back behavior are especially important because the prompt example assumes writes may remain in L2 and therefore not count as DRAM writes; this needs to be reconciled with the actual profiler metrics used as ground truth.</w:t>
      </w:r>
    </w:p>
    <w:p>
      <w:pPr>
        <w:pStyle w:val="ListBullet"/>
      </w:pPr>
      <w:r>
        <w:rPr>
          <w:b/>
          <w:sz w:val="20"/>
        </w:rPr>
        <w:t xml:space="preserve">ICSE framing is currently underdeveloped. </w:t>
      </w:r>
      <w:r>
        <w:rPr>
          <w:sz w:val="20"/>
        </w:rPr>
        <w:t>The paper is relevant to software engineering through LLM-assisted performance engineering, but it currently reads closer to an HPC/performance-modeling measurement paper. For ICSE, the paper should more directly articulate the developer task, the tool workflow, the cost/benefit tradeoff, and the concrete way this changes software engineering practice.</w:t>
      </w:r>
    </w:p>
    <w:p>
      <w:pPr>
        <w:pStyle w:val="Heading2"/>
      </w:pPr>
      <w:r>
        <w:t>Detailed comments by criterion</w:t>
      </w:r>
    </w:p>
    <w:p>
      <w:pPr>
        <w:spacing w:after="120" w:line="259" w:lineRule="auto"/>
      </w:pPr>
      <w:r>
        <w:rPr>
          <w:b/>
          <w:sz w:val="20"/>
        </w:rPr>
        <w:t>Originality:</w:t>
      </w:r>
      <w:r>
        <w:rPr>
          <w:sz w:val="20"/>
        </w:rPr>
        <w:t xml:space="preserve"> Moderate. The paper is not simply another LLM code-generation paper; quantitative RAI prediction is a useful and interpretable target. However, the novelty is reduced by substantial prior work on static GPU performance prediction, learned GPU performance prediction, and LLM-based GPU metric prediction. The paper needs to sharpen what is uniquely learned here beyond “LLMs can be prompted for another metric.”</w:t>
      </w:r>
    </w:p>
    <w:p>
      <w:pPr>
        <w:spacing w:after="120" w:line="259" w:lineRule="auto"/>
      </w:pPr>
      <w:r>
        <w:rPr>
          <w:b/>
          <w:sz w:val="20"/>
        </w:rPr>
        <w:t>Technical soundness:</w:t>
      </w:r>
      <w:r>
        <w:rPr>
          <w:sz w:val="20"/>
        </w:rPr>
        <w:t xml:space="preserve"> Currently borderline. The pipeline is plausible, but the lack of static baselines, repetitions, uncertainty estimates, and validated labels makes the evidence insufficient. The strongest statements about SASS, model superiority, and architecture effects should be treated as hypotheses unless supported by paired statistical tests and robustness checks.</w:t>
      </w:r>
    </w:p>
    <w:p>
      <w:pPr>
        <w:spacing w:after="120" w:line="259" w:lineRule="auto"/>
      </w:pPr>
      <w:r>
        <w:rPr>
          <w:b/>
          <w:sz w:val="20"/>
        </w:rPr>
        <w:t>Evaluation adequacy:</w:t>
      </w:r>
      <w:r>
        <w:rPr>
          <w:sz w:val="20"/>
        </w:rPr>
        <w:t xml:space="preserve"> Not yet sufficient. The number of kernel-GPU datapoints is good, but the evaluation design does not yet answer the most important questions: does the method beat obvious baselines, does it remain stable across LLM runs and model versions, does it help triage decisions, and how often would it lead a developer to choose the wrong optimization strategy?</w:t>
      </w:r>
    </w:p>
    <w:p>
      <w:pPr>
        <w:spacing w:after="120" w:line="259" w:lineRule="auto"/>
      </w:pPr>
      <w:r>
        <w:rPr>
          <w:b/>
          <w:sz w:val="20"/>
        </w:rPr>
        <w:t>Reproducibility:</w:t>
      </w:r>
      <w:r>
        <w:rPr>
          <w:sz w:val="20"/>
        </w:rPr>
        <w:t xml:space="preserve"> Potentially strong but not demonstrated in the paper. A benchmark URL is promising, but review requires enough detail to know whether the results can be reproduced: exact prompt templates, raw outputs, parsing scripts, API settings, model dates, compiler versions, driver versions, Nsight metrics, filtering logic, and complete kernel metadata.</w:t>
      </w:r>
    </w:p>
    <w:p>
      <w:pPr>
        <w:spacing w:after="120" w:line="259" w:lineRule="auto"/>
      </w:pPr>
      <w:r>
        <w:rPr>
          <w:b/>
          <w:sz w:val="20"/>
        </w:rPr>
        <w:t>Presentation:</w:t>
      </w:r>
      <w:r>
        <w:rPr>
          <w:sz w:val="20"/>
        </w:rPr>
        <w:t xml:space="preserve"> Generally clear. The narrative is coherent and the figures are useful. However, the results section would benefit from compact aggregate tables with medians, interquartile ranges, balanced accuracy, confidence intervals, and paired deltas. Several grammar issues also recur, such as “it’s” where “its” is required, “divison,” and minor singular/plural errors.</w:t>
      </w:r>
    </w:p>
    <w:p>
      <w:pPr>
        <w:spacing w:after="120" w:line="259" w:lineRule="auto"/>
      </w:pPr>
      <w:r>
        <w:rPr>
          <w:b/>
          <w:sz w:val="20"/>
        </w:rPr>
        <w:t>Relevance to ICSE:</w:t>
      </w:r>
      <w:r>
        <w:rPr>
          <w:sz w:val="20"/>
        </w:rPr>
        <w:t xml:space="preserve"> Relevant but needs reframing. The paper should make the software-engineering contribution explicit: this is about developer support, CI/IDE integration, agentic code optimization, and efficient allocation of scarce profiling resources. A purely hardware-performance framing may be seen as more appropriate for SC/PACT/CGO unless the SE contribution is emphasized and evaluated.</w:t>
      </w:r>
    </w:p>
    <w:p>
      <w:pPr>
        <w:pStyle w:val="Heading2"/>
      </w:pPr>
      <w:r>
        <w:t>Questions for the authors</w:t>
      </w:r>
    </w:p>
    <w:p>
      <w:pPr>
        <w:pStyle w:val="ListBullet"/>
        <w:spacing w:after="60"/>
      </w:pPr>
      <w:r>
        <w:rPr>
          <w:sz w:val="20"/>
        </w:rPr>
        <w:t>What deterministic static baselines does the LLM beat in the source-only and source+SASS settings?</w:t>
      </w:r>
    </w:p>
    <w:p>
      <w:pPr>
        <w:pStyle w:val="ListBullet"/>
        <w:spacing w:after="60"/>
      </w:pPr>
      <w:r>
        <w:rPr>
          <w:sz w:val="20"/>
        </w:rPr>
        <w:t>What temperature and decoding settings were used? Are predictions stable if the same prompt is run multiple times?</w:t>
      </w:r>
    </w:p>
    <w:p>
      <w:pPr>
        <w:pStyle w:val="ListBullet"/>
        <w:spacing w:after="60"/>
      </w:pPr>
      <w:r>
        <w:rPr>
          <w:sz w:val="20"/>
        </w:rPr>
        <w:t>How many kernels are zero-RAI for each runtime/GPU/precision, and what is performance on nonzero-only bound classification?</w:t>
      </w:r>
    </w:p>
    <w:p>
      <w:pPr>
        <w:pStyle w:val="ListBullet"/>
        <w:spacing w:after="60"/>
      </w:pPr>
      <w:r>
        <w:rPr>
          <w:sz w:val="20"/>
        </w:rPr>
        <w:t>Which exact Nsight Compute metrics define FP16/FP32/FP64 operations and DRAM bytes read/written? How are replay and counter noise handled?</w:t>
      </w:r>
    </w:p>
    <w:p>
      <w:pPr>
        <w:pStyle w:val="ListBullet"/>
        <w:spacing w:after="60"/>
      </w:pPr>
      <w:r>
        <w:rPr>
          <w:sz w:val="20"/>
        </w:rPr>
        <w:t>For mixed-precision kernels, what is the intended operational meaning of separate FP16, FP32, and FP64 RAI values?</w:t>
      </w:r>
    </w:p>
    <w:p>
      <w:pPr>
        <w:pStyle w:val="ListBullet"/>
        <w:spacing w:after="60"/>
      </w:pPr>
      <w:r>
        <w:rPr>
          <w:sz w:val="20"/>
        </w:rPr>
        <w:t>Does source+SASS require only compilation for a target architecture, or did the workflow require access to each target GPU at any point before profiling?</w:t>
      </w:r>
    </w:p>
    <w:p>
      <w:pPr>
        <w:pStyle w:val="ListBullet"/>
        <w:spacing w:after="60"/>
      </w:pPr>
      <w:r>
        <w:rPr>
          <w:sz w:val="20"/>
        </w:rPr>
        <w:t>How accurate are the LLM-generated feature labels used in the error analysis? Was there any human validation or inter-rater agreement?</w:t>
      </w:r>
    </w:p>
    <w:p>
      <w:pPr>
        <w:pStyle w:val="ListBullet"/>
        <w:spacing w:after="60"/>
      </w:pPr>
      <w:r>
        <w:rPr>
          <w:sz w:val="20"/>
        </w:rPr>
        <w:t>What developer decision would change based on a predicted RAI, and how often would the predicted decision match the profiler-based decision?</w:t>
      </w:r>
    </w:p>
    <w:p>
      <w:pPr>
        <w:pStyle w:val="Heading2"/>
      </w:pPr>
      <w:r>
        <w:t>Why the verdict is Weak Reject rather than stronger or weaker</w:t>
      </w:r>
    </w:p>
    <w:p>
      <w:pPr>
        <w:spacing w:after="120" w:line="259" w:lineRule="auto"/>
      </w:pPr>
      <w:r>
        <w:rPr>
          <w:sz w:val="20"/>
        </w:rPr>
        <w:t>Why not Strong Reject: the paper addresses a real bottleneck, is technically plausible, contains a reasonably large empirical study, and could produce a useful benchmark. The weaknesses are serious but not fatal to the research direction.</w:t>
      </w:r>
    </w:p>
    <w:p>
      <w:pPr>
        <w:spacing w:after="120" w:line="259" w:lineRule="auto"/>
      </w:pPr>
      <w:r>
        <w:rPr>
          <w:sz w:val="20"/>
        </w:rPr>
        <w:t>Why not Weak Accept: the missing evidence is central. A camera-ready revision could improve wording and add clarifications, but it cannot easily add the necessary baselines, robustness analysis, validated labels, and developer-utility evaluation unless those results already exist.</w:t>
      </w:r>
    </w:p>
    <w:p>
      <w:pPr>
        <w:spacing w:after="120" w:line="259" w:lineRule="auto"/>
      </w:pPr>
      <w:r>
        <w:rPr>
          <w:sz w:val="20"/>
        </w:rPr>
        <w:t>Why not Accept: ICSE acceptance should require convincing evidence that the proposed technique is sound, useful, and better than appropriate alternatives. The current paper does not yet meet that bar.</w:t>
      </w:r>
    </w:p>
    <w:p>
      <w:pPr>
        <w:pStyle w:val="Heading1"/>
      </w:pPr>
      <w:r>
        <w:t>3. Optional private note to the PC / meta-reviewer</w:t>
      </w:r>
    </w:p>
    <w:tbl>
      <w:tblPr>
        <w:tblStyle w:val="TableGrid"/>
        <w:tblW w:type="auto" w:w="0"/>
        <w:jc w:val="center"/>
        <w:tblLook w:firstColumn="1" w:firstRow="1" w:lastColumn="0" w:lastRow="0" w:noHBand="0" w:noVBand="1" w:val="04A0"/>
      </w:tblPr>
      <w:tblGrid>
        <w:gridCol w:w="10080"/>
      </w:tblGrid>
      <w:tr>
        <w:tc>
          <w:tcPr>
            <w:tcW w:type="dxa" w:w="10080"/>
            <w:shd w:fill="EAF2F8"/>
          </w:tcPr>
          <w:p>
            <w:pPr>
              <w:spacing w:after="80"/>
            </w:pPr>
            <w:r>
              <w:rPr>
                <w:b/>
                <w:sz w:val="20"/>
              </w:rPr>
              <w:t>Private calibration note</w:t>
            </w:r>
          </w:p>
          <w:p>
            <w:pPr>
              <w:spacing w:after="60"/>
            </w:pPr>
            <w:r>
              <w:rPr>
                <w:sz w:val="18"/>
              </w:rPr>
              <w:t>This paper is promising but premature for ICSE. My main concern is not presentation; it is evidentiary. The paper demonstrates an interesting correlation between LLM predictions and profiled RAI, but without baselines and robustness checks it is impossible to tell whether the proposed LLM-based method is a useful software-engineering contribution or simply an expensive substitute for deterministic static analysis. I would encourage resubmission after major revision, especially if the authors can release a strong artifact and evaluate actual triage utility.</w:t>
            </w:r>
          </w:p>
        </w:tc>
      </w:tr>
    </w:tbl>
    <w:p/>
    <w:p>
      <w:pPr>
        <w:pStyle w:val="Heading1"/>
      </w:pPr>
      <w:r>
        <w:t>4. Required actions to make the paper fully acceptable</w:t>
      </w:r>
    </w:p>
    <w:p>
      <w:pPr>
        <w:spacing w:after="120" w:line="259" w:lineRule="auto"/>
      </w:pPr>
      <w:r>
        <w:rPr>
          <w:sz w:val="20"/>
        </w:rPr>
        <w:t>The following roadmap is deliberately detailed. The first tier contains changes I would consider essential for acceptance at a top-tier ICSE venue; the second tier contains changes that would substantially improve the paper but may be less central.</w:t>
      </w:r>
    </w:p>
    <w:p>
      <w:pPr>
        <w:pStyle w:val="Heading2"/>
      </w:pPr>
      <w:r>
        <w:t>Tier 1: Essential changes</w:t>
      </w:r>
    </w:p>
    <w:p>
      <w:pPr>
        <w:spacing w:after="120" w:line="259" w:lineRule="auto"/>
      </w:pPr>
      <w:r>
        <w:rPr>
          <w:b/>
          <w:sz w:val="20"/>
        </w:rPr>
        <w:t>Add strong baselines.</w:t>
      </w:r>
    </w:p>
    <w:p>
      <w:pPr>
        <w:pStyle w:val="ListBullet2"/>
        <w:spacing w:after="60"/>
      </w:pPr>
      <w:r>
        <w:rPr>
          <w:sz w:val="20"/>
        </w:rPr>
        <w:t>Add a source-only static baseline that counts operations from the source/AST/LLVM IR or uses a simple code-feature model.</w:t>
      </w:r>
    </w:p>
    <w:p>
      <w:pPr>
        <w:pStyle w:val="ListBullet2"/>
        <w:spacing w:after="60"/>
      </w:pPr>
      <w:r>
        <w:rPr>
          <w:sz w:val="20"/>
        </w:rPr>
        <w:t>Add a SASS-only or source+SASS deterministic baseline that counts floating-point opcodes and memory instructions with architecture-specific rules. Even if imperfect for caches and helper functions, it is the most natural baseline for the source+SASS setting.</w:t>
      </w:r>
    </w:p>
    <w:p>
      <w:pPr>
        <w:pStyle w:val="ListBullet2"/>
        <w:spacing w:after="60"/>
      </w:pPr>
      <w:r>
        <w:rPr>
          <w:sz w:val="20"/>
        </w:rPr>
        <w:t>Add trivial and heuristic baselines: always-zero RAI, majority bound class, median RAI by runtime/GPU/precision, and simple launch-dimension propagation.</w:t>
      </w:r>
    </w:p>
    <w:p>
      <w:pPr>
        <w:pStyle w:val="ListBullet2"/>
        <w:spacing w:after="60"/>
      </w:pPr>
      <w:r>
        <w:rPr>
          <w:sz w:val="20"/>
        </w:rPr>
        <w:t>If feasible, add a lightweight learned baseline such as random forest/XGBoost over static source/SASS features. This helps separate “LLMs are useful” from “any statistical predictor works.”</w:t>
      </w:r>
    </w:p>
    <w:p>
      <w:pPr>
        <w:pStyle w:val="ListBullet2"/>
        <w:spacing w:after="60"/>
      </w:pPr>
      <w:r>
        <w:rPr>
          <w:sz w:val="20"/>
        </w:rPr>
        <w:t>Report where the LLM actually beats these baselines and where it does not. If the LLM mainly helps source-only cases but not SASS cases, state that precisely.</w:t>
      </w:r>
    </w:p>
    <w:p>
      <w:pPr>
        <w:spacing w:after="120" w:line="259" w:lineRule="auto"/>
      </w:pPr>
      <w:r>
        <w:rPr>
          <w:b/>
          <w:sz w:val="20"/>
        </w:rPr>
        <w:t>Repeat enough LLM queries to quantify stochastic variability.</w:t>
      </w:r>
    </w:p>
    <w:p>
      <w:pPr>
        <w:pStyle w:val="ListBullet2"/>
        <w:spacing w:after="60"/>
      </w:pPr>
      <w:r>
        <w:rPr>
          <w:sz w:val="20"/>
        </w:rPr>
        <w:t>State temperature, top-p, seed availability, tool-calling schema, and whether the models are deterministic.</w:t>
      </w:r>
    </w:p>
    <w:p>
      <w:pPr>
        <w:pStyle w:val="ListBullet2"/>
        <w:spacing w:after="60"/>
      </w:pPr>
      <w:r>
        <w:rPr>
          <w:sz w:val="20"/>
        </w:rPr>
        <w:t>Run at least 3-5 repetitions on the full dataset if cost allows; otherwise run repetitions on a stratified subset covering zero/nonzero RAI, FP16/FP32/FP64, runtime, GPU, and hard features.</w:t>
      </w:r>
    </w:p>
    <w:p>
      <w:pPr>
        <w:pStyle w:val="ListBullet2"/>
        <w:spacing w:after="60"/>
      </w:pPr>
      <w:r>
        <w:rPr>
          <w:sz w:val="20"/>
        </w:rPr>
        <w:t>Report median and variance across repetitions. A central result should not depend on one prompt draw.</w:t>
      </w:r>
    </w:p>
    <w:p>
      <w:pPr>
        <w:pStyle w:val="ListBullet2"/>
        <w:spacing w:after="60"/>
      </w:pPr>
      <w:r>
        <w:rPr>
          <w:sz w:val="20"/>
        </w:rPr>
        <w:t>If model version pinning is impossible, report model snapshot names/dates and discuss reproducibility limitations for closed APIs.</w:t>
      </w:r>
    </w:p>
    <w:p>
      <w:pPr>
        <w:spacing w:after="120" w:line="259" w:lineRule="auto"/>
      </w:pPr>
      <w:r>
        <w:rPr>
          <w:b/>
          <w:sz w:val="20"/>
        </w:rPr>
        <w:t>Separate the evaluation into the right tasks.</w:t>
      </w:r>
    </w:p>
    <w:p>
      <w:pPr>
        <w:pStyle w:val="ListBullet2"/>
        <w:spacing w:after="60"/>
      </w:pPr>
      <w:r>
        <w:rPr>
          <w:sz w:val="20"/>
        </w:rPr>
        <w:t>Task A: zero vs nonzero RAI detection.</w:t>
      </w:r>
    </w:p>
    <w:p>
      <w:pPr>
        <w:pStyle w:val="ListBullet2"/>
        <w:spacing w:after="60"/>
      </w:pPr>
      <w:r>
        <w:rPr>
          <w:sz w:val="20"/>
        </w:rPr>
        <w:t>Task B: numerical RAI regression on nonzero cases only.</w:t>
      </w:r>
    </w:p>
    <w:p>
      <w:pPr>
        <w:pStyle w:val="ListBullet2"/>
        <w:spacing w:after="60"/>
      </w:pPr>
      <w:r>
        <w:rPr>
          <w:sz w:val="20"/>
        </w:rPr>
        <w:t>Task C: bandwidth-bound vs compute-bound classification among nonzero cases.</w:t>
      </w:r>
    </w:p>
    <w:p>
      <w:pPr>
        <w:pStyle w:val="ListBullet2"/>
        <w:spacing w:after="60"/>
      </w:pPr>
      <w:r>
        <w:rPr>
          <w:sz w:val="20"/>
        </w:rPr>
        <w:t>Task D: actionable triage decision quality, i.e., whether the predicted class would lead to the same optimization focus as the profiler-derived class.</w:t>
      </w:r>
    </w:p>
    <w:p>
      <w:pPr>
        <w:pStyle w:val="ListBullet2"/>
        <w:spacing w:after="60"/>
      </w:pPr>
      <w:r>
        <w:rPr>
          <w:sz w:val="20"/>
        </w:rPr>
        <w:t>Avoid mixing these tasks in a way that lets a large zero-RAI majority mask poor nonzero regression performance.</w:t>
      </w:r>
    </w:p>
    <w:p>
      <w:pPr>
        <w:spacing w:after="120" w:line="259" w:lineRule="auto"/>
      </w:pPr>
      <w:r>
        <w:rPr>
          <w:b/>
          <w:sz w:val="20"/>
        </w:rPr>
        <w:t>Use more appropriate statistics and uncertainty reporting.</w:t>
      </w:r>
    </w:p>
    <w:p>
      <w:pPr>
        <w:pStyle w:val="ListBullet2"/>
        <w:spacing w:after="60"/>
      </w:pPr>
      <w:r>
        <w:rPr>
          <w:sz w:val="20"/>
        </w:rPr>
        <w:t>For numerical error, add median absolute percentage error, median log error, symmetric MAPE or log-ratio error, and per-precision/per-GPU confidence intervals.</w:t>
      </w:r>
    </w:p>
    <w:p>
      <w:pPr>
        <w:pStyle w:val="ListBullet2"/>
        <w:spacing w:after="60"/>
      </w:pPr>
      <w:r>
        <w:rPr>
          <w:sz w:val="20"/>
        </w:rPr>
        <w:t>For classification, report balanced accuracy, macro F1, confusion matrices with raw counts, and precision/recall for compute-bound cases.</w:t>
      </w:r>
    </w:p>
    <w:p>
      <w:pPr>
        <w:pStyle w:val="ListBullet2"/>
        <w:spacing w:after="60"/>
      </w:pPr>
      <w:r>
        <w:rPr>
          <w:sz w:val="20"/>
        </w:rPr>
        <w:t>For source-only vs source+SASS, use paired tests or bootstrap confidence intervals on per-kernel deltas.</w:t>
      </w:r>
    </w:p>
    <w:p>
      <w:pPr>
        <w:pStyle w:val="ListBullet2"/>
        <w:spacing w:after="60"/>
      </w:pPr>
      <w:r>
        <w:rPr>
          <w:sz w:val="20"/>
        </w:rPr>
        <w:t>For feature/error correlations, report confidence intervals for Cliff’s Delta, feature prevalences, and multiple-comparison correction.</w:t>
      </w:r>
    </w:p>
    <w:p>
      <w:pPr>
        <w:spacing w:after="120" w:line="259" w:lineRule="auto"/>
      </w:pPr>
      <w:r>
        <w:rPr>
          <w:b/>
          <w:sz w:val="20"/>
        </w:rPr>
        <w:t>Validate the feature-labeling pipeline.</w:t>
      </w:r>
    </w:p>
    <w:p>
      <w:pPr>
        <w:pStyle w:val="ListBullet2"/>
        <w:spacing w:after="60"/>
      </w:pPr>
      <w:r>
        <w:rPr>
          <w:sz w:val="20"/>
        </w:rPr>
        <w:t>Do not rely solely on LLM votes to label error-prone code features.</w:t>
      </w:r>
    </w:p>
    <w:p>
      <w:pPr>
        <w:pStyle w:val="ListBullet2"/>
        <w:spacing w:after="60"/>
      </w:pPr>
      <w:r>
        <w:rPr>
          <w:sz w:val="20"/>
        </w:rPr>
        <w:t>Hand-label at least a statistically meaningful sample, report agreement, and calibrate LLM-vote precision/recall against human labels.</w:t>
      </w:r>
    </w:p>
    <w:p>
      <w:pPr>
        <w:pStyle w:val="ListBullet2"/>
        <w:spacing w:after="60"/>
      </w:pPr>
      <w:r>
        <w:rPr>
          <w:sz w:val="20"/>
        </w:rPr>
        <w:t>Publish the feature definitions and labeling prompts. Clarify whether labels refer to source-visible patterns or actually executed paths.</w:t>
      </w:r>
    </w:p>
    <w:p>
      <w:pPr>
        <w:pStyle w:val="ListBullet2"/>
        <w:spacing w:after="60"/>
      </w:pPr>
      <w:r>
        <w:rPr>
          <w:sz w:val="20"/>
        </w:rPr>
        <w:t>Show examples of false-positive and false-negative feature labels; otherwise the heatmap may overstate the reliability of the causal interpretation.</w:t>
      </w:r>
    </w:p>
    <w:p>
      <w:pPr>
        <w:spacing w:after="120" w:line="259" w:lineRule="auto"/>
      </w:pPr>
      <w:r>
        <w:rPr>
          <w:b/>
          <w:sz w:val="20"/>
        </w:rPr>
        <w:t>Tighten the definition of RAI and ground truth.</w:t>
      </w:r>
    </w:p>
    <w:p>
      <w:pPr>
        <w:pStyle w:val="ListBullet2"/>
        <w:spacing w:after="60"/>
      </w:pPr>
      <w:r>
        <w:rPr>
          <w:sz w:val="20"/>
        </w:rPr>
        <w:t>List exact Nsight Compute counter names for each FLOP precision and for DRAM reads/writes.</w:t>
      </w:r>
    </w:p>
    <w:p>
      <w:pPr>
        <w:pStyle w:val="ListBullet2"/>
        <w:spacing w:after="60"/>
      </w:pPr>
      <w:r>
        <w:rPr>
          <w:sz w:val="20"/>
        </w:rPr>
        <w:t>Explain how counters are converted to bytes and FLOPs, how FMAs are counted, and whether helper/library instructions are included.</w:t>
      </w:r>
    </w:p>
    <w:p>
      <w:pPr>
        <w:pStyle w:val="ListBullet2"/>
        <w:spacing w:after="60"/>
      </w:pPr>
      <w:r>
        <w:rPr>
          <w:sz w:val="20"/>
        </w:rPr>
        <w:t>Define precisely how FP16, FP32, and FP64 RAI are interpreted for mixed-precision kernels.</w:t>
      </w:r>
    </w:p>
    <w:p>
      <w:pPr>
        <w:pStyle w:val="ListBullet2"/>
        <w:spacing w:after="60"/>
      </w:pPr>
      <w:r>
        <w:rPr>
          <w:sz w:val="20"/>
        </w:rPr>
        <w:t>Explain the treatment of compiler-injected FP16 instructions: are these semantically useful computation, implementation artifact, or both?</w:t>
      </w:r>
    </w:p>
    <w:p>
      <w:pPr>
        <w:pStyle w:val="ListBullet2"/>
        <w:spacing w:after="60"/>
      </w:pPr>
      <w:r>
        <w:rPr>
          <w:sz w:val="20"/>
        </w:rPr>
        <w:t>Clarify whether DRAM writebacks after kernel completion are counted, whether L2 write-back effects are visible in the chosen counters, and how this affects the denominator of RAI.</w:t>
      </w:r>
    </w:p>
    <w:p>
      <w:pPr>
        <w:spacing w:after="120" w:line="259" w:lineRule="auto"/>
      </w:pPr>
      <w:r>
        <w:rPr>
          <w:b/>
          <w:sz w:val="20"/>
        </w:rPr>
        <w:t>Make the “hardware-free” claim precise.</w:t>
      </w:r>
    </w:p>
    <w:p>
      <w:pPr>
        <w:pStyle w:val="ListBullet2"/>
        <w:spacing w:after="60"/>
      </w:pPr>
      <w:r>
        <w:rPr>
          <w:sz w:val="20"/>
        </w:rPr>
        <w:t>Replace broad “without hardware access” language with “without runtime profiling on the target GPU,” if that is the actual claim.</w:t>
      </w:r>
    </w:p>
    <w:p>
      <w:pPr>
        <w:pStyle w:val="ListBullet2"/>
        <w:spacing w:after="60"/>
      </w:pPr>
      <w:r>
        <w:rPr>
          <w:sz w:val="20"/>
        </w:rPr>
        <w:t>Explain what is still required: source code, build system, target architecture, compiler, cuobjdump/nvdisasm, GPU specs, and possibly target-specific libraries.</w:t>
      </w:r>
    </w:p>
    <w:p>
      <w:pPr>
        <w:pStyle w:val="ListBullet2"/>
        <w:spacing w:after="60"/>
      </w:pPr>
      <w:r>
        <w:rPr>
          <w:sz w:val="20"/>
        </w:rPr>
        <w:t>Discuss scenarios where SASS is unavailable or compilation for the target architecture is impossible, and whether source-only results remain useful enough.</w:t>
      </w:r>
    </w:p>
    <w:p>
      <w:pPr>
        <w:spacing w:after="120" w:line="259" w:lineRule="auto"/>
      </w:pPr>
      <w:r>
        <w:rPr>
          <w:b/>
          <w:sz w:val="20"/>
        </w:rPr>
        <w:t>Demonstrate software-engineering utility.</w:t>
      </w:r>
    </w:p>
    <w:p>
      <w:pPr>
        <w:pStyle w:val="ListBullet2"/>
        <w:spacing w:after="60"/>
      </w:pPr>
      <w:r>
        <w:rPr>
          <w:sz w:val="20"/>
        </w:rPr>
        <w:t>Add an evaluation that connects predicted RAI to decisions developers or LLM agents would make.</w:t>
      </w:r>
    </w:p>
    <w:p>
      <w:pPr>
        <w:pStyle w:val="ListBullet2"/>
        <w:spacing w:after="60"/>
      </w:pPr>
      <w:r>
        <w:rPr>
          <w:sz w:val="20"/>
        </w:rPr>
        <w:t>For example: given a fixed profiling budget, use predicted RAI to prioritize kernels, then measure how often the selected kernels match profiler-derived priorities.</w:t>
      </w:r>
    </w:p>
    <w:p>
      <w:pPr>
        <w:pStyle w:val="ListBullet2"/>
        <w:spacing w:after="60"/>
      </w:pPr>
      <w:r>
        <w:rPr>
          <w:sz w:val="20"/>
        </w:rPr>
        <w:t>Alternatively, integrate the predictor into a simple optimization agent and show whether it reduces wasted profiling iterations or improves time-to-good-variant compared with random or heuristic triage.</w:t>
      </w:r>
    </w:p>
    <w:p>
      <w:pPr>
        <w:pStyle w:val="ListBullet2"/>
        <w:spacing w:after="60"/>
      </w:pPr>
      <w:r>
        <w:rPr>
          <w:sz w:val="20"/>
        </w:rPr>
        <w:t>Even a simulation based on existing profiler data would strengthen the ICSE fit substantially.</w:t>
      </w:r>
    </w:p>
    <w:p>
      <w:pPr>
        <w:spacing w:after="120" w:line="259" w:lineRule="auto"/>
      </w:pPr>
      <w:r>
        <w:rPr>
          <w:b/>
          <w:sz w:val="20"/>
        </w:rPr>
        <w:t>Strengthen the artifact.</w:t>
      </w:r>
    </w:p>
    <w:p>
      <w:pPr>
        <w:pStyle w:val="ListBullet2"/>
        <w:spacing w:after="60"/>
      </w:pPr>
      <w:r>
        <w:rPr>
          <w:sz w:val="20"/>
        </w:rPr>
        <w:t>Release all kernels, exact command lines, compile logs, SASS extraction scripts, profiler outputs, processed CSVs, prompt templates, raw model responses, parsing code, and notebooks/scripts that generate every figure and table.</w:t>
      </w:r>
    </w:p>
    <w:p>
      <w:pPr>
        <w:pStyle w:val="ListBullet2"/>
        <w:spacing w:after="60"/>
      </w:pPr>
      <w:r>
        <w:rPr>
          <w:sz w:val="20"/>
        </w:rPr>
        <w:t>Document hardware/software versions: GPU SKU, driver, CUDA/NVHPC/Clang versions, Nsight Compute version, OS, clocks, power settings, and model API versions/dates.</w:t>
      </w:r>
    </w:p>
    <w:p>
      <w:pPr>
        <w:pStyle w:val="ListBullet2"/>
        <w:spacing w:after="60"/>
      </w:pPr>
      <w:r>
        <w:rPr>
          <w:sz w:val="20"/>
        </w:rPr>
        <w:t>Provide a one-command reproduction path for at least the data processing and plotting stages, even if re-running all profiling requires the GPUs.</w:t>
      </w:r>
    </w:p>
    <w:p>
      <w:pPr>
        <w:pStyle w:val="Heading2"/>
      </w:pPr>
      <w:r>
        <w:t>Tier 2: Strong improvements</w:t>
      </w:r>
    </w:p>
    <w:p>
      <w:pPr>
        <w:spacing w:after="120" w:line="259" w:lineRule="auto"/>
      </w:pPr>
      <w:r>
        <w:rPr>
          <w:b/>
          <w:sz w:val="20"/>
        </w:rPr>
        <w:t>Refine the claims.</w:t>
      </w:r>
    </w:p>
    <w:p>
      <w:pPr>
        <w:pStyle w:val="ListBullet2"/>
        <w:spacing w:after="60"/>
      </w:pPr>
      <w:r>
        <w:rPr>
          <w:sz w:val="20"/>
        </w:rPr>
        <w:t>Avoid saying that LLMs “can estimate RAI well enough” without specifying in which regimes, for which metrics, and relative to which baselines.</w:t>
      </w:r>
    </w:p>
    <w:p>
      <w:pPr>
        <w:pStyle w:val="ListBullet2"/>
        <w:spacing w:after="60"/>
      </w:pPr>
      <w:r>
        <w:rPr>
          <w:sz w:val="20"/>
        </w:rPr>
        <w:t>State negative results more prominently: source-only FP16 is often poor; GPT-OSS may not use SASS effectively; smaller-cache GPUs are harder; some features systematically degrade performance.</w:t>
      </w:r>
    </w:p>
    <w:p>
      <w:pPr>
        <w:pStyle w:val="ListBullet2"/>
        <w:spacing w:after="60"/>
      </w:pPr>
      <w:r>
        <w:rPr>
          <w:sz w:val="20"/>
        </w:rPr>
        <w:t>Frame the result as “conditional early triage under known limitations,” not as a replacement for profiling.</w:t>
      </w:r>
    </w:p>
    <w:p>
      <w:pPr>
        <w:spacing w:after="120" w:line="259" w:lineRule="auto"/>
      </w:pPr>
      <w:r>
        <w:rPr>
          <w:b/>
          <w:sz w:val="20"/>
        </w:rPr>
        <w:t>Improve result presentation.</w:t>
      </w:r>
    </w:p>
    <w:p>
      <w:pPr>
        <w:pStyle w:val="ListBullet2"/>
        <w:spacing w:after="60"/>
      </w:pPr>
      <w:r>
        <w:rPr>
          <w:sz w:val="20"/>
        </w:rPr>
        <w:t>Add a compact aggregate table with median absolute error, IQR, balanced accuracy, and raw counts by model/prompt/precision.</w:t>
      </w:r>
    </w:p>
    <w:p>
      <w:pPr>
        <w:pStyle w:val="ListBullet2"/>
        <w:spacing w:after="60"/>
      </w:pPr>
      <w:r>
        <w:rPr>
          <w:sz w:val="20"/>
        </w:rPr>
        <w:t>Make Figure 6 easier to interpret by reporting key summary statistics in the caption or a table.</w:t>
      </w:r>
    </w:p>
    <w:p>
      <w:pPr>
        <w:pStyle w:val="ListBullet2"/>
        <w:spacing w:after="60"/>
      </w:pPr>
      <w:r>
        <w:rPr>
          <w:sz w:val="20"/>
        </w:rPr>
        <w:t>For Table III, explain denominators and raw sample counts for every cell, especially where some precision/runtime combinations have few nonzero samples.</w:t>
      </w:r>
    </w:p>
    <w:p>
      <w:pPr>
        <w:pStyle w:val="ListBullet2"/>
        <w:spacing w:after="60"/>
      </w:pPr>
      <w:r>
        <w:rPr>
          <w:sz w:val="20"/>
        </w:rPr>
        <w:t>For Figure 7, include raw counts in addition to percentages so readers can detect class imbalance effects.</w:t>
      </w:r>
    </w:p>
    <w:p>
      <w:pPr>
        <w:spacing w:after="120" w:line="259" w:lineRule="auto"/>
      </w:pPr>
      <w:r>
        <w:rPr>
          <w:b/>
          <w:sz w:val="20"/>
        </w:rPr>
        <w:t>Strengthen related work positioning.</w:t>
      </w:r>
    </w:p>
    <w:p>
      <w:pPr>
        <w:pStyle w:val="ListBullet2"/>
        <w:spacing w:after="60"/>
      </w:pPr>
      <w:r>
        <w:rPr>
          <w:sz w:val="20"/>
        </w:rPr>
        <w:t>More explicitly contrast against static instruction-counting tools, compiler analysis, analytical Roofline/traffic models, and prior GPU static performance predictors.</w:t>
      </w:r>
    </w:p>
    <w:p>
      <w:pPr>
        <w:pStyle w:val="ListBullet2"/>
        <w:spacing w:after="60"/>
      </w:pPr>
      <w:r>
        <w:rPr>
          <w:sz w:val="20"/>
        </w:rPr>
        <w:t>Clarify how this differs from LLMPerf, Omniwise, and coarse Roofline classification work beyond the absence of fine-tuning.</w:t>
      </w:r>
    </w:p>
    <w:p>
      <w:pPr>
        <w:pStyle w:val="ListBullet2"/>
        <w:spacing w:after="60"/>
      </w:pPr>
      <w:r>
        <w:rPr>
          <w:sz w:val="20"/>
        </w:rPr>
        <w:t>Explain why zero-training prompting is the right design point for developers, rather than fine-tuning or task-specific static analysis.</w:t>
      </w:r>
    </w:p>
    <w:p>
      <w:pPr>
        <w:spacing w:after="120" w:line="259" w:lineRule="auto"/>
      </w:pPr>
      <w:r>
        <w:rPr>
          <w:b/>
          <w:sz w:val="20"/>
        </w:rPr>
        <w:t>Improve ICSE framing and title/abstract.</w:t>
      </w:r>
    </w:p>
    <w:p>
      <w:pPr>
        <w:pStyle w:val="ListBullet2"/>
        <w:spacing w:after="60"/>
      </w:pPr>
      <w:r>
        <w:rPr>
          <w:sz w:val="20"/>
        </w:rPr>
        <w:t>Consider a title that emphasizes developer support or profiling-budget triage, not only GPU kernels.</w:t>
      </w:r>
    </w:p>
    <w:p>
      <w:pPr>
        <w:pStyle w:val="ListBullet2"/>
        <w:spacing w:after="60"/>
      </w:pPr>
      <w:r>
        <w:rPr>
          <w:sz w:val="20"/>
        </w:rPr>
        <w:t>In the abstract and introduction, state the developer workflow and decision problem explicitly.</w:t>
      </w:r>
    </w:p>
    <w:p>
      <w:pPr>
        <w:pStyle w:val="ListBullet2"/>
        <w:spacing w:after="60"/>
      </w:pPr>
      <w:r>
        <w:rPr>
          <w:sz w:val="20"/>
        </w:rPr>
        <w:t>In the conclusion, translate findings into concrete guidance for tool builders and practitioners.</w:t>
      </w:r>
    </w:p>
    <w:p>
      <w:pPr>
        <w:spacing w:after="120" w:line="259" w:lineRule="auto"/>
      </w:pPr>
      <w:r>
        <w:rPr>
          <w:b/>
          <w:sz w:val="20"/>
        </w:rPr>
        <w:t>Polish writing and terminology.</w:t>
      </w:r>
    </w:p>
    <w:p>
      <w:pPr>
        <w:pStyle w:val="ListBullet2"/>
        <w:spacing w:after="60"/>
      </w:pPr>
      <w:r>
        <w:rPr>
          <w:sz w:val="20"/>
        </w:rPr>
        <w:t>Replace “it’s” with “its” where possessive is intended.</w:t>
      </w:r>
    </w:p>
    <w:p>
      <w:pPr>
        <w:pStyle w:val="ListBullet2"/>
        <w:spacing w:after="60"/>
      </w:pPr>
      <w:r>
        <w:rPr>
          <w:sz w:val="20"/>
        </w:rPr>
        <w:t>Fix typos such as “divison,” “much account,” “per-gpu,” and inconsistent capitalization of Source-Only/source-only/source+SASS.</w:t>
      </w:r>
    </w:p>
    <w:p>
      <w:pPr>
        <w:pStyle w:val="ListBullet2"/>
        <w:spacing w:after="60"/>
      </w:pPr>
      <w:r>
        <w:rPr>
          <w:sz w:val="20"/>
        </w:rPr>
        <w:t>Define all acronyms at first use and keep “RAI,” “Arithmetic Intensity,” and “Roofline Arithmetic Intensity” consistent.</w:t>
      </w:r>
    </w:p>
    <w:p>
      <w:pPr>
        <w:pStyle w:val="ListBullet2"/>
        <w:spacing w:after="60"/>
      </w:pPr>
      <w:r>
        <w:rPr>
          <w:sz w:val="20"/>
        </w:rPr>
        <w:t>Use “CUDA/OpenMP runtimes” carefully; OpenMP target offload is a programming model/runtime, while CUDA is also a programming model and platform.</w:t>
      </w:r>
    </w:p>
    <w:p>
      <w:pPr>
        <w:pStyle w:val="Heading1"/>
      </w:pPr>
      <w:r>
        <w:t>5. Field-by-field text for the review system</w:t>
      </w:r>
    </w:p>
    <w:p>
      <w:pPr>
        <w:spacing w:after="120" w:line="259" w:lineRule="auto"/>
      </w:pPr>
      <w:r>
        <w:rPr>
          <w:sz w:val="20"/>
        </w:rPr>
        <w:t>Below are concise versions of the review that can be pasted into separate form fields if the review system asks for them.</w:t>
      </w:r>
    </w:p>
    <w:p>
      <w:pPr>
        <w:pStyle w:val="Heading2"/>
      </w:pPr>
      <w:r>
        <w:t>Brief summary</w:t>
      </w:r>
    </w:p>
    <w:tbl>
      <w:tblPr>
        <w:tblStyle w:val="TableGrid"/>
        <w:tblW w:type="auto" w:w="0"/>
        <w:jc w:val="center"/>
        <w:tblLook w:firstColumn="1" w:firstRow="1" w:lastColumn="0" w:lastRow="0" w:noHBand="0" w:noVBand="1" w:val="04A0"/>
      </w:tblPr>
      <w:tblGrid>
        <w:gridCol w:w="10080"/>
      </w:tblGrid>
      <w:tr>
        <w:tc>
          <w:tcPr>
            <w:tcW w:type="dxa" w:w="10080"/>
            <w:shd w:fill="F7F7F7"/>
          </w:tcPr>
          <w:p>
            <w:pPr>
              <w:spacing w:after="80"/>
            </w:pPr>
            <w:r>
              <w:rPr>
                <w:b/>
                <w:sz w:val="20"/>
              </w:rPr>
              <w:t>Brief summary</w:t>
            </w:r>
          </w:p>
          <w:p>
            <w:pPr>
              <w:spacing w:after="60"/>
            </w:pPr>
            <w:r>
              <w:rPr>
                <w:sz w:val="18"/>
              </w:rPr>
              <w:t>This paper asks whether off-the-shelf LLMs can estimate Roofline Arithmetic Intensity for GPU kernels before profiling. The authors prompt models to predict launch dimensions, FP16/FP32/FP64 operation counts, and DRAM bytes read/written, then derive RAI and compare predictions against Nsight Compute profiling for 254 CUDA/OpenMP kernels across RTX 3080, A10, A100, and H100 GPUs. The paper compares source-only prompts with source+SASS prompts and studies error patterns, cost, and response time.</w:t>
            </w:r>
          </w:p>
        </w:tc>
      </w:tr>
    </w:tbl>
    <w:p/>
    <w:p>
      <w:pPr>
        <w:pStyle w:val="Heading2"/>
      </w:pPr>
      <w:r>
        <w:t>Main strengths</w:t>
      </w:r>
    </w:p>
    <w:tbl>
      <w:tblPr>
        <w:tblStyle w:val="TableGrid"/>
        <w:tblW w:type="auto" w:w="0"/>
        <w:jc w:val="center"/>
        <w:tblLook w:firstColumn="1" w:firstRow="1" w:lastColumn="0" w:lastRow="0" w:noHBand="0" w:noVBand="1" w:val="04A0"/>
      </w:tblPr>
      <w:tblGrid>
        <w:gridCol w:w="10080"/>
      </w:tblGrid>
      <w:tr>
        <w:tc>
          <w:tcPr>
            <w:tcW w:type="dxa" w:w="10080"/>
            <w:shd w:fill="F7F7F7"/>
          </w:tcPr>
          <w:p>
            <w:pPr>
              <w:spacing w:after="80"/>
            </w:pPr>
            <w:r>
              <w:rPr>
                <w:b/>
                <w:sz w:val="20"/>
              </w:rPr>
              <w:t>Main strengths</w:t>
            </w:r>
          </w:p>
          <w:p>
            <w:pPr>
              <w:spacing w:after="60"/>
            </w:pPr>
            <w:r>
              <w:rPr>
                <w:sz w:val="18"/>
              </w:rPr>
              <w:t>The paper studies a practical bottleneck in LLM-assisted performance engineering, uses an interpretable metric, evaluates on a sizable multi-GPU benchmark, and distinguishes source-only from compiler-artifact-aided prediction. The paper is readable and the benchmark could be valuable if fully released.</w:t>
            </w:r>
          </w:p>
        </w:tc>
      </w:tr>
    </w:tbl>
    <w:p/>
    <w:p>
      <w:pPr>
        <w:pStyle w:val="Heading2"/>
      </w:pPr>
      <w:r>
        <w:t>Main weaknesses</w:t>
      </w:r>
    </w:p>
    <w:tbl>
      <w:tblPr>
        <w:tblStyle w:val="TableGrid"/>
        <w:tblW w:type="auto" w:w="0"/>
        <w:jc w:val="center"/>
        <w:tblLook w:firstColumn="1" w:firstRow="1" w:lastColumn="0" w:lastRow="0" w:noHBand="0" w:noVBand="1" w:val="04A0"/>
      </w:tblPr>
      <w:tblGrid>
        <w:gridCol w:w="10080"/>
      </w:tblGrid>
      <w:tr>
        <w:tc>
          <w:tcPr>
            <w:tcW w:type="dxa" w:w="10080"/>
            <w:shd w:fill="F7F7F7"/>
          </w:tcPr>
          <w:p>
            <w:pPr>
              <w:spacing w:after="80"/>
            </w:pPr>
            <w:r>
              <w:rPr>
                <w:b/>
                <w:sz w:val="20"/>
              </w:rPr>
              <w:t>Main weaknesses</w:t>
            </w:r>
          </w:p>
          <w:p>
            <w:pPr>
              <w:spacing w:after="60"/>
            </w:pPr>
            <w:r>
              <w:rPr>
                <w:sz w:val="18"/>
              </w:rPr>
              <w:t>The evaluation lacks essential deterministic/static baselines, uses only one query per expensive model setting, does not provide enough uncertainty or statistical testing, and relies on unvalidated LLM-generated feature labels for the error analysis. The paper also needs a clearer definition of RAI for mixed precision and zero-RAI cases, more precise profiling-counter details, and a stronger demonstration that the predictions improve an actual developer or optimizer workflow.</w:t>
            </w:r>
          </w:p>
        </w:tc>
      </w:tr>
    </w:tbl>
    <w:p/>
    <w:p>
      <w:pPr>
        <w:pStyle w:val="Heading2"/>
      </w:pPr>
      <w:r>
        <w:t>Overall recommendation</w:t>
      </w:r>
    </w:p>
    <w:tbl>
      <w:tblPr>
        <w:tblStyle w:val="TableGrid"/>
        <w:tblW w:type="auto" w:w="0"/>
        <w:jc w:val="center"/>
        <w:tblLook w:firstColumn="1" w:firstRow="1" w:lastColumn="0" w:lastRow="0" w:noHBand="0" w:noVBand="1" w:val="04A0"/>
      </w:tblPr>
      <w:tblGrid>
        <w:gridCol w:w="10080"/>
      </w:tblGrid>
      <w:tr>
        <w:tc>
          <w:tcPr>
            <w:tcW w:type="dxa" w:w="10080"/>
            <w:shd w:fill="F7F7F7"/>
          </w:tcPr>
          <w:p>
            <w:pPr>
              <w:spacing w:after="80"/>
            </w:pPr>
            <w:r>
              <w:rPr>
                <w:b/>
                <w:sz w:val="20"/>
              </w:rPr>
              <w:t>Overall recommendation</w:t>
            </w:r>
          </w:p>
          <w:p>
            <w:pPr>
              <w:spacing w:after="60"/>
            </w:pPr>
            <w:r>
              <w:rPr>
                <w:sz w:val="18"/>
              </w:rPr>
              <w:t>Weak Reject. I find the direction promising, but the current evidence is not yet sufficient for ICSE acceptance. The paper should be encouraged toward resubmission after adding baselines, robustness analysis, validated labels, clearer metric definitions, and a stronger software-engineering utility evaluation.</w:t>
            </w:r>
          </w:p>
        </w:tc>
      </w:tr>
    </w:tbl>
    <w:p/>
    <w:p>
      <w:pPr>
        <w:pStyle w:val="Heading2"/>
      </w:pPr>
      <w:r>
        <w:t>Confidence</w:t>
      </w:r>
    </w:p>
    <w:tbl>
      <w:tblPr>
        <w:tblStyle w:val="TableGrid"/>
        <w:tblW w:type="auto" w:w="0"/>
        <w:jc w:val="center"/>
        <w:tblLook w:firstColumn="1" w:firstRow="1" w:lastColumn="0" w:lastRow="0" w:noHBand="0" w:noVBand="1" w:val="04A0"/>
      </w:tblPr>
      <w:tblGrid>
        <w:gridCol w:w="10080"/>
      </w:tblGrid>
      <w:tr>
        <w:tc>
          <w:tcPr>
            <w:tcW w:type="dxa" w:w="10080"/>
            <w:shd w:fill="F7F7F7"/>
          </w:tcPr>
          <w:p>
            <w:pPr>
              <w:spacing w:after="80"/>
            </w:pPr>
            <w:r>
              <w:rPr>
                <w:b/>
                <w:sz w:val="20"/>
              </w:rPr>
              <w:t>Confidence</w:t>
            </w:r>
          </w:p>
          <w:p>
            <w:pPr>
              <w:spacing w:after="60"/>
            </w:pPr>
            <w:r>
              <w:rPr>
                <w:sz w:val="18"/>
              </w:rPr>
              <w:t>4/5. I am reasonably confident in the assessment of the paper’s performance-engineering and LLM-evaluation methodology, although I would still welcome additional details from the authors about exact profiler metrics, model settings, and artifact completeness.</w:t>
            </w:r>
          </w:p>
        </w:tc>
      </w:tr>
    </w:tbl>
    <w:p/>
    <w:p>
      <w:pPr>
        <w:pStyle w:val="Heading1"/>
      </w:pPr>
      <w:r>
        <w:t>6. What could change the judgment during rebuttal?</w:t>
      </w:r>
    </w:p>
    <w:p>
      <w:pPr>
        <w:spacing w:after="120" w:line="259" w:lineRule="auto"/>
      </w:pPr>
      <w:r>
        <w:rPr>
          <w:sz w:val="20"/>
        </w:rPr>
        <w:t>The rebuttal could improve confidence but would probably not be enough to move the paper to acceptance unless the authors already have substantial missing evidence. The most important rebuttal items would be:</w:t>
      </w:r>
    </w:p>
    <w:p>
      <w:pPr>
        <w:pStyle w:val="ListBullet"/>
        <w:spacing w:after="60"/>
      </w:pPr>
      <w:r>
        <w:rPr>
          <w:sz w:val="20"/>
        </w:rPr>
        <w:t>Show results against at least one meaningful static baseline and one trivial baseline.</w:t>
      </w:r>
    </w:p>
    <w:p>
      <w:pPr>
        <w:pStyle w:val="ListBullet"/>
        <w:spacing w:after="60"/>
      </w:pPr>
      <w:r>
        <w:rPr>
          <w:sz w:val="20"/>
        </w:rPr>
        <w:t>Provide evidence that predictions are stable across repeated queries or that deterministic settings were used.</w:t>
      </w:r>
    </w:p>
    <w:p>
      <w:pPr>
        <w:pStyle w:val="ListBullet"/>
        <w:spacing w:after="60"/>
      </w:pPr>
      <w:r>
        <w:rPr>
          <w:sz w:val="20"/>
        </w:rPr>
        <w:t>Give raw counts and denominators for zero/nonzero, BB/CB, runtime, GPU, and precision groups.</w:t>
      </w:r>
    </w:p>
    <w:p>
      <w:pPr>
        <w:pStyle w:val="ListBullet"/>
        <w:spacing w:after="60"/>
      </w:pPr>
      <w:r>
        <w:rPr>
          <w:sz w:val="20"/>
        </w:rPr>
        <w:t>Clarify exact Nsight metrics and how FLOPs/bytes/RAI are computed.</w:t>
      </w:r>
    </w:p>
    <w:p>
      <w:pPr>
        <w:pStyle w:val="ListBullet"/>
        <w:spacing w:after="60"/>
      </w:pPr>
      <w:r>
        <w:rPr>
          <w:sz w:val="20"/>
        </w:rPr>
        <w:t>Explain the artifact status and whether all prompts, outputs, scripts, and processed data are available.</w:t>
      </w:r>
    </w:p>
    <w:p>
      <w:pPr>
        <w:pStyle w:val="ListBullet"/>
        <w:spacing w:after="60"/>
      </w:pPr>
      <w:r>
        <w:rPr>
          <w:sz w:val="20"/>
        </w:rPr>
        <w:t>Make a concrete argument for ICSE utility: how would a developer or optimization agent use this and how often would the predicted choice be correct?</w:t>
      </w:r>
    </w:p>
    <w:p>
      <w:pPr>
        <w:spacing w:after="120" w:line="259" w:lineRule="auto"/>
      </w:pPr>
      <w:r>
        <w:rPr>
          <w:sz w:val="20"/>
        </w:rPr>
        <w:t>If the rebuttal can only clarify wording but cannot add baselines or robustness evidence, I would keep the recommendation as Weak Reject.</w:t>
      </w:r>
    </w:p>
    <w:p>
      <w:r>
        <w:br w:type="page"/>
      </w:r>
    </w:p>
    <w:p>
      <w:pPr>
        <w:pStyle w:val="Heading1"/>
      </w:pPr>
      <w:r>
        <w:t>Appendix: acceptance checklist for a revised version</w:t>
      </w:r>
    </w:p>
    <w:p>
      <w:pPr>
        <w:pStyle w:val="ListBullet"/>
        <w:spacing w:after="60"/>
      </w:pPr>
      <w:r>
        <w:rPr>
          <w:sz w:val="20"/>
        </w:rPr>
        <w:t>[ ] Includes deterministic source-only and SASS-based baselines.</w:t>
      </w:r>
    </w:p>
    <w:p>
      <w:pPr>
        <w:pStyle w:val="ListBullet"/>
        <w:spacing w:after="60"/>
      </w:pPr>
      <w:r>
        <w:rPr>
          <w:sz w:val="20"/>
        </w:rPr>
        <w:t>[ ] Reports raw counts, denominators, confidence intervals, and paired source vs SASS deltas.</w:t>
      </w:r>
    </w:p>
    <w:p>
      <w:pPr>
        <w:pStyle w:val="ListBullet"/>
        <w:spacing w:after="60"/>
      </w:pPr>
      <w:r>
        <w:rPr>
          <w:sz w:val="20"/>
        </w:rPr>
        <w:t>[ ] Separates zero detection, nonzero regression, bound classification, and triage utility.</w:t>
      </w:r>
    </w:p>
    <w:p>
      <w:pPr>
        <w:pStyle w:val="ListBullet"/>
        <w:spacing w:after="60"/>
      </w:pPr>
      <w:r>
        <w:rPr>
          <w:sz w:val="20"/>
        </w:rPr>
        <w:t>[ ] Quantifies LLM run-to-run variability or pins deterministic settings.</w:t>
      </w:r>
    </w:p>
    <w:p>
      <w:pPr>
        <w:pStyle w:val="ListBullet"/>
        <w:spacing w:after="60"/>
      </w:pPr>
      <w:r>
        <w:rPr>
          <w:sz w:val="20"/>
        </w:rPr>
        <w:t>[ ] Validates LLM-generated code-feature labels against human annotations.</w:t>
      </w:r>
    </w:p>
    <w:p>
      <w:pPr>
        <w:pStyle w:val="ListBullet"/>
        <w:spacing w:after="60"/>
      </w:pPr>
      <w:r>
        <w:rPr>
          <w:sz w:val="20"/>
        </w:rPr>
        <w:t>[ ] Defines exact profiler counters, FLOP conventions, byte conventions, and mixed-precision RAI semantics.</w:t>
      </w:r>
    </w:p>
    <w:p>
      <w:pPr>
        <w:pStyle w:val="ListBullet"/>
        <w:spacing w:after="60"/>
      </w:pPr>
      <w:r>
        <w:rPr>
          <w:sz w:val="20"/>
        </w:rPr>
        <w:t>[ ] Reframes hardware-free as no runtime profiling, if applicable.</w:t>
      </w:r>
    </w:p>
    <w:p>
      <w:pPr>
        <w:pStyle w:val="ListBullet"/>
        <w:spacing w:after="60"/>
      </w:pPr>
      <w:r>
        <w:rPr>
          <w:sz w:val="20"/>
        </w:rPr>
        <w:t>[ ] Demonstrates practical developer/tool value under a profiling-budget scenario.</w:t>
      </w:r>
    </w:p>
    <w:p>
      <w:pPr>
        <w:pStyle w:val="ListBullet"/>
        <w:spacing w:after="60"/>
      </w:pPr>
      <w:r>
        <w:rPr>
          <w:sz w:val="20"/>
        </w:rPr>
        <w:t>[ ] Provides complete artifact with scripts, raw data, prompts, model outputs, versions, and reproduction instructions.</w:t>
      </w:r>
    </w:p>
    <w:p>
      <w:pPr>
        <w:pStyle w:val="ListBullet"/>
        <w:spacing w:after="60"/>
      </w:pPr>
      <w:r>
        <w:rPr>
          <w:sz w:val="20"/>
        </w:rPr>
        <w:t>[ ] Rewrites the abstract/conclusion so the claims match the evidence and limitations.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review draft - use/edit according to the exact ICSE form fields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ICSE review draft - Off-the-Shelf LLMs are Static Roofline Triage Tools for GPU Kernels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