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D96" w:rsidRDefault="00B23C9C" w:rsidP="000E58C2">
      <w:pPr>
        <w:tabs>
          <w:tab w:val="left" w:pos="851"/>
        </w:tabs>
        <w:jc w:val="center"/>
        <w:rPr>
          <w:sz w:val="28"/>
        </w:rPr>
      </w:pPr>
      <w:bookmarkStart w:id="0" w:name="_Hlk91851972"/>
      <w:r w:rsidRPr="00B23C9C">
        <w:rPr>
          <w:sz w:val="28"/>
        </w:rPr>
        <w:t>FINM</w:t>
      </w:r>
      <w:r w:rsidR="00687B43">
        <w:rPr>
          <w:sz w:val="28"/>
        </w:rPr>
        <w:t>206</w:t>
      </w:r>
      <w:bookmarkStart w:id="1" w:name="_GoBack"/>
      <w:bookmarkEnd w:id="1"/>
      <w:r w:rsidRPr="00B23C9C">
        <w:rPr>
          <w:sz w:val="28"/>
        </w:rPr>
        <w:t>3 Introduction to Finance</w:t>
      </w:r>
    </w:p>
    <w:p w:rsidR="00C223AD" w:rsidRPr="00C223AD" w:rsidRDefault="00C223AD" w:rsidP="00452BB5">
      <w:pPr>
        <w:jc w:val="center"/>
        <w:rPr>
          <w:sz w:val="28"/>
        </w:rPr>
      </w:pPr>
    </w:p>
    <w:p w:rsidR="00116D96" w:rsidRDefault="00376A3B" w:rsidP="00116D96">
      <w:pPr>
        <w:jc w:val="center"/>
        <w:outlineLvl w:val="0"/>
        <w:rPr>
          <w:rFonts w:eastAsia="宋体"/>
          <w:sz w:val="28"/>
          <w:lang w:eastAsia="zh-CN"/>
        </w:rPr>
      </w:pPr>
      <w:r>
        <w:rPr>
          <w:rFonts w:eastAsia="宋体"/>
          <w:sz w:val="28"/>
          <w:lang w:eastAsia="zh-CN"/>
        </w:rPr>
        <w:t>Chapter</w:t>
      </w:r>
      <w:r w:rsidR="00116D96">
        <w:rPr>
          <w:rFonts w:eastAsia="宋体"/>
          <w:sz w:val="28"/>
          <w:lang w:eastAsia="zh-CN"/>
        </w:rPr>
        <w:t xml:space="preserve"> </w:t>
      </w:r>
      <w:r w:rsidR="00132DBB">
        <w:rPr>
          <w:rFonts w:eastAsia="宋体"/>
          <w:sz w:val="28"/>
          <w:lang w:eastAsia="zh-CN"/>
        </w:rPr>
        <w:t>10</w:t>
      </w:r>
      <w:r w:rsidR="00116D96">
        <w:rPr>
          <w:rFonts w:eastAsia="宋体"/>
          <w:sz w:val="28"/>
          <w:lang w:eastAsia="zh-CN"/>
        </w:rPr>
        <w:t xml:space="preserve"> Exercises</w:t>
      </w:r>
      <w:r w:rsidR="00116D96">
        <w:rPr>
          <w:sz w:val="28"/>
        </w:rPr>
        <w:t xml:space="preserve"> </w:t>
      </w:r>
    </w:p>
    <w:bookmarkEnd w:id="0"/>
    <w:p w:rsidR="00155D69" w:rsidRDefault="00155D69" w:rsidP="00452BB5">
      <w:pPr>
        <w:jc w:val="center"/>
        <w:rPr>
          <w:sz w:val="28"/>
        </w:rPr>
      </w:pPr>
    </w:p>
    <w:p w:rsidR="00452BB5" w:rsidRDefault="00CA4447" w:rsidP="00452BB5">
      <w:pPr>
        <w:jc w:val="center"/>
        <w:outlineLvl w:val="0"/>
        <w:rPr>
          <w:rFonts w:eastAsia="宋体"/>
          <w:sz w:val="28"/>
          <w:lang w:eastAsia="zh-CN"/>
        </w:rPr>
      </w:pPr>
      <w:r>
        <w:rPr>
          <w:rFonts w:eastAsia="宋体"/>
          <w:sz w:val="28"/>
          <w:lang w:eastAsia="zh-CN"/>
        </w:rPr>
        <w:t>Solution</w:t>
      </w:r>
      <w:r w:rsidR="00AC6DA3">
        <w:rPr>
          <w:rFonts w:eastAsia="宋体"/>
          <w:sz w:val="28"/>
          <w:lang w:eastAsia="zh-CN"/>
        </w:rPr>
        <w:t>s</w:t>
      </w:r>
    </w:p>
    <w:p w:rsidR="00FB6DF2" w:rsidRPr="00FB6DF2" w:rsidRDefault="00FB6DF2" w:rsidP="00452BB5">
      <w:pPr>
        <w:jc w:val="center"/>
        <w:outlineLvl w:val="0"/>
        <w:rPr>
          <w:rFonts w:eastAsia="宋体"/>
          <w:sz w:val="28"/>
          <w:lang w:eastAsia="zh-CN"/>
        </w:rPr>
      </w:pPr>
    </w:p>
    <w:p w:rsidR="00C841C2" w:rsidRDefault="00C841C2" w:rsidP="00C841C2">
      <w:pPr>
        <w:pStyle w:val="ListParagraph"/>
        <w:widowControl/>
        <w:numPr>
          <w:ilvl w:val="0"/>
          <w:numId w:val="3"/>
        </w:numPr>
        <w:tabs>
          <w:tab w:val="left" w:pos="-720"/>
        </w:tabs>
        <w:ind w:left="426" w:hanging="426"/>
      </w:pPr>
      <w:r>
        <w:t xml:space="preserve"> </w:t>
      </w:r>
    </w:p>
    <w:p w:rsidR="00C841C2" w:rsidRPr="00C841C2" w:rsidRDefault="00C841C2" w:rsidP="00C841C2">
      <w:pPr>
        <w:pStyle w:val="ListParagraph"/>
        <w:widowControl/>
        <w:numPr>
          <w:ilvl w:val="1"/>
          <w:numId w:val="3"/>
        </w:numPr>
        <w:tabs>
          <w:tab w:val="left" w:pos="-720"/>
        </w:tabs>
        <w:ind w:left="851" w:hanging="425"/>
      </w:pPr>
      <w:r w:rsidRPr="00C841C2">
        <w:t>Must remit the margin requirement: $5,000</w:t>
      </w:r>
    </w:p>
    <w:p w:rsidR="00C841C2" w:rsidRPr="00C841C2" w:rsidRDefault="00C841C2" w:rsidP="00C841C2">
      <w:pPr>
        <w:tabs>
          <w:tab w:val="left" w:pos="-720"/>
        </w:tabs>
      </w:pPr>
    </w:p>
    <w:p w:rsidR="00C841C2" w:rsidRPr="00C841C2" w:rsidRDefault="00C841C2" w:rsidP="00C841C2">
      <w:pPr>
        <w:pStyle w:val="ListParagraph"/>
        <w:widowControl/>
        <w:numPr>
          <w:ilvl w:val="1"/>
          <w:numId w:val="3"/>
        </w:numPr>
        <w:tabs>
          <w:tab w:val="left" w:pos="-720"/>
        </w:tabs>
        <w:ind w:left="851" w:hanging="425"/>
      </w:pPr>
      <w:r w:rsidRPr="00C841C2">
        <w:t>The contract is worth $105,500, so the profit is $5,500.</w:t>
      </w:r>
    </w:p>
    <w:p w:rsidR="00C841C2" w:rsidRPr="00C841C2" w:rsidRDefault="00C841C2" w:rsidP="00C841C2">
      <w:pPr>
        <w:tabs>
          <w:tab w:val="left" w:pos="-720"/>
          <w:tab w:val="left" w:pos="851"/>
        </w:tabs>
      </w:pPr>
      <w:r w:rsidRPr="00C841C2">
        <w:t xml:space="preserve">      </w:t>
      </w:r>
      <w:r>
        <w:tab/>
      </w:r>
      <w:r w:rsidRPr="00C841C2">
        <w:t>The return is $5,500/$5,000 = 110%.</w:t>
      </w:r>
    </w:p>
    <w:p w:rsidR="00C841C2" w:rsidRPr="00C841C2" w:rsidRDefault="00C841C2" w:rsidP="00C841C2">
      <w:pPr>
        <w:tabs>
          <w:tab w:val="left" w:pos="-720"/>
        </w:tabs>
      </w:pPr>
    </w:p>
    <w:p w:rsidR="00C841C2" w:rsidRPr="00C841C2" w:rsidRDefault="00C841C2" w:rsidP="00C841C2">
      <w:pPr>
        <w:pStyle w:val="ListParagraph"/>
        <w:widowControl/>
        <w:numPr>
          <w:ilvl w:val="1"/>
          <w:numId w:val="3"/>
        </w:numPr>
        <w:tabs>
          <w:tab w:val="left" w:pos="-720"/>
        </w:tabs>
        <w:ind w:left="851" w:hanging="425"/>
      </w:pPr>
      <w:r w:rsidRPr="00C841C2">
        <w:t xml:space="preserve">The contract is worth $97,800. The </w:t>
      </w:r>
      <w:proofErr w:type="spellStart"/>
      <w:r w:rsidRPr="00C841C2">
        <w:t>lose</w:t>
      </w:r>
      <w:proofErr w:type="spellEnd"/>
      <w:r w:rsidRPr="00C841C2">
        <w:t xml:space="preserve"> is $2,200.</w:t>
      </w:r>
    </w:p>
    <w:p w:rsidR="00C841C2" w:rsidRPr="00C841C2" w:rsidRDefault="00C841C2" w:rsidP="00C841C2">
      <w:pPr>
        <w:tabs>
          <w:tab w:val="left" w:pos="-720"/>
        </w:tabs>
      </w:pPr>
    </w:p>
    <w:p w:rsidR="00C841C2" w:rsidRPr="00C841C2" w:rsidRDefault="00C841C2" w:rsidP="00C841C2">
      <w:pPr>
        <w:pStyle w:val="ListParagraph"/>
        <w:widowControl/>
        <w:numPr>
          <w:ilvl w:val="1"/>
          <w:numId w:val="3"/>
        </w:numPr>
        <w:tabs>
          <w:tab w:val="left" w:pos="-720"/>
        </w:tabs>
        <w:ind w:left="851" w:hanging="425"/>
      </w:pPr>
      <w:r w:rsidRPr="00C841C2">
        <w:t>At $948, the contract is worth $94,800. The investor has lost $5,200 which exceeds the initial margin of $5,000. The investor will have to remit $5,200 to restore the initial $5,000 margin.</w:t>
      </w:r>
    </w:p>
    <w:p w:rsidR="00C841C2" w:rsidRPr="00C841C2" w:rsidRDefault="00C841C2" w:rsidP="00C841C2">
      <w:pPr>
        <w:tabs>
          <w:tab w:val="left" w:pos="-720"/>
        </w:tabs>
      </w:pPr>
    </w:p>
    <w:p w:rsidR="00C841C2" w:rsidRPr="00C841C2" w:rsidRDefault="00C841C2" w:rsidP="00C841C2">
      <w:pPr>
        <w:pStyle w:val="ListParagraph"/>
        <w:widowControl/>
        <w:numPr>
          <w:ilvl w:val="1"/>
          <w:numId w:val="3"/>
        </w:numPr>
        <w:tabs>
          <w:tab w:val="left" w:pos="-720"/>
        </w:tabs>
        <w:ind w:left="851" w:hanging="425"/>
      </w:pPr>
      <w:r w:rsidRPr="00C841C2">
        <w:t>At $932, the contract is worth $93,200 which reduces the margin from $5,000 (in part d) by an additional $1,</w:t>
      </w:r>
      <w:r w:rsidR="009F52D3">
        <w:t>6</w:t>
      </w:r>
      <w:r w:rsidRPr="00C841C2">
        <w:t>00. The amount in the account is now $5,000 - 1,</w:t>
      </w:r>
      <w:r w:rsidR="009F52D3">
        <w:t>6</w:t>
      </w:r>
      <w:r w:rsidRPr="00C841C2">
        <w:t>00 = $3,</w:t>
      </w:r>
      <w:r w:rsidR="009F52D3">
        <w:t>4</w:t>
      </w:r>
      <w:r w:rsidRPr="00C841C2">
        <w:t>00. The maintenance margin re</w:t>
      </w:r>
      <w:r w:rsidR="005F2949">
        <w:t>q</w:t>
      </w:r>
      <w:r w:rsidRPr="00C841C2">
        <w:t>uirement ($1,500) is being met, so the investor does not have to remit additional funds.</w:t>
      </w:r>
    </w:p>
    <w:p w:rsidR="00C841C2" w:rsidRPr="00C841C2" w:rsidRDefault="00C841C2" w:rsidP="00C841C2">
      <w:pPr>
        <w:tabs>
          <w:tab w:val="left" w:pos="-720"/>
        </w:tabs>
      </w:pPr>
    </w:p>
    <w:p w:rsidR="00C841C2" w:rsidRPr="00C841C2" w:rsidRDefault="00C841C2" w:rsidP="00C841C2">
      <w:pPr>
        <w:pStyle w:val="ListParagraph"/>
        <w:widowControl/>
        <w:numPr>
          <w:ilvl w:val="0"/>
          <w:numId w:val="3"/>
        </w:numPr>
        <w:tabs>
          <w:tab w:val="left" w:pos="-720"/>
        </w:tabs>
        <w:ind w:left="426" w:hanging="426"/>
      </w:pPr>
      <w:r w:rsidRPr="00C841C2">
        <w:t>a. When the contract is purchased, the speculator must put up the margin requirement: $2,500.</w:t>
      </w:r>
    </w:p>
    <w:p w:rsidR="00C841C2" w:rsidRPr="00C841C2" w:rsidRDefault="00C841C2" w:rsidP="00C841C2">
      <w:pPr>
        <w:tabs>
          <w:tab w:val="left" w:pos="-720"/>
        </w:tabs>
      </w:pPr>
    </w:p>
    <w:p w:rsidR="00C841C2" w:rsidRPr="00C841C2" w:rsidRDefault="00C841C2" w:rsidP="00C841C2">
      <w:pPr>
        <w:tabs>
          <w:tab w:val="left" w:pos="-720"/>
        </w:tabs>
      </w:pPr>
      <w:r w:rsidRPr="00C841C2">
        <w:t xml:space="preserve">    b. Value of the contract based on the index:</w:t>
      </w:r>
    </w:p>
    <w:p w:rsidR="00C841C2" w:rsidRPr="00C841C2" w:rsidRDefault="00C841C2" w:rsidP="00C841C2">
      <w:pPr>
        <w:tabs>
          <w:tab w:val="left" w:pos="-720"/>
        </w:tabs>
      </w:pPr>
      <w:r w:rsidRPr="00C841C2">
        <w:t xml:space="preserve">         $500 x 58.8 = $29,400</w:t>
      </w:r>
    </w:p>
    <w:p w:rsidR="00C841C2" w:rsidRPr="00C841C2" w:rsidRDefault="00C841C2" w:rsidP="00C841C2">
      <w:pPr>
        <w:tabs>
          <w:tab w:val="left" w:pos="-720"/>
        </w:tabs>
      </w:pPr>
    </w:p>
    <w:p w:rsidR="00C841C2" w:rsidRPr="00C841C2" w:rsidRDefault="00C841C2" w:rsidP="00C841C2">
      <w:pPr>
        <w:tabs>
          <w:tab w:val="left" w:pos="-720"/>
        </w:tabs>
      </w:pPr>
      <w:r w:rsidRPr="00C841C2">
        <w:t xml:space="preserve">    c. If the value of the index rises by 1% to 59.39, the value of the futures contract becomes:</w:t>
      </w:r>
    </w:p>
    <w:p w:rsidR="00C841C2" w:rsidRPr="00C841C2" w:rsidRDefault="00C841C2" w:rsidP="00C841C2">
      <w:pPr>
        <w:tabs>
          <w:tab w:val="left" w:pos="-720"/>
        </w:tabs>
      </w:pPr>
      <w:r w:rsidRPr="00C841C2">
        <w:t xml:space="preserve">         $500 x 59.39 = $29,695.</w:t>
      </w:r>
    </w:p>
    <w:p w:rsidR="00C841C2" w:rsidRPr="00C841C2" w:rsidRDefault="00C841C2" w:rsidP="00C841C2">
      <w:pPr>
        <w:tabs>
          <w:tab w:val="left" w:pos="-720"/>
        </w:tabs>
      </w:pPr>
    </w:p>
    <w:p w:rsidR="00C841C2" w:rsidRPr="00C841C2" w:rsidRDefault="00C841C2" w:rsidP="00C841C2">
      <w:pPr>
        <w:tabs>
          <w:tab w:val="left" w:pos="-720"/>
        </w:tabs>
      </w:pPr>
      <w:r w:rsidRPr="00C841C2">
        <w:t xml:space="preserve">      The value of the contract rises by:</w:t>
      </w:r>
    </w:p>
    <w:p w:rsidR="00C841C2" w:rsidRPr="00C841C2" w:rsidRDefault="00C841C2" w:rsidP="00C841C2">
      <w:pPr>
        <w:tabs>
          <w:tab w:val="left" w:pos="-720"/>
        </w:tabs>
      </w:pPr>
      <w:r w:rsidRPr="00C841C2">
        <w:t xml:space="preserve">         $29,695 </w:t>
      </w:r>
      <w:r w:rsidRPr="00C841C2">
        <w:noBreakHyphen/>
        <w:t xml:space="preserve"> $29,400 = $295.</w:t>
      </w:r>
    </w:p>
    <w:p w:rsidR="00C841C2" w:rsidRPr="00C841C2" w:rsidRDefault="00C841C2" w:rsidP="00C841C2">
      <w:pPr>
        <w:tabs>
          <w:tab w:val="left" w:pos="-720"/>
        </w:tabs>
      </w:pPr>
    </w:p>
    <w:p w:rsidR="00C841C2" w:rsidRPr="00C841C2" w:rsidRDefault="00C841C2" w:rsidP="005A32DE">
      <w:pPr>
        <w:tabs>
          <w:tab w:val="left" w:pos="-720"/>
        </w:tabs>
        <w:ind w:left="709" w:hanging="709"/>
      </w:pPr>
      <w:r w:rsidRPr="00C841C2">
        <w:t xml:space="preserve">      Since the investor put up only the $2,500 margin, the percentage earned is $295/$2,500 = </w:t>
      </w:r>
      <w:r w:rsidRPr="00C841C2">
        <w:lastRenderedPageBreak/>
        <w:t>11.8%.</w:t>
      </w:r>
      <w:r w:rsidR="00EA19AE">
        <w:t xml:space="preserve"> </w:t>
      </w:r>
    </w:p>
    <w:p w:rsidR="00C841C2" w:rsidRPr="00C841C2" w:rsidRDefault="00C841C2" w:rsidP="00C841C2">
      <w:pPr>
        <w:tabs>
          <w:tab w:val="left" w:pos="-720"/>
        </w:tabs>
      </w:pPr>
    </w:p>
    <w:p w:rsidR="00C841C2" w:rsidRPr="00C841C2" w:rsidRDefault="005A32DE" w:rsidP="005A32DE">
      <w:pPr>
        <w:tabs>
          <w:tab w:val="left" w:pos="-720"/>
        </w:tabs>
        <w:ind w:left="709" w:hanging="709"/>
      </w:pPr>
      <w:r>
        <w:tab/>
      </w:r>
      <w:r w:rsidR="00C841C2" w:rsidRPr="00C841C2">
        <w:t>The 1</w:t>
      </w:r>
      <w:r>
        <w:t>%</w:t>
      </w:r>
      <w:r w:rsidR="00C841C2" w:rsidRPr="00C841C2">
        <w:t xml:space="preserve"> increase in the index generated an 11.8</w:t>
      </w:r>
      <w:r>
        <w:t>%</w:t>
      </w:r>
      <w:r w:rsidR="00C841C2" w:rsidRPr="00C841C2">
        <w:t xml:space="preserve"> increase in the investor's position.</w:t>
      </w:r>
    </w:p>
    <w:p w:rsidR="00C841C2" w:rsidRPr="00C841C2" w:rsidRDefault="00C841C2" w:rsidP="00C841C2">
      <w:pPr>
        <w:tabs>
          <w:tab w:val="left" w:pos="-720"/>
        </w:tabs>
      </w:pPr>
    </w:p>
    <w:p w:rsidR="00C841C2" w:rsidRPr="00C841C2" w:rsidRDefault="00C841C2" w:rsidP="00C841C2">
      <w:pPr>
        <w:tabs>
          <w:tab w:val="left" w:pos="-720"/>
        </w:tabs>
      </w:pPr>
      <w:r w:rsidRPr="00C841C2">
        <w:t xml:space="preserve">    d. The value of the contract declines to:</w:t>
      </w:r>
    </w:p>
    <w:p w:rsidR="00C841C2" w:rsidRPr="00C841C2" w:rsidRDefault="00C841C2" w:rsidP="00C841C2">
      <w:pPr>
        <w:tabs>
          <w:tab w:val="left" w:pos="-720"/>
        </w:tabs>
      </w:pPr>
      <w:r w:rsidRPr="00C841C2">
        <w:t xml:space="preserve">         $500 x 58.2 = $29,100.</w:t>
      </w:r>
    </w:p>
    <w:p w:rsidR="00C841C2" w:rsidRPr="00C841C2" w:rsidRDefault="00C841C2" w:rsidP="00C841C2">
      <w:pPr>
        <w:tabs>
          <w:tab w:val="left" w:pos="-720"/>
        </w:tabs>
      </w:pPr>
    </w:p>
    <w:p w:rsidR="00C841C2" w:rsidRPr="00C841C2" w:rsidRDefault="00C841C2" w:rsidP="00C841C2">
      <w:pPr>
        <w:tabs>
          <w:tab w:val="left" w:pos="-720"/>
        </w:tabs>
      </w:pPr>
      <w:r w:rsidRPr="00C841C2">
        <w:t xml:space="preserve">      The buyer's loss on the position is</w:t>
      </w:r>
    </w:p>
    <w:p w:rsidR="00C841C2" w:rsidRPr="00C841C2" w:rsidRDefault="00C841C2" w:rsidP="00C841C2">
      <w:pPr>
        <w:tabs>
          <w:tab w:val="left" w:pos="-720"/>
        </w:tabs>
      </w:pPr>
      <w:r w:rsidRPr="00C841C2">
        <w:t xml:space="preserve">         $29,100 </w:t>
      </w:r>
      <w:r w:rsidRPr="00C841C2">
        <w:noBreakHyphen/>
        <w:t xml:space="preserve"> $29,400 = ($300).</w:t>
      </w:r>
    </w:p>
    <w:p w:rsidR="00C841C2" w:rsidRPr="00C841C2" w:rsidRDefault="00C841C2" w:rsidP="00C841C2">
      <w:pPr>
        <w:tabs>
          <w:tab w:val="left" w:pos="-720"/>
        </w:tabs>
      </w:pPr>
    </w:p>
    <w:p w:rsidR="00C841C2" w:rsidRPr="00C841C2" w:rsidRDefault="00C841C2" w:rsidP="00C841C2">
      <w:pPr>
        <w:tabs>
          <w:tab w:val="left" w:pos="-720"/>
        </w:tabs>
      </w:pPr>
      <w:r w:rsidRPr="00C841C2">
        <w:t xml:space="preserve">      The percentage loss is ($300)/$2,500 = (12%).</w:t>
      </w:r>
    </w:p>
    <w:p w:rsidR="00C841C2" w:rsidRPr="00C841C2" w:rsidRDefault="00C841C2" w:rsidP="00C841C2">
      <w:pPr>
        <w:tabs>
          <w:tab w:val="left" w:pos="-720"/>
        </w:tabs>
      </w:pPr>
    </w:p>
    <w:p w:rsidR="00C841C2" w:rsidRPr="00C841C2" w:rsidRDefault="00C841C2" w:rsidP="00C841C2">
      <w:pPr>
        <w:tabs>
          <w:tab w:val="left" w:pos="-720"/>
        </w:tabs>
      </w:pPr>
      <w:r w:rsidRPr="00C841C2">
        <w:t xml:space="preserve">    e. At 53.8 the contract is worth 53.8 x $500 = $26,900.</w:t>
      </w:r>
    </w:p>
    <w:p w:rsidR="00C841C2" w:rsidRPr="00C841C2" w:rsidRDefault="00C841C2" w:rsidP="00EA19AE">
      <w:pPr>
        <w:tabs>
          <w:tab w:val="left" w:pos="-720"/>
        </w:tabs>
        <w:ind w:left="709"/>
      </w:pPr>
      <w:r w:rsidRPr="00C841C2">
        <w:t xml:space="preserve">The value of the contract declines by $2,500 ($26,900 </w:t>
      </w:r>
      <w:r w:rsidRPr="00C841C2">
        <w:noBreakHyphen/>
        <w:t xml:space="preserve"> $29,400 = </w:t>
      </w:r>
      <w:r w:rsidRPr="00C841C2">
        <w:noBreakHyphen/>
        <w:t>$2,500). The buyer loses 100% of the funds committed (i.e., the margin), but the seller makes 100% on the funds committed (i.e., the $2,500 margin required of the seller).</w:t>
      </w:r>
    </w:p>
    <w:p w:rsidR="00C841C2" w:rsidRPr="00C841C2" w:rsidRDefault="00C841C2" w:rsidP="00C841C2">
      <w:pPr>
        <w:tabs>
          <w:tab w:val="left" w:pos="-720"/>
        </w:tabs>
      </w:pPr>
    </w:p>
    <w:p w:rsidR="00C841C2" w:rsidRPr="00C841C2" w:rsidRDefault="00C841C2" w:rsidP="005A32DE">
      <w:pPr>
        <w:pStyle w:val="ListParagraph"/>
        <w:widowControl/>
        <w:numPr>
          <w:ilvl w:val="0"/>
          <w:numId w:val="3"/>
        </w:numPr>
        <w:tabs>
          <w:tab w:val="left" w:pos="-720"/>
        </w:tabs>
        <w:ind w:left="426" w:hanging="426"/>
        <w:rPr>
          <w:spacing w:val="-3"/>
        </w:rPr>
      </w:pPr>
      <w:r w:rsidRPr="00C841C2">
        <w:rPr>
          <w:spacing w:val="-3"/>
        </w:rPr>
        <w:t>a. Payment in terms of the spot price:</w:t>
      </w:r>
    </w:p>
    <w:p w:rsidR="00C841C2" w:rsidRPr="00C841C2" w:rsidRDefault="00C841C2" w:rsidP="00C841C2">
      <w:pPr>
        <w:tabs>
          <w:tab w:val="left" w:pos="-720"/>
        </w:tabs>
        <w:suppressAutoHyphens/>
        <w:rPr>
          <w:spacing w:val="-3"/>
        </w:rPr>
      </w:pPr>
      <w:r w:rsidRPr="00C841C2">
        <w:rPr>
          <w:spacing w:val="-3"/>
        </w:rPr>
        <w:t xml:space="preserve">          1,000,000 pounds X $1.60 = $1,600,000</w:t>
      </w:r>
    </w:p>
    <w:p w:rsidR="00C841C2" w:rsidRPr="00C841C2" w:rsidRDefault="00C841C2" w:rsidP="00C841C2">
      <w:pPr>
        <w:tabs>
          <w:tab w:val="left" w:pos="-720"/>
        </w:tabs>
        <w:suppressAutoHyphens/>
        <w:rPr>
          <w:spacing w:val="-3"/>
        </w:rPr>
      </w:pPr>
    </w:p>
    <w:p w:rsidR="00C841C2" w:rsidRPr="00C841C2" w:rsidRDefault="00C841C2" w:rsidP="00C841C2">
      <w:pPr>
        <w:tabs>
          <w:tab w:val="left" w:pos="-720"/>
        </w:tabs>
        <w:suppressAutoHyphens/>
        <w:rPr>
          <w:spacing w:val="-3"/>
        </w:rPr>
      </w:pPr>
      <w:r w:rsidRPr="00C841C2">
        <w:rPr>
          <w:spacing w:val="-3"/>
        </w:rPr>
        <w:t xml:space="preserve">    b. Payment in terms of the futures price:</w:t>
      </w:r>
    </w:p>
    <w:p w:rsidR="00C841C2" w:rsidRPr="00C841C2" w:rsidRDefault="00C841C2" w:rsidP="00C841C2">
      <w:pPr>
        <w:tabs>
          <w:tab w:val="left" w:pos="-720"/>
        </w:tabs>
        <w:suppressAutoHyphens/>
        <w:rPr>
          <w:spacing w:val="-3"/>
        </w:rPr>
      </w:pPr>
      <w:r w:rsidRPr="00C841C2">
        <w:rPr>
          <w:spacing w:val="-3"/>
        </w:rPr>
        <w:t xml:space="preserve">          1,000,000 pounds X $1.56 = $1,560,000</w:t>
      </w:r>
    </w:p>
    <w:p w:rsidR="00C841C2" w:rsidRPr="00C841C2" w:rsidRDefault="00C841C2" w:rsidP="00C841C2">
      <w:pPr>
        <w:tabs>
          <w:tab w:val="left" w:pos="-720"/>
        </w:tabs>
        <w:suppressAutoHyphens/>
        <w:rPr>
          <w:spacing w:val="-3"/>
        </w:rPr>
      </w:pPr>
    </w:p>
    <w:p w:rsidR="00C841C2" w:rsidRPr="00C841C2" w:rsidRDefault="00C841C2" w:rsidP="005A32DE">
      <w:pPr>
        <w:tabs>
          <w:tab w:val="left" w:pos="-720"/>
        </w:tabs>
        <w:suppressAutoHyphens/>
        <w:ind w:left="709" w:hanging="709"/>
        <w:rPr>
          <w:spacing w:val="-3"/>
        </w:rPr>
      </w:pPr>
      <w:r w:rsidRPr="00C841C2">
        <w:rPr>
          <w:spacing w:val="-3"/>
        </w:rPr>
        <w:t xml:space="preserve">    c. If the price of the pound declines to $1.</w:t>
      </w:r>
      <w:r w:rsidR="00FB0427">
        <w:rPr>
          <w:spacing w:val="-3"/>
        </w:rPr>
        <w:t>40</w:t>
      </w:r>
      <w:r w:rsidRPr="00C841C2">
        <w:rPr>
          <w:spacing w:val="-3"/>
        </w:rPr>
        <w:t>, the recipient receives pounds worth $1,</w:t>
      </w:r>
      <w:r w:rsidR="00FB0427">
        <w:rPr>
          <w:spacing w:val="-3"/>
        </w:rPr>
        <w:t>40</w:t>
      </w:r>
      <w:r w:rsidRPr="00C841C2">
        <w:rPr>
          <w:spacing w:val="-3"/>
        </w:rPr>
        <w:t>0,000. The loss from the decline in the value of the pound from $1.60 to $1.</w:t>
      </w:r>
      <w:r w:rsidR="00FB0427">
        <w:rPr>
          <w:spacing w:val="-3"/>
        </w:rPr>
        <w:t>40</w:t>
      </w:r>
      <w:r w:rsidRPr="00C841C2">
        <w:rPr>
          <w:spacing w:val="-3"/>
        </w:rPr>
        <w:t xml:space="preserve"> is $2</w:t>
      </w:r>
      <w:r w:rsidR="00FB0427">
        <w:rPr>
          <w:spacing w:val="-3"/>
        </w:rPr>
        <w:t>0</w:t>
      </w:r>
      <w:r w:rsidRPr="00C841C2">
        <w:rPr>
          <w:spacing w:val="-3"/>
        </w:rPr>
        <w:t xml:space="preserve">0,000 ($1,600,000 </w:t>
      </w:r>
      <w:r w:rsidRPr="00C841C2">
        <w:rPr>
          <w:spacing w:val="-3"/>
        </w:rPr>
        <w:noBreakHyphen/>
        <w:t xml:space="preserve"> $1,</w:t>
      </w:r>
      <w:r w:rsidR="00FB0427">
        <w:rPr>
          <w:spacing w:val="-3"/>
        </w:rPr>
        <w:t>40</w:t>
      </w:r>
      <w:r w:rsidRPr="00C841C2">
        <w:rPr>
          <w:spacing w:val="-3"/>
        </w:rPr>
        <w:t>0,000).</w:t>
      </w:r>
    </w:p>
    <w:p w:rsidR="00C841C2" w:rsidRPr="00C841C2" w:rsidRDefault="00C841C2" w:rsidP="00C841C2">
      <w:pPr>
        <w:tabs>
          <w:tab w:val="left" w:pos="-720"/>
        </w:tabs>
        <w:suppressAutoHyphens/>
        <w:rPr>
          <w:spacing w:val="-3"/>
        </w:rPr>
      </w:pPr>
    </w:p>
    <w:p w:rsidR="00C841C2" w:rsidRPr="00C841C2" w:rsidRDefault="00C841C2" w:rsidP="005A32DE">
      <w:pPr>
        <w:tabs>
          <w:tab w:val="left" w:pos="-720"/>
        </w:tabs>
        <w:suppressAutoHyphens/>
        <w:ind w:left="709" w:hanging="709"/>
        <w:rPr>
          <w:spacing w:val="-3"/>
        </w:rPr>
      </w:pPr>
      <w:r w:rsidRPr="00C841C2">
        <w:rPr>
          <w:spacing w:val="-3"/>
        </w:rPr>
        <w:t xml:space="preserve">    d. To hedge, the investor enters a contract for the future delivery (i.e., to sell pounds). The contract's value is $1,560,000 based on the futures price of $1.56. When the investor receives the pounds after six months, that investor can now deliver them at the price specified in the contract. The cost of the hedge is the difference between the spot and futures price times the number of pounds: ($1.60 </w:t>
      </w:r>
      <w:r w:rsidRPr="00C841C2">
        <w:rPr>
          <w:spacing w:val="-3"/>
        </w:rPr>
        <w:noBreakHyphen/>
        <w:t xml:space="preserve"> $1.</w:t>
      </w:r>
      <w:proofErr w:type="gramStart"/>
      <w:r w:rsidRPr="00C841C2">
        <w:rPr>
          <w:spacing w:val="-3"/>
        </w:rPr>
        <w:t>56)(</w:t>
      </w:r>
      <w:proofErr w:type="gramEnd"/>
      <w:r w:rsidRPr="00C841C2">
        <w:rPr>
          <w:spacing w:val="-3"/>
        </w:rPr>
        <w:t>1,000,000) = $40,000.</w:t>
      </w:r>
    </w:p>
    <w:p w:rsidR="00C841C2" w:rsidRPr="00C841C2" w:rsidRDefault="00C841C2" w:rsidP="00C841C2">
      <w:pPr>
        <w:tabs>
          <w:tab w:val="left" w:pos="-720"/>
        </w:tabs>
        <w:suppressAutoHyphens/>
        <w:rPr>
          <w:spacing w:val="-3"/>
        </w:rPr>
      </w:pPr>
    </w:p>
    <w:p w:rsidR="00C841C2" w:rsidRDefault="00C841C2" w:rsidP="005A32DE">
      <w:pPr>
        <w:tabs>
          <w:tab w:val="left" w:pos="-720"/>
        </w:tabs>
        <w:suppressAutoHyphens/>
        <w:ind w:left="709" w:hanging="709"/>
        <w:rPr>
          <w:spacing w:val="-3"/>
        </w:rPr>
      </w:pPr>
      <w:r w:rsidRPr="00C841C2">
        <w:rPr>
          <w:spacing w:val="-3"/>
        </w:rPr>
        <w:t xml:space="preserve">    e. Since the investor has a contract to sell pounds at $1.56, the price decline is irrelevant. The loss (the cost in part d) remains $40,000.</w:t>
      </w:r>
    </w:p>
    <w:p w:rsidR="00EA19AE" w:rsidRPr="00C841C2" w:rsidRDefault="00EA19AE" w:rsidP="005A32DE">
      <w:pPr>
        <w:tabs>
          <w:tab w:val="left" w:pos="-720"/>
        </w:tabs>
        <w:suppressAutoHyphens/>
        <w:ind w:left="709" w:hanging="709"/>
        <w:rPr>
          <w:spacing w:val="-3"/>
        </w:rPr>
      </w:pPr>
    </w:p>
    <w:p w:rsidR="00C841C2" w:rsidRPr="00C841C2" w:rsidRDefault="00C841C2" w:rsidP="005A32DE">
      <w:pPr>
        <w:tabs>
          <w:tab w:val="left" w:pos="-720"/>
          <w:tab w:val="left" w:pos="709"/>
        </w:tabs>
        <w:suppressAutoHyphens/>
        <w:ind w:left="709" w:hanging="709"/>
        <w:rPr>
          <w:spacing w:val="-3"/>
        </w:rPr>
      </w:pPr>
      <w:r w:rsidRPr="00C841C2">
        <w:rPr>
          <w:spacing w:val="-3"/>
        </w:rPr>
        <w:lastRenderedPageBreak/>
        <w:t xml:space="preserve">    f. Since the investor has a contract to sell pounds at $1.56, the price increase is irrelevant. By hedging, the investor has forgone the opportunity for profit that would result from an increase in the value of the pound.</w:t>
      </w:r>
    </w:p>
    <w:p w:rsidR="00C841C2" w:rsidRPr="00C841C2" w:rsidRDefault="00C841C2" w:rsidP="00C841C2">
      <w:pPr>
        <w:tabs>
          <w:tab w:val="left" w:pos="-720"/>
        </w:tabs>
        <w:suppressAutoHyphens/>
        <w:rPr>
          <w:spacing w:val="-3"/>
        </w:rPr>
      </w:pPr>
    </w:p>
    <w:p w:rsidR="00C841C2" w:rsidRPr="00C841C2" w:rsidRDefault="00C841C2" w:rsidP="005A32DE">
      <w:pPr>
        <w:tabs>
          <w:tab w:val="left" w:pos="-720"/>
        </w:tabs>
        <w:suppressAutoHyphens/>
        <w:ind w:left="709" w:hanging="709"/>
        <w:rPr>
          <w:spacing w:val="-3"/>
        </w:rPr>
      </w:pPr>
      <w:r w:rsidRPr="00C841C2">
        <w:rPr>
          <w:spacing w:val="-3"/>
        </w:rPr>
        <w:t xml:space="preserve">    g. If the investor had not hedged, 1,000,000 pounds would now be worth $1,800,000, and the investor would have earned a $200,000 profit on the increase in the value of the pound from $1.60 to $1.80. (Stress that the intent of the hedge is to reduce the risk of loss from a price decline. To achieve this risk reduction, the hedger forgoes the possible gain from the price increase.) </w:t>
      </w:r>
    </w:p>
    <w:p w:rsidR="00CC3A29" w:rsidRPr="00AB526F" w:rsidRDefault="00CC3A29" w:rsidP="00AB526F">
      <w:pPr>
        <w:widowControl/>
        <w:tabs>
          <w:tab w:val="left" w:pos="-720"/>
        </w:tabs>
        <w:rPr>
          <w:rFonts w:eastAsia="Times New Roman"/>
          <w:kern w:val="0"/>
          <w:lang w:eastAsia="en-US"/>
        </w:rPr>
      </w:pPr>
    </w:p>
    <w:sectPr w:rsidR="00CC3A29" w:rsidRPr="00AB526F" w:rsidSect="00B62757">
      <w:footerReference w:type="even" r:id="rId7"/>
      <w:footerReference w:type="default" r:id="rId8"/>
      <w:pgSz w:w="12240" w:h="15840"/>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0E45" w:rsidRDefault="00640E45">
      <w:r>
        <w:separator/>
      </w:r>
    </w:p>
  </w:endnote>
  <w:endnote w:type="continuationSeparator" w:id="0">
    <w:p w:rsidR="00640E45" w:rsidRDefault="00640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Roman">
    <w:altName w:val="Times New Roman"/>
    <w:panose1 w:val="00000000000000000000"/>
    <w:charset w:val="4D"/>
    <w:family w:val="auto"/>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3C2" w:rsidRDefault="008A33C2" w:rsidP="00A00C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33C2" w:rsidRDefault="008A33C2" w:rsidP="00637E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3C2" w:rsidRDefault="008A33C2" w:rsidP="00A00C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54684">
      <w:rPr>
        <w:rStyle w:val="PageNumber"/>
        <w:noProof/>
      </w:rPr>
      <w:t>2</w:t>
    </w:r>
    <w:r>
      <w:rPr>
        <w:rStyle w:val="PageNumber"/>
      </w:rPr>
      <w:fldChar w:fldCharType="end"/>
    </w:r>
  </w:p>
  <w:p w:rsidR="008A33C2" w:rsidRDefault="008A33C2" w:rsidP="00637E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0E45" w:rsidRDefault="00640E45">
      <w:r>
        <w:separator/>
      </w:r>
    </w:p>
  </w:footnote>
  <w:footnote w:type="continuationSeparator" w:id="0">
    <w:p w:rsidR="00640E45" w:rsidRDefault="00640E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37D07"/>
    <w:multiLevelType w:val="hybridMultilevel"/>
    <w:tmpl w:val="B1A0C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204AE"/>
    <w:multiLevelType w:val="hybridMultilevel"/>
    <w:tmpl w:val="16F40960"/>
    <w:lvl w:ilvl="0" w:tplc="52B8AF7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556B02"/>
    <w:multiLevelType w:val="singleLevel"/>
    <w:tmpl w:val="EFAC5896"/>
    <w:lvl w:ilvl="0">
      <w:start w:val="2"/>
      <w:numFmt w:val="lowerLetter"/>
      <w:lvlText w:val="%1."/>
      <w:lvlJc w:val="left"/>
      <w:pPr>
        <w:tabs>
          <w:tab w:val="num" w:pos="900"/>
        </w:tabs>
        <w:ind w:left="900" w:hanging="360"/>
      </w:pPr>
      <w:rPr>
        <w:rFonts w:hint="default"/>
      </w:rPr>
    </w:lvl>
  </w:abstractNum>
  <w:num w:numId="1">
    <w:abstractNumId w:val="1"/>
  </w:num>
  <w:num w:numId="2">
    <w:abstractNumId w:val="2"/>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7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BB5"/>
    <w:rsid w:val="00017150"/>
    <w:rsid w:val="00041113"/>
    <w:rsid w:val="00077AA2"/>
    <w:rsid w:val="00091E4A"/>
    <w:rsid w:val="00097506"/>
    <w:rsid w:val="000C2AF1"/>
    <w:rsid w:val="000E58C2"/>
    <w:rsid w:val="0010049B"/>
    <w:rsid w:val="00106239"/>
    <w:rsid w:val="00116D96"/>
    <w:rsid w:val="001214CE"/>
    <w:rsid w:val="00125044"/>
    <w:rsid w:val="001324A3"/>
    <w:rsid w:val="00132DBB"/>
    <w:rsid w:val="00142453"/>
    <w:rsid w:val="00155D69"/>
    <w:rsid w:val="001633F8"/>
    <w:rsid w:val="001641D6"/>
    <w:rsid w:val="00181123"/>
    <w:rsid w:val="001A67BA"/>
    <w:rsid w:val="001C4ED1"/>
    <w:rsid w:val="00217EC1"/>
    <w:rsid w:val="00222086"/>
    <w:rsid w:val="0023053D"/>
    <w:rsid w:val="00251860"/>
    <w:rsid w:val="00256E00"/>
    <w:rsid w:val="002570D5"/>
    <w:rsid w:val="00264DDA"/>
    <w:rsid w:val="00274538"/>
    <w:rsid w:val="00280946"/>
    <w:rsid w:val="00283AE7"/>
    <w:rsid w:val="002B40AC"/>
    <w:rsid w:val="002B609F"/>
    <w:rsid w:val="002C0B1A"/>
    <w:rsid w:val="002D781E"/>
    <w:rsid w:val="002E3B1A"/>
    <w:rsid w:val="002F6EB0"/>
    <w:rsid w:val="00301B75"/>
    <w:rsid w:val="00346CA6"/>
    <w:rsid w:val="0035359A"/>
    <w:rsid w:val="00371DAA"/>
    <w:rsid w:val="00376A3B"/>
    <w:rsid w:val="00377470"/>
    <w:rsid w:val="003B33F7"/>
    <w:rsid w:val="003E46FF"/>
    <w:rsid w:val="003F60E5"/>
    <w:rsid w:val="0040318E"/>
    <w:rsid w:val="004229D9"/>
    <w:rsid w:val="00435108"/>
    <w:rsid w:val="00435FF4"/>
    <w:rsid w:val="00440C20"/>
    <w:rsid w:val="00452BB5"/>
    <w:rsid w:val="0046138A"/>
    <w:rsid w:val="00463A30"/>
    <w:rsid w:val="00465C58"/>
    <w:rsid w:val="00475B58"/>
    <w:rsid w:val="00493C19"/>
    <w:rsid w:val="0049609A"/>
    <w:rsid w:val="004C7B48"/>
    <w:rsid w:val="004E6C8B"/>
    <w:rsid w:val="004F0D78"/>
    <w:rsid w:val="004F7EB4"/>
    <w:rsid w:val="0053047B"/>
    <w:rsid w:val="00553AEE"/>
    <w:rsid w:val="00583140"/>
    <w:rsid w:val="005924BD"/>
    <w:rsid w:val="00593B3B"/>
    <w:rsid w:val="005979BE"/>
    <w:rsid w:val="005A30C8"/>
    <w:rsid w:val="005A32DE"/>
    <w:rsid w:val="005A699C"/>
    <w:rsid w:val="005B2101"/>
    <w:rsid w:val="005D5B94"/>
    <w:rsid w:val="005E2134"/>
    <w:rsid w:val="005F1A5F"/>
    <w:rsid w:val="005F2949"/>
    <w:rsid w:val="00605296"/>
    <w:rsid w:val="0060725A"/>
    <w:rsid w:val="00614F41"/>
    <w:rsid w:val="0061762B"/>
    <w:rsid w:val="00623677"/>
    <w:rsid w:val="0063577D"/>
    <w:rsid w:val="00637E70"/>
    <w:rsid w:val="00640E45"/>
    <w:rsid w:val="0066758C"/>
    <w:rsid w:val="00687B43"/>
    <w:rsid w:val="00692F82"/>
    <w:rsid w:val="00694C18"/>
    <w:rsid w:val="006A1016"/>
    <w:rsid w:val="006A5392"/>
    <w:rsid w:val="006B69AB"/>
    <w:rsid w:val="006D279D"/>
    <w:rsid w:val="006E57E5"/>
    <w:rsid w:val="006F18E4"/>
    <w:rsid w:val="006F70A4"/>
    <w:rsid w:val="007065E4"/>
    <w:rsid w:val="0071134E"/>
    <w:rsid w:val="007132C9"/>
    <w:rsid w:val="007317C0"/>
    <w:rsid w:val="00733A75"/>
    <w:rsid w:val="00775590"/>
    <w:rsid w:val="00785F23"/>
    <w:rsid w:val="007C469E"/>
    <w:rsid w:val="007C6713"/>
    <w:rsid w:val="007D2B53"/>
    <w:rsid w:val="007D48E3"/>
    <w:rsid w:val="0081009F"/>
    <w:rsid w:val="00810F87"/>
    <w:rsid w:val="0081614E"/>
    <w:rsid w:val="00831423"/>
    <w:rsid w:val="00831DF3"/>
    <w:rsid w:val="00834C72"/>
    <w:rsid w:val="008353D0"/>
    <w:rsid w:val="008648F9"/>
    <w:rsid w:val="00873E76"/>
    <w:rsid w:val="008949F6"/>
    <w:rsid w:val="0089591A"/>
    <w:rsid w:val="008A33C2"/>
    <w:rsid w:val="008A444F"/>
    <w:rsid w:val="008B576F"/>
    <w:rsid w:val="008B7EF0"/>
    <w:rsid w:val="008E213B"/>
    <w:rsid w:val="008E79D2"/>
    <w:rsid w:val="0091269F"/>
    <w:rsid w:val="00925D9C"/>
    <w:rsid w:val="00930E55"/>
    <w:rsid w:val="00933DCC"/>
    <w:rsid w:val="00944C61"/>
    <w:rsid w:val="0096144A"/>
    <w:rsid w:val="00972471"/>
    <w:rsid w:val="0097794C"/>
    <w:rsid w:val="009862E0"/>
    <w:rsid w:val="009A0B50"/>
    <w:rsid w:val="009B1F03"/>
    <w:rsid w:val="009B65FC"/>
    <w:rsid w:val="009D3AE1"/>
    <w:rsid w:val="009E1C09"/>
    <w:rsid w:val="009E2D4C"/>
    <w:rsid w:val="009E6F64"/>
    <w:rsid w:val="009F52D3"/>
    <w:rsid w:val="00A00CC5"/>
    <w:rsid w:val="00A055DD"/>
    <w:rsid w:val="00A124B7"/>
    <w:rsid w:val="00A26548"/>
    <w:rsid w:val="00A4119A"/>
    <w:rsid w:val="00A418DA"/>
    <w:rsid w:val="00A452AF"/>
    <w:rsid w:val="00A66668"/>
    <w:rsid w:val="00A71F2B"/>
    <w:rsid w:val="00A841D0"/>
    <w:rsid w:val="00A855C7"/>
    <w:rsid w:val="00A90928"/>
    <w:rsid w:val="00AB3071"/>
    <w:rsid w:val="00AB526F"/>
    <w:rsid w:val="00AC048C"/>
    <w:rsid w:val="00AC1A5C"/>
    <w:rsid w:val="00AC6DA3"/>
    <w:rsid w:val="00AF00C6"/>
    <w:rsid w:val="00B0550F"/>
    <w:rsid w:val="00B15438"/>
    <w:rsid w:val="00B23C9C"/>
    <w:rsid w:val="00B55904"/>
    <w:rsid w:val="00B62757"/>
    <w:rsid w:val="00B76C12"/>
    <w:rsid w:val="00BC4720"/>
    <w:rsid w:val="00BC79C5"/>
    <w:rsid w:val="00BD36C2"/>
    <w:rsid w:val="00BE7B5B"/>
    <w:rsid w:val="00BF69A1"/>
    <w:rsid w:val="00C05989"/>
    <w:rsid w:val="00C16995"/>
    <w:rsid w:val="00C223AD"/>
    <w:rsid w:val="00C24BE6"/>
    <w:rsid w:val="00C30B48"/>
    <w:rsid w:val="00C54684"/>
    <w:rsid w:val="00C7544C"/>
    <w:rsid w:val="00C841C2"/>
    <w:rsid w:val="00C84309"/>
    <w:rsid w:val="00C86C28"/>
    <w:rsid w:val="00CA3CEA"/>
    <w:rsid w:val="00CA4447"/>
    <w:rsid w:val="00CB25E6"/>
    <w:rsid w:val="00CB679F"/>
    <w:rsid w:val="00CC3A29"/>
    <w:rsid w:val="00CE6601"/>
    <w:rsid w:val="00CF14C2"/>
    <w:rsid w:val="00CF29A4"/>
    <w:rsid w:val="00D049AC"/>
    <w:rsid w:val="00D04E1C"/>
    <w:rsid w:val="00D059C4"/>
    <w:rsid w:val="00D11DD9"/>
    <w:rsid w:val="00D447E1"/>
    <w:rsid w:val="00D46658"/>
    <w:rsid w:val="00D62F0B"/>
    <w:rsid w:val="00D670CC"/>
    <w:rsid w:val="00D8048C"/>
    <w:rsid w:val="00DA7C94"/>
    <w:rsid w:val="00DD441B"/>
    <w:rsid w:val="00DE03D0"/>
    <w:rsid w:val="00DE3125"/>
    <w:rsid w:val="00E02870"/>
    <w:rsid w:val="00E03CBB"/>
    <w:rsid w:val="00E254FD"/>
    <w:rsid w:val="00E25E3D"/>
    <w:rsid w:val="00E6022D"/>
    <w:rsid w:val="00E60A76"/>
    <w:rsid w:val="00EA19AE"/>
    <w:rsid w:val="00EC16AF"/>
    <w:rsid w:val="00ED6080"/>
    <w:rsid w:val="00EE1395"/>
    <w:rsid w:val="00EE6CA9"/>
    <w:rsid w:val="00EF4829"/>
    <w:rsid w:val="00F13A13"/>
    <w:rsid w:val="00F24E5B"/>
    <w:rsid w:val="00F4409E"/>
    <w:rsid w:val="00F9253C"/>
    <w:rsid w:val="00F954C6"/>
    <w:rsid w:val="00FB0427"/>
    <w:rsid w:val="00FB6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C6317E"/>
  <w15:chartTrackingRefBased/>
  <w15:docId w15:val="{7AF787C3-8926-49EF-A882-A0612CBDC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pPr>
    <w:rPr>
      <w:kern w:val="2"/>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D049AC"/>
    <w:rPr>
      <w:rFonts w:ascii="Courier New" w:hAnsi="Courier New" w:cs="Courier New"/>
      <w:sz w:val="20"/>
      <w:szCs w:val="20"/>
    </w:rPr>
  </w:style>
  <w:style w:type="character" w:customStyle="1" w:styleId="eudoraheader">
    <w:name w:val="eudoraheader"/>
    <w:basedOn w:val="DefaultParagraphFont"/>
    <w:rsid w:val="00283AE7"/>
  </w:style>
  <w:style w:type="paragraph" w:styleId="Footer">
    <w:name w:val="footer"/>
    <w:basedOn w:val="Normal"/>
    <w:rsid w:val="00637E70"/>
    <w:pPr>
      <w:tabs>
        <w:tab w:val="center" w:pos="4320"/>
        <w:tab w:val="right" w:pos="8640"/>
      </w:tabs>
    </w:pPr>
  </w:style>
  <w:style w:type="character" w:styleId="PageNumber">
    <w:name w:val="page number"/>
    <w:basedOn w:val="DefaultParagraphFont"/>
    <w:rsid w:val="00637E70"/>
  </w:style>
  <w:style w:type="table" w:styleId="TableGrid">
    <w:name w:val="Table Grid"/>
    <w:basedOn w:val="TableNormal"/>
    <w:rsid w:val="00C223AD"/>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C223AD"/>
    <w:pPr>
      <w:widowControl w:val="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eader">
    <w:name w:val="header"/>
    <w:basedOn w:val="Normal"/>
    <w:link w:val="HeaderChar"/>
    <w:rsid w:val="00605296"/>
    <w:pPr>
      <w:tabs>
        <w:tab w:val="center" w:pos="4320"/>
        <w:tab w:val="right" w:pos="8640"/>
      </w:tabs>
    </w:pPr>
  </w:style>
  <w:style w:type="character" w:customStyle="1" w:styleId="HeaderChar">
    <w:name w:val="Header Char"/>
    <w:link w:val="Header"/>
    <w:rsid w:val="00605296"/>
    <w:rPr>
      <w:kern w:val="2"/>
      <w:sz w:val="24"/>
      <w:szCs w:val="24"/>
      <w:lang w:eastAsia="zh-TW"/>
    </w:rPr>
  </w:style>
  <w:style w:type="paragraph" w:styleId="BodyTextIndent">
    <w:name w:val="Body Text Indent"/>
    <w:basedOn w:val="Normal"/>
    <w:link w:val="BodyTextIndentChar"/>
    <w:rsid w:val="004229D9"/>
    <w:pPr>
      <w:widowControl/>
      <w:tabs>
        <w:tab w:val="left" w:pos="720"/>
      </w:tabs>
      <w:ind w:left="720" w:hanging="720"/>
    </w:pPr>
    <w:rPr>
      <w:rFonts w:ascii="Arial" w:eastAsia="Times New Roman" w:hAnsi="Arial"/>
      <w:kern w:val="0"/>
      <w:szCs w:val="20"/>
      <w:lang w:val="x-none" w:eastAsia="x-none"/>
    </w:rPr>
  </w:style>
  <w:style w:type="character" w:customStyle="1" w:styleId="BodyTextIndentChar">
    <w:name w:val="Body Text Indent Char"/>
    <w:link w:val="BodyTextIndent"/>
    <w:rsid w:val="004229D9"/>
    <w:rPr>
      <w:rFonts w:ascii="Arial" w:eastAsia="Times New Roman" w:hAnsi="Arial"/>
      <w:sz w:val="24"/>
      <w:lang w:val="x-none" w:eastAsia="x-none"/>
    </w:rPr>
  </w:style>
  <w:style w:type="paragraph" w:styleId="ListParagraph">
    <w:name w:val="List Paragraph"/>
    <w:basedOn w:val="Normal"/>
    <w:uiPriority w:val="34"/>
    <w:qFormat/>
    <w:rsid w:val="00B76C12"/>
    <w:pPr>
      <w:ind w:left="720"/>
    </w:pPr>
  </w:style>
  <w:style w:type="paragraph" w:customStyle="1" w:styleId="eaplnm">
    <w:name w:val="eap_ln.m"/>
    <w:basedOn w:val="Normal"/>
    <w:rsid w:val="007D48E3"/>
    <w:pPr>
      <w:tabs>
        <w:tab w:val="left" w:pos="360"/>
        <w:tab w:val="left" w:pos="600"/>
      </w:tabs>
      <w:autoSpaceDE w:val="0"/>
      <w:autoSpaceDN w:val="0"/>
      <w:adjustRightInd w:val="0"/>
      <w:spacing w:before="60" w:line="220" w:lineRule="atLeast"/>
      <w:ind w:left="360" w:hanging="360"/>
      <w:textAlignment w:val="center"/>
    </w:pPr>
    <w:rPr>
      <w:rFonts w:ascii="Palatino-Roman" w:eastAsia="Times New Roman" w:hAnsi="Palatino-Roman"/>
      <w:color w:val="000000"/>
      <w:kern w:val="0"/>
      <w:sz w:val="18"/>
      <w:szCs w:val="18"/>
      <w:lang w:eastAsia="en-US"/>
    </w:rPr>
  </w:style>
  <w:style w:type="character" w:customStyle="1" w:styleId="bold">
    <w:name w:val="bold"/>
    <w:rsid w:val="007D48E3"/>
    <w:rPr>
      <w:b/>
      <w:bCs/>
      <w:color w:val="000000"/>
      <w:w w:val="100"/>
    </w:rPr>
  </w:style>
  <w:style w:type="character" w:styleId="PlaceholderText">
    <w:name w:val="Placeholder Text"/>
    <w:basedOn w:val="DefaultParagraphFont"/>
    <w:uiPriority w:val="99"/>
    <w:semiHidden/>
    <w:rsid w:val="002D781E"/>
    <w:rPr>
      <w:color w:val="808080"/>
    </w:rPr>
  </w:style>
  <w:style w:type="paragraph" w:customStyle="1" w:styleId="MTDisplayEquation">
    <w:name w:val="MTDisplayEquation"/>
    <w:basedOn w:val="Normal"/>
    <w:next w:val="Normal"/>
    <w:uiPriority w:val="99"/>
    <w:rsid w:val="00831423"/>
    <w:pPr>
      <w:autoSpaceDE w:val="0"/>
      <w:autoSpaceDN w:val="0"/>
      <w:adjustRightInd w:val="0"/>
    </w:pPr>
    <w:rPr>
      <w:rFonts w:eastAsiaTheme="minorEastAsia"/>
      <w:kern w:val="0"/>
      <w:sz w:val="20"/>
      <w:szCs w:val="20"/>
      <w:lang w:eastAsia="en-US"/>
    </w:rPr>
  </w:style>
  <w:style w:type="paragraph" w:styleId="BodyTextIndent2">
    <w:name w:val="Body Text Indent 2"/>
    <w:basedOn w:val="Normal"/>
    <w:link w:val="BodyTextIndent2Char"/>
    <w:rsid w:val="00D46658"/>
    <w:pPr>
      <w:spacing w:after="120" w:line="480" w:lineRule="auto"/>
      <w:ind w:left="283"/>
    </w:pPr>
  </w:style>
  <w:style w:type="character" w:customStyle="1" w:styleId="BodyTextIndent2Char">
    <w:name w:val="Body Text Indent 2 Char"/>
    <w:basedOn w:val="DefaultParagraphFont"/>
    <w:link w:val="BodyTextIndent2"/>
    <w:rsid w:val="00D46658"/>
    <w:rPr>
      <w:kern w:val="2"/>
      <w:sz w:val="24"/>
      <w:szCs w:val="24"/>
      <w:lang w:eastAsia="zh-TW"/>
    </w:rPr>
  </w:style>
  <w:style w:type="paragraph" w:styleId="BlockText">
    <w:name w:val="Block Text"/>
    <w:basedOn w:val="Normal"/>
    <w:rsid w:val="00D46658"/>
    <w:pPr>
      <w:widowControl/>
      <w:tabs>
        <w:tab w:val="left" w:pos="540"/>
      </w:tabs>
      <w:ind w:left="900" w:right="-180" w:hanging="900"/>
    </w:pPr>
    <w:rPr>
      <w:rFonts w:ascii="Times" w:eastAsia="MS Mincho" w:hAnsi="Times"/>
      <w:kern w:val="0"/>
      <w:szCs w:val="20"/>
      <w:lang w:eastAsia="en-US"/>
    </w:rPr>
  </w:style>
  <w:style w:type="paragraph" w:styleId="BodyTextIndent3">
    <w:name w:val="Body Text Indent 3"/>
    <w:basedOn w:val="Normal"/>
    <w:link w:val="BodyTextIndent3Char"/>
    <w:rsid w:val="005B2101"/>
    <w:pPr>
      <w:spacing w:after="120"/>
      <w:ind w:left="283"/>
    </w:pPr>
    <w:rPr>
      <w:sz w:val="16"/>
      <w:szCs w:val="16"/>
    </w:rPr>
  </w:style>
  <w:style w:type="character" w:customStyle="1" w:styleId="BodyTextIndent3Char">
    <w:name w:val="Body Text Indent 3 Char"/>
    <w:basedOn w:val="DefaultParagraphFont"/>
    <w:link w:val="BodyTextIndent3"/>
    <w:rsid w:val="005B2101"/>
    <w:rPr>
      <w:kern w:val="2"/>
      <w:sz w:val="16"/>
      <w:szCs w:val="16"/>
      <w:lang w:eastAsia="zh-TW"/>
    </w:rPr>
  </w:style>
  <w:style w:type="paragraph" w:styleId="BodyText">
    <w:name w:val="Body Text"/>
    <w:basedOn w:val="Normal"/>
    <w:link w:val="BodyTextChar"/>
    <w:unhideWhenUsed/>
    <w:rsid w:val="001214CE"/>
    <w:pPr>
      <w:autoSpaceDE w:val="0"/>
      <w:autoSpaceDN w:val="0"/>
      <w:adjustRightInd w:val="0"/>
      <w:spacing w:after="120"/>
    </w:pPr>
    <w:rPr>
      <w:rFonts w:ascii="Courier" w:eastAsia="Times New Roman" w:hAnsi="Courier"/>
      <w:kern w:val="0"/>
      <w:sz w:val="20"/>
      <w:lang w:eastAsia="en-US"/>
    </w:rPr>
  </w:style>
  <w:style w:type="character" w:customStyle="1" w:styleId="BodyTextChar">
    <w:name w:val="Body Text Char"/>
    <w:basedOn w:val="DefaultParagraphFont"/>
    <w:link w:val="BodyText"/>
    <w:rsid w:val="001214CE"/>
    <w:rPr>
      <w:rFonts w:ascii="Courier" w:eastAsia="Times New Roman" w:hAnsi="Courier"/>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855754">
      <w:bodyDiv w:val="1"/>
      <w:marLeft w:val="0"/>
      <w:marRight w:val="0"/>
      <w:marTop w:val="0"/>
      <w:marBottom w:val="0"/>
      <w:divBdr>
        <w:top w:val="none" w:sz="0" w:space="0" w:color="auto"/>
        <w:left w:val="none" w:sz="0" w:space="0" w:color="auto"/>
        <w:bottom w:val="none" w:sz="0" w:space="0" w:color="auto"/>
        <w:right w:val="none" w:sz="0" w:space="0" w:color="auto"/>
      </w:divBdr>
    </w:div>
    <w:div w:id="498228948">
      <w:bodyDiv w:val="1"/>
      <w:marLeft w:val="0"/>
      <w:marRight w:val="0"/>
      <w:marTop w:val="0"/>
      <w:marBottom w:val="0"/>
      <w:divBdr>
        <w:top w:val="none" w:sz="0" w:space="0" w:color="auto"/>
        <w:left w:val="none" w:sz="0" w:space="0" w:color="auto"/>
        <w:bottom w:val="none" w:sz="0" w:space="0" w:color="auto"/>
        <w:right w:val="none" w:sz="0" w:space="0" w:color="auto"/>
      </w:divBdr>
    </w:div>
    <w:div w:id="512769137">
      <w:bodyDiv w:val="1"/>
      <w:marLeft w:val="0"/>
      <w:marRight w:val="0"/>
      <w:marTop w:val="0"/>
      <w:marBottom w:val="0"/>
      <w:divBdr>
        <w:top w:val="none" w:sz="0" w:space="0" w:color="auto"/>
        <w:left w:val="none" w:sz="0" w:space="0" w:color="auto"/>
        <w:bottom w:val="none" w:sz="0" w:space="0" w:color="auto"/>
        <w:right w:val="none" w:sz="0" w:space="0" w:color="auto"/>
      </w:divBdr>
    </w:div>
    <w:div w:id="1157963814">
      <w:bodyDiv w:val="1"/>
      <w:marLeft w:val="0"/>
      <w:marRight w:val="0"/>
      <w:marTop w:val="0"/>
      <w:marBottom w:val="0"/>
      <w:divBdr>
        <w:top w:val="none" w:sz="0" w:space="0" w:color="auto"/>
        <w:left w:val="none" w:sz="0" w:space="0" w:color="auto"/>
        <w:bottom w:val="none" w:sz="0" w:space="0" w:color="auto"/>
        <w:right w:val="none" w:sz="0" w:space="0" w:color="auto"/>
      </w:divBdr>
    </w:div>
    <w:div w:id="1696538083">
      <w:bodyDiv w:val="1"/>
      <w:marLeft w:val="0"/>
      <w:marRight w:val="0"/>
      <w:marTop w:val="0"/>
      <w:marBottom w:val="0"/>
      <w:divBdr>
        <w:top w:val="none" w:sz="0" w:space="0" w:color="auto"/>
        <w:left w:val="none" w:sz="0" w:space="0" w:color="auto"/>
        <w:bottom w:val="none" w:sz="0" w:space="0" w:color="auto"/>
        <w:right w:val="none" w:sz="0" w:space="0" w:color="auto"/>
      </w:divBdr>
    </w:div>
    <w:div w:id="1877113218">
      <w:bodyDiv w:val="1"/>
      <w:marLeft w:val="0"/>
      <w:marRight w:val="0"/>
      <w:marTop w:val="0"/>
      <w:marBottom w:val="0"/>
      <w:divBdr>
        <w:top w:val="none" w:sz="0" w:space="0" w:color="auto"/>
        <w:left w:val="none" w:sz="0" w:space="0" w:color="auto"/>
        <w:bottom w:val="none" w:sz="0" w:space="0" w:color="auto"/>
        <w:right w:val="none" w:sz="0" w:space="0" w:color="auto"/>
      </w:divBdr>
    </w:div>
    <w:div w:id="208903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3</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MS4221  Statistics for Economics and Finance</vt:lpstr>
    </vt:vector>
  </TitlesOfParts>
  <Company>City University of Hong Kong</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MS4221  Statistics for Economics and Finance</dc:title>
  <dc:subject/>
  <dc:creator>Administrator</dc:creator>
  <cp:keywords/>
  <dc:description/>
  <cp:lastModifiedBy>UIC</cp:lastModifiedBy>
  <cp:revision>91</cp:revision>
  <dcterms:created xsi:type="dcterms:W3CDTF">2014-02-03T15:00:00Z</dcterms:created>
  <dcterms:modified xsi:type="dcterms:W3CDTF">2022-09-03T07:16:00Z</dcterms:modified>
</cp:coreProperties>
</file>