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6E2" w:rsidRDefault="00C7664C" w:rsidP="006106E2">
      <w:pPr>
        <w:tabs>
          <w:tab w:val="left" w:pos="851"/>
        </w:tabs>
        <w:jc w:val="center"/>
        <w:rPr>
          <w:sz w:val="28"/>
        </w:rPr>
      </w:pPr>
      <w:bookmarkStart w:id="0" w:name="_Hlk80457142"/>
      <w:r w:rsidRPr="00C7664C">
        <w:rPr>
          <w:sz w:val="28"/>
        </w:rPr>
        <w:t>FINM</w:t>
      </w:r>
      <w:r w:rsidR="00CC2F94">
        <w:rPr>
          <w:sz w:val="28"/>
        </w:rPr>
        <w:t>206</w:t>
      </w:r>
      <w:bookmarkStart w:id="1" w:name="_GoBack"/>
      <w:bookmarkEnd w:id="1"/>
      <w:r w:rsidRPr="00C7664C">
        <w:rPr>
          <w:sz w:val="28"/>
        </w:rPr>
        <w:t>3 Introduction to Finance</w:t>
      </w:r>
    </w:p>
    <w:p w:rsidR="006106E2" w:rsidRPr="00C223AD" w:rsidRDefault="006106E2" w:rsidP="006106E2">
      <w:pPr>
        <w:jc w:val="center"/>
        <w:rPr>
          <w:sz w:val="28"/>
        </w:rPr>
      </w:pPr>
    </w:p>
    <w:p w:rsidR="006106E2" w:rsidRDefault="006106E2" w:rsidP="006106E2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 xml:space="preserve">Chapter </w:t>
      </w:r>
      <w:r w:rsidR="001E07C3">
        <w:rPr>
          <w:rFonts w:eastAsia="宋体"/>
          <w:sz w:val="28"/>
          <w:lang w:eastAsia="zh-CN"/>
        </w:rPr>
        <w:t>6</w:t>
      </w:r>
      <w:r>
        <w:rPr>
          <w:rFonts w:eastAsia="宋体"/>
          <w:sz w:val="28"/>
          <w:lang w:eastAsia="zh-CN"/>
        </w:rPr>
        <w:t xml:space="preserve"> Exercises</w:t>
      </w:r>
      <w:r>
        <w:rPr>
          <w:sz w:val="28"/>
        </w:rPr>
        <w:t xml:space="preserve"> </w:t>
      </w:r>
    </w:p>
    <w:bookmarkEnd w:id="0"/>
    <w:p w:rsidR="008A0F37" w:rsidRDefault="008A0F37" w:rsidP="008A0F37">
      <w:pPr>
        <w:jc w:val="both"/>
        <w:rPr>
          <w:b/>
          <w:lang w:eastAsia="zh-CN"/>
        </w:rPr>
      </w:pPr>
    </w:p>
    <w:p w:rsidR="00FB6DF2" w:rsidRPr="00FB6DF2" w:rsidRDefault="00FB6DF2" w:rsidP="00452BB5">
      <w:pPr>
        <w:jc w:val="center"/>
        <w:outlineLvl w:val="0"/>
        <w:rPr>
          <w:rFonts w:eastAsia="宋体"/>
          <w:sz w:val="28"/>
          <w:lang w:eastAsia="zh-CN"/>
        </w:rPr>
      </w:pPr>
    </w:p>
    <w:p w:rsidR="00854513" w:rsidRDefault="001E07C3" w:rsidP="001F57DA">
      <w:pPr>
        <w:numPr>
          <w:ilvl w:val="0"/>
          <w:numId w:val="1"/>
        </w:numPr>
        <w:jc w:val="both"/>
      </w:pPr>
      <w:r>
        <w:t>Jackson Enterprises has the following capital (equity) accounts</w:t>
      </w:r>
      <w:r w:rsidR="009D5CE1">
        <w:t>:</w:t>
      </w:r>
    </w:p>
    <w:p w:rsidR="009D5CE1" w:rsidRDefault="009D5CE1" w:rsidP="009D5CE1">
      <w:pPr>
        <w:jc w:val="both"/>
      </w:pPr>
    </w:p>
    <w:tbl>
      <w:tblPr>
        <w:tblStyle w:val="TableGrid"/>
        <w:tblW w:w="6999" w:type="dxa"/>
        <w:jc w:val="center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1504"/>
      </w:tblGrid>
      <w:tr w:rsidR="001E07C3" w:rsidTr="001E07C3">
        <w:trPr>
          <w:jc w:val="center"/>
        </w:trPr>
        <w:tc>
          <w:tcPr>
            <w:tcW w:w="5495" w:type="dxa"/>
          </w:tcPr>
          <w:p w:rsidR="001E07C3" w:rsidRDefault="001E07C3" w:rsidP="009D5CE1">
            <w:pPr>
              <w:jc w:val="both"/>
            </w:pPr>
            <w:r>
              <w:t>Common stock ($1 par; 100,000 shares outstanding)</w:t>
            </w:r>
          </w:p>
        </w:tc>
        <w:tc>
          <w:tcPr>
            <w:tcW w:w="1504" w:type="dxa"/>
          </w:tcPr>
          <w:p w:rsidR="001E07C3" w:rsidRDefault="001E07C3" w:rsidP="001E07C3">
            <w:pPr>
              <w:jc w:val="right"/>
            </w:pPr>
            <w:r>
              <w:t>$100,000</w:t>
            </w:r>
          </w:p>
        </w:tc>
      </w:tr>
      <w:tr w:rsidR="001E07C3" w:rsidTr="001E07C3">
        <w:trPr>
          <w:jc w:val="center"/>
        </w:trPr>
        <w:tc>
          <w:tcPr>
            <w:tcW w:w="5495" w:type="dxa"/>
          </w:tcPr>
          <w:p w:rsidR="001E07C3" w:rsidRDefault="001E07C3" w:rsidP="009D5CE1">
            <w:pPr>
              <w:jc w:val="both"/>
            </w:pPr>
            <w:r>
              <w:t>Additional paid-in capital</w:t>
            </w:r>
          </w:p>
        </w:tc>
        <w:tc>
          <w:tcPr>
            <w:tcW w:w="1504" w:type="dxa"/>
          </w:tcPr>
          <w:p w:rsidR="001E07C3" w:rsidRDefault="001E07C3" w:rsidP="001E07C3">
            <w:pPr>
              <w:jc w:val="right"/>
            </w:pPr>
            <w:r>
              <w:t>200,000</w:t>
            </w:r>
          </w:p>
        </w:tc>
      </w:tr>
      <w:tr w:rsidR="001E07C3" w:rsidTr="001E07C3">
        <w:trPr>
          <w:jc w:val="center"/>
        </w:trPr>
        <w:tc>
          <w:tcPr>
            <w:tcW w:w="5495" w:type="dxa"/>
          </w:tcPr>
          <w:p w:rsidR="001E07C3" w:rsidRDefault="001E07C3" w:rsidP="009D5CE1">
            <w:pPr>
              <w:jc w:val="both"/>
            </w:pPr>
            <w:r>
              <w:t xml:space="preserve">Retained earnings </w:t>
            </w:r>
          </w:p>
        </w:tc>
        <w:tc>
          <w:tcPr>
            <w:tcW w:w="1504" w:type="dxa"/>
          </w:tcPr>
          <w:p w:rsidR="001E07C3" w:rsidRDefault="001E07C3" w:rsidP="001E07C3">
            <w:pPr>
              <w:jc w:val="right"/>
            </w:pPr>
            <w:r>
              <w:t>225,000</w:t>
            </w:r>
          </w:p>
        </w:tc>
      </w:tr>
    </w:tbl>
    <w:p w:rsidR="00592142" w:rsidRDefault="00592142" w:rsidP="009D5CE1">
      <w:pPr>
        <w:jc w:val="both"/>
      </w:pPr>
    </w:p>
    <w:p w:rsidR="00D54D5E" w:rsidRDefault="001E07C3" w:rsidP="001E07C3">
      <w:pPr>
        <w:ind w:left="284"/>
        <w:jc w:val="both"/>
      </w:pPr>
      <w:r>
        <w:t>The board of directors has declared a 20% stock dividend on January 1 and a $0.25 cash dividend on March 1. What changes occur in the capital accounts after each transaction if the price of the stock is $4?</w:t>
      </w:r>
    </w:p>
    <w:p w:rsidR="001E07C3" w:rsidRDefault="001E07C3" w:rsidP="001E07C3">
      <w:pPr>
        <w:ind w:left="284"/>
        <w:jc w:val="both"/>
      </w:pPr>
    </w:p>
    <w:p w:rsidR="00E40765" w:rsidRDefault="001E07C3" w:rsidP="001F57DA">
      <w:pPr>
        <w:numPr>
          <w:ilvl w:val="0"/>
          <w:numId w:val="1"/>
        </w:numPr>
        <w:jc w:val="both"/>
      </w:pPr>
      <w:r>
        <w:t>A firm’s balance sheet has the following entries</w:t>
      </w:r>
      <w:r w:rsidR="00952F97">
        <w:t>:</w:t>
      </w:r>
    </w:p>
    <w:p w:rsidR="00231744" w:rsidRDefault="00231744" w:rsidP="00231744">
      <w:pPr>
        <w:jc w:val="both"/>
      </w:pPr>
    </w:p>
    <w:tbl>
      <w:tblPr>
        <w:tblStyle w:val="TableGrid"/>
        <w:tblW w:w="6999" w:type="dxa"/>
        <w:jc w:val="center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1504"/>
      </w:tblGrid>
      <w:tr w:rsidR="001E07C3" w:rsidTr="002756C6">
        <w:trPr>
          <w:jc w:val="center"/>
        </w:trPr>
        <w:tc>
          <w:tcPr>
            <w:tcW w:w="5495" w:type="dxa"/>
          </w:tcPr>
          <w:p w:rsidR="001E07C3" w:rsidRDefault="001E07C3" w:rsidP="002756C6">
            <w:pPr>
              <w:jc w:val="both"/>
            </w:pPr>
            <w:r>
              <w:t xml:space="preserve">Cash </w:t>
            </w:r>
          </w:p>
        </w:tc>
        <w:tc>
          <w:tcPr>
            <w:tcW w:w="1504" w:type="dxa"/>
          </w:tcPr>
          <w:p w:rsidR="001E07C3" w:rsidRDefault="001E07C3" w:rsidP="002756C6">
            <w:pPr>
              <w:jc w:val="right"/>
            </w:pPr>
            <w:r>
              <w:t>$10,000,000</w:t>
            </w:r>
          </w:p>
        </w:tc>
      </w:tr>
      <w:tr w:rsidR="001E07C3" w:rsidTr="002756C6">
        <w:trPr>
          <w:jc w:val="center"/>
        </w:trPr>
        <w:tc>
          <w:tcPr>
            <w:tcW w:w="5495" w:type="dxa"/>
          </w:tcPr>
          <w:p w:rsidR="001E07C3" w:rsidRDefault="001E07C3" w:rsidP="002756C6">
            <w:pPr>
              <w:jc w:val="both"/>
            </w:pPr>
            <w:r>
              <w:t xml:space="preserve">Total liabilities </w:t>
            </w:r>
          </w:p>
        </w:tc>
        <w:tc>
          <w:tcPr>
            <w:tcW w:w="1504" w:type="dxa"/>
          </w:tcPr>
          <w:p w:rsidR="001E07C3" w:rsidRDefault="001E07C3" w:rsidP="002756C6">
            <w:pPr>
              <w:jc w:val="right"/>
            </w:pPr>
            <w:r>
              <w:t>30,000,000</w:t>
            </w:r>
          </w:p>
        </w:tc>
      </w:tr>
      <w:tr w:rsidR="001E07C3" w:rsidTr="002756C6">
        <w:trPr>
          <w:jc w:val="center"/>
        </w:trPr>
        <w:tc>
          <w:tcPr>
            <w:tcW w:w="5495" w:type="dxa"/>
          </w:tcPr>
          <w:p w:rsidR="001E07C3" w:rsidRDefault="001E07C3" w:rsidP="001E07C3">
            <w:pPr>
              <w:jc w:val="both"/>
            </w:pPr>
            <w:r>
              <w:t>Common stock ($5 par; 2,000,000 shares outstanding)</w:t>
            </w:r>
          </w:p>
        </w:tc>
        <w:tc>
          <w:tcPr>
            <w:tcW w:w="1504" w:type="dxa"/>
          </w:tcPr>
          <w:p w:rsidR="001E07C3" w:rsidRDefault="001E07C3" w:rsidP="001E07C3">
            <w:pPr>
              <w:jc w:val="right"/>
            </w:pPr>
            <w:r>
              <w:t>10,000,000</w:t>
            </w:r>
          </w:p>
        </w:tc>
      </w:tr>
      <w:tr w:rsidR="001E07C3" w:rsidTr="002756C6">
        <w:trPr>
          <w:jc w:val="center"/>
        </w:trPr>
        <w:tc>
          <w:tcPr>
            <w:tcW w:w="5495" w:type="dxa"/>
          </w:tcPr>
          <w:p w:rsidR="001E07C3" w:rsidRDefault="001E07C3" w:rsidP="001E07C3">
            <w:pPr>
              <w:jc w:val="both"/>
            </w:pPr>
            <w:r>
              <w:t>Additional paid-in capital</w:t>
            </w:r>
          </w:p>
        </w:tc>
        <w:tc>
          <w:tcPr>
            <w:tcW w:w="1504" w:type="dxa"/>
          </w:tcPr>
          <w:p w:rsidR="001E07C3" w:rsidRDefault="001E07C3" w:rsidP="001E07C3">
            <w:pPr>
              <w:jc w:val="right"/>
            </w:pPr>
            <w:r>
              <w:t>3,000,000</w:t>
            </w:r>
          </w:p>
        </w:tc>
      </w:tr>
      <w:tr w:rsidR="001E07C3" w:rsidTr="002756C6">
        <w:trPr>
          <w:jc w:val="center"/>
        </w:trPr>
        <w:tc>
          <w:tcPr>
            <w:tcW w:w="5495" w:type="dxa"/>
          </w:tcPr>
          <w:p w:rsidR="001E07C3" w:rsidRDefault="001E07C3" w:rsidP="001E07C3">
            <w:pPr>
              <w:jc w:val="both"/>
            </w:pPr>
            <w:r>
              <w:t xml:space="preserve">Retained earnings </w:t>
            </w:r>
          </w:p>
        </w:tc>
        <w:tc>
          <w:tcPr>
            <w:tcW w:w="1504" w:type="dxa"/>
          </w:tcPr>
          <w:p w:rsidR="001E07C3" w:rsidRDefault="001E07C3" w:rsidP="001E07C3">
            <w:pPr>
              <w:jc w:val="right"/>
            </w:pPr>
            <w:r>
              <w:t>42,000,000</w:t>
            </w:r>
          </w:p>
        </w:tc>
      </w:tr>
    </w:tbl>
    <w:p w:rsidR="00E40765" w:rsidRDefault="00E40765" w:rsidP="00E40765">
      <w:pPr>
        <w:ind w:left="120"/>
        <w:jc w:val="both"/>
      </w:pPr>
    </w:p>
    <w:p w:rsidR="00231744" w:rsidRDefault="00231744" w:rsidP="00231744">
      <w:pPr>
        <w:ind w:left="426" w:hanging="306"/>
        <w:jc w:val="both"/>
      </w:pPr>
      <w:r>
        <w:tab/>
        <w:t xml:space="preserve">What </w:t>
      </w:r>
      <w:r w:rsidR="001E07C3">
        <w:t>will be each of these balance sheet entries after:</w:t>
      </w:r>
    </w:p>
    <w:p w:rsidR="001E07C3" w:rsidRDefault="001E07C3" w:rsidP="001E07C3">
      <w:pPr>
        <w:pStyle w:val="ListParagraph"/>
        <w:numPr>
          <w:ilvl w:val="0"/>
          <w:numId w:val="7"/>
        </w:numPr>
        <w:jc w:val="both"/>
      </w:pPr>
      <w:r>
        <w:t>a three-for-one stock split?</w:t>
      </w:r>
    </w:p>
    <w:p w:rsidR="001E07C3" w:rsidRDefault="001E07C3" w:rsidP="001E07C3">
      <w:pPr>
        <w:pStyle w:val="ListParagraph"/>
        <w:numPr>
          <w:ilvl w:val="0"/>
          <w:numId w:val="7"/>
        </w:numPr>
        <w:jc w:val="both"/>
      </w:pPr>
      <w:r>
        <w:t>a $1.25 per share cash dividend?</w:t>
      </w:r>
    </w:p>
    <w:p w:rsidR="001E07C3" w:rsidRDefault="001E07C3" w:rsidP="001E07C3">
      <w:pPr>
        <w:pStyle w:val="ListParagraph"/>
        <w:numPr>
          <w:ilvl w:val="0"/>
          <w:numId w:val="7"/>
        </w:numPr>
        <w:jc w:val="both"/>
      </w:pPr>
      <w:r>
        <w:t>a 10% stock dividend (current price of the stock is $15 per share)?</w:t>
      </w:r>
    </w:p>
    <w:p w:rsidR="00D33182" w:rsidRDefault="00D33182" w:rsidP="00D33182">
      <w:pPr>
        <w:pStyle w:val="ListParagraph"/>
      </w:pPr>
    </w:p>
    <w:p w:rsidR="00AF138F" w:rsidRDefault="00364C49" w:rsidP="00FA073C">
      <w:pPr>
        <w:numPr>
          <w:ilvl w:val="0"/>
          <w:numId w:val="1"/>
        </w:numPr>
        <w:jc w:val="both"/>
      </w:pPr>
      <w:r>
        <w:t>What effect will a two-for-one stock split have on the following items found on a firm’s financial statements?</w:t>
      </w:r>
    </w:p>
    <w:p w:rsidR="00364C49" w:rsidRDefault="00364C49" w:rsidP="00364C49">
      <w:pPr>
        <w:pStyle w:val="ListParagraph"/>
        <w:numPr>
          <w:ilvl w:val="0"/>
          <w:numId w:val="8"/>
        </w:numPr>
        <w:jc w:val="both"/>
      </w:pPr>
      <w:r>
        <w:t>Earnings per share $4.20</w:t>
      </w:r>
    </w:p>
    <w:p w:rsidR="00364C49" w:rsidRDefault="00364C49" w:rsidP="00364C49">
      <w:pPr>
        <w:pStyle w:val="ListParagraph"/>
        <w:numPr>
          <w:ilvl w:val="0"/>
          <w:numId w:val="8"/>
        </w:numPr>
        <w:jc w:val="both"/>
      </w:pPr>
      <w:r>
        <w:t>Total equity $10,000,000</w:t>
      </w:r>
    </w:p>
    <w:p w:rsidR="00364C49" w:rsidRDefault="00364C49" w:rsidP="00364C49">
      <w:pPr>
        <w:pStyle w:val="ListParagraph"/>
        <w:numPr>
          <w:ilvl w:val="0"/>
          <w:numId w:val="8"/>
        </w:numPr>
        <w:jc w:val="both"/>
      </w:pPr>
      <w:r>
        <w:t>Long-term debt $4,300,000</w:t>
      </w:r>
    </w:p>
    <w:p w:rsidR="00364C49" w:rsidRDefault="00364C49" w:rsidP="00364C49">
      <w:pPr>
        <w:pStyle w:val="ListParagraph"/>
        <w:numPr>
          <w:ilvl w:val="0"/>
          <w:numId w:val="8"/>
        </w:numPr>
        <w:jc w:val="both"/>
      </w:pPr>
      <w:r>
        <w:t>Additional paid-in capital $1,534,000</w:t>
      </w:r>
    </w:p>
    <w:p w:rsidR="00364C49" w:rsidRDefault="00364C49" w:rsidP="00364C49">
      <w:pPr>
        <w:pStyle w:val="ListParagraph"/>
        <w:numPr>
          <w:ilvl w:val="0"/>
          <w:numId w:val="8"/>
        </w:numPr>
        <w:jc w:val="both"/>
      </w:pPr>
      <w:r>
        <w:t>Number of shares outstanding 1,000,000</w:t>
      </w:r>
    </w:p>
    <w:p w:rsidR="00364C49" w:rsidRDefault="00364C49" w:rsidP="00364C49">
      <w:pPr>
        <w:pStyle w:val="ListParagraph"/>
        <w:numPr>
          <w:ilvl w:val="0"/>
          <w:numId w:val="8"/>
        </w:numPr>
        <w:jc w:val="both"/>
      </w:pPr>
      <w:r>
        <w:lastRenderedPageBreak/>
        <w:t>Earnings $4,200,000</w:t>
      </w:r>
    </w:p>
    <w:p w:rsidR="00FA073C" w:rsidRDefault="00FA073C" w:rsidP="00FA073C">
      <w:pPr>
        <w:jc w:val="both"/>
      </w:pPr>
    </w:p>
    <w:sectPr w:rsidR="00FA073C" w:rsidSect="00B6275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3A9" w:rsidRDefault="004003A9">
      <w:r>
        <w:separator/>
      </w:r>
    </w:p>
  </w:endnote>
  <w:endnote w:type="continuationSeparator" w:id="0">
    <w:p w:rsidR="004003A9" w:rsidRDefault="0040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E89">
      <w:rPr>
        <w:rStyle w:val="PageNumber"/>
        <w:noProof/>
      </w:rPr>
      <w:t>1</w: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3A9" w:rsidRDefault="004003A9">
      <w:r>
        <w:separator/>
      </w:r>
    </w:p>
  </w:footnote>
  <w:footnote w:type="continuationSeparator" w:id="0">
    <w:p w:rsidR="004003A9" w:rsidRDefault="00400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703"/>
    <w:multiLevelType w:val="hybridMultilevel"/>
    <w:tmpl w:val="21589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3A28"/>
    <w:multiLevelType w:val="hybridMultilevel"/>
    <w:tmpl w:val="CBAE71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48C05B6E">
      <w:start w:val="1"/>
      <w:numFmt w:val="lowerRoman"/>
      <w:lvlText w:val="%3)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D27168D"/>
    <w:multiLevelType w:val="hybridMultilevel"/>
    <w:tmpl w:val="CC28C072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34043B29"/>
    <w:multiLevelType w:val="hybridMultilevel"/>
    <w:tmpl w:val="8B2A6558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62C7FFC"/>
    <w:multiLevelType w:val="hybridMultilevel"/>
    <w:tmpl w:val="8B2A6558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4C662D15"/>
    <w:multiLevelType w:val="hybridMultilevel"/>
    <w:tmpl w:val="6A3297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B07A3"/>
    <w:multiLevelType w:val="hybridMultilevel"/>
    <w:tmpl w:val="4252C484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1">
      <w:start w:val="1"/>
      <w:numFmt w:val="decimal"/>
      <w:lvlText w:val="%2)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6FBA0C3E"/>
    <w:multiLevelType w:val="hybridMultilevel"/>
    <w:tmpl w:val="96163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BB5"/>
    <w:rsid w:val="00001D91"/>
    <w:rsid w:val="000124DF"/>
    <w:rsid w:val="00037547"/>
    <w:rsid w:val="00041113"/>
    <w:rsid w:val="0007515A"/>
    <w:rsid w:val="00077AA2"/>
    <w:rsid w:val="00082593"/>
    <w:rsid w:val="00094F35"/>
    <w:rsid w:val="00097506"/>
    <w:rsid w:val="000B2CDC"/>
    <w:rsid w:val="000C067D"/>
    <w:rsid w:val="000C4D09"/>
    <w:rsid w:val="000D1983"/>
    <w:rsid w:val="00104316"/>
    <w:rsid w:val="00125044"/>
    <w:rsid w:val="001324A3"/>
    <w:rsid w:val="001332DA"/>
    <w:rsid w:val="00140C5A"/>
    <w:rsid w:val="00142453"/>
    <w:rsid w:val="00155D69"/>
    <w:rsid w:val="001D35BE"/>
    <w:rsid w:val="001E07C3"/>
    <w:rsid w:val="001E5BC5"/>
    <w:rsid w:val="001F0BCF"/>
    <w:rsid w:val="001F57DA"/>
    <w:rsid w:val="00231744"/>
    <w:rsid w:val="00251860"/>
    <w:rsid w:val="00256E00"/>
    <w:rsid w:val="002610A1"/>
    <w:rsid w:val="00271FDE"/>
    <w:rsid w:val="00283AE7"/>
    <w:rsid w:val="002909A3"/>
    <w:rsid w:val="00291955"/>
    <w:rsid w:val="002B609F"/>
    <w:rsid w:val="002C772E"/>
    <w:rsid w:val="002E3B1A"/>
    <w:rsid w:val="002F009B"/>
    <w:rsid w:val="002F0CAC"/>
    <w:rsid w:val="002F6EB0"/>
    <w:rsid w:val="00315078"/>
    <w:rsid w:val="00346CA6"/>
    <w:rsid w:val="0035359A"/>
    <w:rsid w:val="00364C49"/>
    <w:rsid w:val="00367374"/>
    <w:rsid w:val="00390518"/>
    <w:rsid w:val="003959E7"/>
    <w:rsid w:val="003F60E5"/>
    <w:rsid w:val="004003A9"/>
    <w:rsid w:val="00413568"/>
    <w:rsid w:val="00435FF4"/>
    <w:rsid w:val="004450F3"/>
    <w:rsid w:val="004527AD"/>
    <w:rsid w:val="00452BB5"/>
    <w:rsid w:val="004600A5"/>
    <w:rsid w:val="00467EEB"/>
    <w:rsid w:val="004A2047"/>
    <w:rsid w:val="004B654B"/>
    <w:rsid w:val="00510E6E"/>
    <w:rsid w:val="00535831"/>
    <w:rsid w:val="0054730F"/>
    <w:rsid w:val="00553AEE"/>
    <w:rsid w:val="0056097C"/>
    <w:rsid w:val="00592142"/>
    <w:rsid w:val="005924BD"/>
    <w:rsid w:val="005B4D90"/>
    <w:rsid w:val="005D5B94"/>
    <w:rsid w:val="005F1A5F"/>
    <w:rsid w:val="005F5F82"/>
    <w:rsid w:val="00605296"/>
    <w:rsid w:val="0060725A"/>
    <w:rsid w:val="006106E2"/>
    <w:rsid w:val="0061762B"/>
    <w:rsid w:val="00637D95"/>
    <w:rsid w:val="00637E70"/>
    <w:rsid w:val="0064129B"/>
    <w:rsid w:val="0064669C"/>
    <w:rsid w:val="0065386A"/>
    <w:rsid w:val="006619BF"/>
    <w:rsid w:val="0066758C"/>
    <w:rsid w:val="006853F6"/>
    <w:rsid w:val="006F2EA0"/>
    <w:rsid w:val="007065E4"/>
    <w:rsid w:val="0071134E"/>
    <w:rsid w:val="007132C9"/>
    <w:rsid w:val="0071736F"/>
    <w:rsid w:val="00733A75"/>
    <w:rsid w:val="0077396C"/>
    <w:rsid w:val="00775590"/>
    <w:rsid w:val="0079309F"/>
    <w:rsid w:val="007B3787"/>
    <w:rsid w:val="007D1F2C"/>
    <w:rsid w:val="007D2B53"/>
    <w:rsid w:val="007D61CD"/>
    <w:rsid w:val="007E5CBB"/>
    <w:rsid w:val="0080208E"/>
    <w:rsid w:val="0081009F"/>
    <w:rsid w:val="00810F87"/>
    <w:rsid w:val="0081614E"/>
    <w:rsid w:val="00831DF3"/>
    <w:rsid w:val="008353D0"/>
    <w:rsid w:val="00851911"/>
    <w:rsid w:val="00854513"/>
    <w:rsid w:val="00856E7A"/>
    <w:rsid w:val="00862888"/>
    <w:rsid w:val="008648F9"/>
    <w:rsid w:val="008656B0"/>
    <w:rsid w:val="0086572B"/>
    <w:rsid w:val="00897228"/>
    <w:rsid w:val="008A0F37"/>
    <w:rsid w:val="008A33C2"/>
    <w:rsid w:val="008A5334"/>
    <w:rsid w:val="0090017D"/>
    <w:rsid w:val="00931E89"/>
    <w:rsid w:val="00952F97"/>
    <w:rsid w:val="0096144A"/>
    <w:rsid w:val="009862E0"/>
    <w:rsid w:val="00996D6F"/>
    <w:rsid w:val="009B65FC"/>
    <w:rsid w:val="009C07FD"/>
    <w:rsid w:val="009D3AE1"/>
    <w:rsid w:val="009D5CE1"/>
    <w:rsid w:val="009E6F64"/>
    <w:rsid w:val="00A00CC5"/>
    <w:rsid w:val="00A055DD"/>
    <w:rsid w:val="00A16FFA"/>
    <w:rsid w:val="00A418DA"/>
    <w:rsid w:val="00A41F20"/>
    <w:rsid w:val="00A452AF"/>
    <w:rsid w:val="00A66668"/>
    <w:rsid w:val="00A90928"/>
    <w:rsid w:val="00AC1D4D"/>
    <w:rsid w:val="00AF00C6"/>
    <w:rsid w:val="00AF138F"/>
    <w:rsid w:val="00AF19DA"/>
    <w:rsid w:val="00B15438"/>
    <w:rsid w:val="00B51D6C"/>
    <w:rsid w:val="00B62757"/>
    <w:rsid w:val="00B64DE1"/>
    <w:rsid w:val="00B70AB5"/>
    <w:rsid w:val="00B8533B"/>
    <w:rsid w:val="00B86434"/>
    <w:rsid w:val="00B94BD7"/>
    <w:rsid w:val="00BA1BBE"/>
    <w:rsid w:val="00BB0D47"/>
    <w:rsid w:val="00BC79C5"/>
    <w:rsid w:val="00BD064F"/>
    <w:rsid w:val="00BD33D5"/>
    <w:rsid w:val="00BD4AF6"/>
    <w:rsid w:val="00BE7B5B"/>
    <w:rsid w:val="00BF69A1"/>
    <w:rsid w:val="00C223AD"/>
    <w:rsid w:val="00C50612"/>
    <w:rsid w:val="00C57D9A"/>
    <w:rsid w:val="00C7664C"/>
    <w:rsid w:val="00C8262D"/>
    <w:rsid w:val="00C84309"/>
    <w:rsid w:val="00CC2F94"/>
    <w:rsid w:val="00CF14C2"/>
    <w:rsid w:val="00CF29A4"/>
    <w:rsid w:val="00D049AC"/>
    <w:rsid w:val="00D21C94"/>
    <w:rsid w:val="00D306EE"/>
    <w:rsid w:val="00D33182"/>
    <w:rsid w:val="00D50AF1"/>
    <w:rsid w:val="00D54D5E"/>
    <w:rsid w:val="00D62F0B"/>
    <w:rsid w:val="00DC64BF"/>
    <w:rsid w:val="00DD441B"/>
    <w:rsid w:val="00DE03D0"/>
    <w:rsid w:val="00DE11E0"/>
    <w:rsid w:val="00E20DC5"/>
    <w:rsid w:val="00E254FD"/>
    <w:rsid w:val="00E40765"/>
    <w:rsid w:val="00E41652"/>
    <w:rsid w:val="00E6022D"/>
    <w:rsid w:val="00E70F70"/>
    <w:rsid w:val="00E7237E"/>
    <w:rsid w:val="00EC16AF"/>
    <w:rsid w:val="00EF4829"/>
    <w:rsid w:val="00F02106"/>
    <w:rsid w:val="00F24E5B"/>
    <w:rsid w:val="00F4409E"/>
    <w:rsid w:val="00F7081D"/>
    <w:rsid w:val="00F9253C"/>
    <w:rsid w:val="00FA073C"/>
    <w:rsid w:val="00FA0758"/>
    <w:rsid w:val="00FB4FB5"/>
    <w:rsid w:val="00FB6DF2"/>
    <w:rsid w:val="00FD3469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76239C"/>
  <w15:docId w15:val="{37AD3324-1BCD-4183-B7D1-6BC4B0A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049AC"/>
    <w:rPr>
      <w:rFonts w:ascii="Courier New" w:hAnsi="Courier New" w:cs="Courier New"/>
      <w:sz w:val="20"/>
      <w:szCs w:val="20"/>
    </w:rPr>
  </w:style>
  <w:style w:type="character" w:customStyle="1" w:styleId="eudoraheader">
    <w:name w:val="eudoraheader"/>
    <w:basedOn w:val="DefaultParagraphFont"/>
    <w:rsid w:val="00283AE7"/>
  </w:style>
  <w:style w:type="paragraph" w:styleId="Footer">
    <w:name w:val="footer"/>
    <w:basedOn w:val="Normal"/>
    <w:rsid w:val="00637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7E70"/>
  </w:style>
  <w:style w:type="table" w:styleId="TableGrid">
    <w:name w:val="Table Grid"/>
    <w:basedOn w:val="TableNormal"/>
    <w:rsid w:val="00D21C94"/>
    <w:pPr>
      <w:widowControl w:val="0"/>
    </w:pPr>
    <w:tblPr>
      <w:tblBorders>
        <w:insideH w:val="single" w:sz="4" w:space="0" w:color="auto"/>
      </w:tblBorders>
    </w:tblPr>
  </w:style>
  <w:style w:type="table" w:styleId="TableClassic1">
    <w:name w:val="Table Classic 1"/>
    <w:basedOn w:val="TableNormal"/>
    <w:rsid w:val="00C223AD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6052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5296"/>
    <w:rPr>
      <w:kern w:val="2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4450F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06EE"/>
    <w:rPr>
      <w:color w:val="808080"/>
    </w:rPr>
  </w:style>
  <w:style w:type="table" w:styleId="TableGridLight">
    <w:name w:val="Grid Table Light"/>
    <w:basedOn w:val="TableNormal"/>
    <w:uiPriority w:val="40"/>
    <w:rsid w:val="005921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MS4221  Statistics for Economics and Finance</vt:lpstr>
    </vt:vector>
  </TitlesOfParts>
  <Company>City University of Hong Kong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MS4221  Statistics for Economics and Finance</dc:title>
  <dc:subject/>
  <dc:creator>Administrator</dc:creator>
  <cp:keywords/>
  <dc:description/>
  <cp:lastModifiedBy>UIC</cp:lastModifiedBy>
  <cp:revision>58</cp:revision>
  <dcterms:created xsi:type="dcterms:W3CDTF">2014-02-03T14:58:00Z</dcterms:created>
  <dcterms:modified xsi:type="dcterms:W3CDTF">2022-09-03T07:08:00Z</dcterms:modified>
</cp:coreProperties>
</file>