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6E2" w:rsidRDefault="008836DE" w:rsidP="006106E2">
      <w:pPr>
        <w:tabs>
          <w:tab w:val="left" w:pos="851"/>
        </w:tabs>
        <w:jc w:val="center"/>
        <w:rPr>
          <w:sz w:val="28"/>
        </w:rPr>
      </w:pPr>
      <w:bookmarkStart w:id="0" w:name="_Hlk80457142"/>
      <w:r w:rsidRPr="008836DE">
        <w:rPr>
          <w:sz w:val="28"/>
        </w:rPr>
        <w:t>FINM</w:t>
      </w:r>
      <w:r w:rsidR="00D866AE">
        <w:rPr>
          <w:sz w:val="28"/>
        </w:rPr>
        <w:t>206</w:t>
      </w:r>
      <w:bookmarkStart w:id="1" w:name="_GoBack"/>
      <w:bookmarkEnd w:id="1"/>
      <w:r w:rsidRPr="008836DE">
        <w:rPr>
          <w:sz w:val="28"/>
        </w:rPr>
        <w:t>3 Introduction to Finance</w:t>
      </w:r>
    </w:p>
    <w:p w:rsidR="006106E2" w:rsidRPr="00C223AD" w:rsidRDefault="006106E2" w:rsidP="006106E2">
      <w:pPr>
        <w:jc w:val="center"/>
        <w:rPr>
          <w:sz w:val="28"/>
        </w:rPr>
      </w:pPr>
    </w:p>
    <w:p w:rsidR="006106E2" w:rsidRDefault="006106E2" w:rsidP="006106E2">
      <w:pPr>
        <w:jc w:val="center"/>
        <w:outlineLvl w:val="0"/>
        <w:rPr>
          <w:rFonts w:eastAsia="宋体"/>
          <w:sz w:val="28"/>
          <w:lang w:eastAsia="zh-CN"/>
        </w:rPr>
      </w:pPr>
      <w:r>
        <w:rPr>
          <w:rFonts w:eastAsia="宋体"/>
          <w:sz w:val="28"/>
          <w:lang w:eastAsia="zh-CN"/>
        </w:rPr>
        <w:t xml:space="preserve">Chapter </w:t>
      </w:r>
      <w:r w:rsidR="00B8745A">
        <w:rPr>
          <w:rFonts w:eastAsia="宋体"/>
          <w:sz w:val="28"/>
          <w:lang w:eastAsia="zh-CN"/>
        </w:rPr>
        <w:t>7</w:t>
      </w:r>
      <w:r>
        <w:rPr>
          <w:rFonts w:eastAsia="宋体"/>
          <w:sz w:val="28"/>
          <w:lang w:eastAsia="zh-CN"/>
        </w:rPr>
        <w:t xml:space="preserve"> Exercises</w:t>
      </w:r>
      <w:r>
        <w:rPr>
          <w:sz w:val="28"/>
        </w:rPr>
        <w:t xml:space="preserve"> </w:t>
      </w:r>
    </w:p>
    <w:bookmarkEnd w:id="0"/>
    <w:p w:rsidR="008A0F37" w:rsidRDefault="008A0F37" w:rsidP="008A0F37">
      <w:pPr>
        <w:jc w:val="both"/>
        <w:rPr>
          <w:b/>
          <w:lang w:eastAsia="zh-CN"/>
        </w:rPr>
      </w:pPr>
    </w:p>
    <w:p w:rsidR="00FB6DF2" w:rsidRPr="00FB6DF2" w:rsidRDefault="00FB6DF2" w:rsidP="00452BB5">
      <w:pPr>
        <w:jc w:val="center"/>
        <w:outlineLvl w:val="0"/>
        <w:rPr>
          <w:rFonts w:eastAsia="宋体"/>
          <w:sz w:val="28"/>
          <w:lang w:eastAsia="zh-CN"/>
        </w:rPr>
      </w:pPr>
    </w:p>
    <w:p w:rsidR="00854513" w:rsidRDefault="0009352E" w:rsidP="001F57DA">
      <w:pPr>
        <w:numPr>
          <w:ilvl w:val="0"/>
          <w:numId w:val="1"/>
        </w:numPr>
        <w:jc w:val="both"/>
      </w:pPr>
      <w:r>
        <w:t>An investor with a required return of 14% for very risky investments in common stock has analyzed three firms and must decide which, if any, to purchase. The information is as follows</w:t>
      </w:r>
      <w:r w:rsidR="009D5CE1">
        <w:t>:</w:t>
      </w:r>
    </w:p>
    <w:p w:rsidR="009D5CE1" w:rsidRDefault="009D5CE1" w:rsidP="009D5CE1">
      <w:pPr>
        <w:jc w:val="both"/>
      </w:pPr>
    </w:p>
    <w:tbl>
      <w:tblPr>
        <w:tblStyle w:val="TableGrid"/>
        <w:tblW w:w="5974"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3369"/>
        <w:gridCol w:w="904"/>
        <w:gridCol w:w="851"/>
        <w:gridCol w:w="850"/>
      </w:tblGrid>
      <w:tr w:rsidR="0009352E" w:rsidRPr="00AA1888" w:rsidTr="00AA1888">
        <w:trPr>
          <w:jc w:val="center"/>
        </w:trPr>
        <w:tc>
          <w:tcPr>
            <w:tcW w:w="3369" w:type="dxa"/>
            <w:shd w:val="clear" w:color="auto" w:fill="DBDBDB" w:themeFill="accent3" w:themeFillTint="66"/>
          </w:tcPr>
          <w:p w:rsidR="0009352E" w:rsidRPr="00AA1888" w:rsidRDefault="0009352E" w:rsidP="009D5CE1">
            <w:pPr>
              <w:jc w:val="both"/>
            </w:pPr>
            <w:r w:rsidRPr="00AA1888">
              <w:t>Firm</w:t>
            </w:r>
          </w:p>
        </w:tc>
        <w:tc>
          <w:tcPr>
            <w:tcW w:w="904" w:type="dxa"/>
            <w:shd w:val="clear" w:color="auto" w:fill="DBDBDB" w:themeFill="accent3" w:themeFillTint="66"/>
          </w:tcPr>
          <w:p w:rsidR="0009352E" w:rsidRPr="00AA1888" w:rsidRDefault="0009352E" w:rsidP="001E07C3">
            <w:pPr>
              <w:jc w:val="right"/>
            </w:pPr>
            <w:r w:rsidRPr="00AA1888">
              <w:t>A</w:t>
            </w:r>
          </w:p>
        </w:tc>
        <w:tc>
          <w:tcPr>
            <w:tcW w:w="851" w:type="dxa"/>
            <w:shd w:val="clear" w:color="auto" w:fill="DBDBDB" w:themeFill="accent3" w:themeFillTint="66"/>
          </w:tcPr>
          <w:p w:rsidR="0009352E" w:rsidRPr="00AA1888" w:rsidRDefault="0009352E" w:rsidP="001E07C3">
            <w:pPr>
              <w:jc w:val="right"/>
            </w:pPr>
            <w:r w:rsidRPr="00AA1888">
              <w:t>B</w:t>
            </w:r>
          </w:p>
        </w:tc>
        <w:tc>
          <w:tcPr>
            <w:tcW w:w="850" w:type="dxa"/>
            <w:shd w:val="clear" w:color="auto" w:fill="DBDBDB" w:themeFill="accent3" w:themeFillTint="66"/>
          </w:tcPr>
          <w:p w:rsidR="0009352E" w:rsidRPr="00AA1888" w:rsidRDefault="0009352E" w:rsidP="001E07C3">
            <w:pPr>
              <w:jc w:val="right"/>
            </w:pPr>
            <w:r w:rsidRPr="00AA1888">
              <w:t>C</w:t>
            </w:r>
          </w:p>
        </w:tc>
      </w:tr>
      <w:tr w:rsidR="0009352E" w:rsidTr="00AA1888">
        <w:trPr>
          <w:jc w:val="center"/>
        </w:trPr>
        <w:tc>
          <w:tcPr>
            <w:tcW w:w="3369" w:type="dxa"/>
          </w:tcPr>
          <w:p w:rsidR="0009352E" w:rsidRDefault="0009352E" w:rsidP="009D5CE1">
            <w:pPr>
              <w:jc w:val="both"/>
            </w:pPr>
            <w:r>
              <w:t>Current earnings</w:t>
            </w:r>
          </w:p>
        </w:tc>
        <w:tc>
          <w:tcPr>
            <w:tcW w:w="904" w:type="dxa"/>
          </w:tcPr>
          <w:p w:rsidR="0009352E" w:rsidRDefault="00AA1888" w:rsidP="001E07C3">
            <w:pPr>
              <w:jc w:val="right"/>
            </w:pPr>
            <w:r>
              <w:t>$2.00</w:t>
            </w:r>
          </w:p>
        </w:tc>
        <w:tc>
          <w:tcPr>
            <w:tcW w:w="851" w:type="dxa"/>
          </w:tcPr>
          <w:p w:rsidR="0009352E" w:rsidRDefault="00AA1888" w:rsidP="001E07C3">
            <w:pPr>
              <w:jc w:val="right"/>
            </w:pPr>
            <w:r>
              <w:t>$3.20</w:t>
            </w:r>
          </w:p>
        </w:tc>
        <w:tc>
          <w:tcPr>
            <w:tcW w:w="850" w:type="dxa"/>
          </w:tcPr>
          <w:p w:rsidR="0009352E" w:rsidRDefault="00AA1888" w:rsidP="001E07C3">
            <w:pPr>
              <w:jc w:val="right"/>
            </w:pPr>
            <w:r>
              <w:t>$7.00</w:t>
            </w:r>
          </w:p>
        </w:tc>
      </w:tr>
      <w:tr w:rsidR="0009352E" w:rsidTr="00AA1888">
        <w:trPr>
          <w:jc w:val="center"/>
        </w:trPr>
        <w:tc>
          <w:tcPr>
            <w:tcW w:w="3369" w:type="dxa"/>
          </w:tcPr>
          <w:p w:rsidR="0009352E" w:rsidRDefault="0009352E" w:rsidP="009D5CE1">
            <w:pPr>
              <w:jc w:val="both"/>
            </w:pPr>
            <w:r>
              <w:t>Current dividend</w:t>
            </w:r>
          </w:p>
        </w:tc>
        <w:tc>
          <w:tcPr>
            <w:tcW w:w="904" w:type="dxa"/>
          </w:tcPr>
          <w:p w:rsidR="0009352E" w:rsidRDefault="00AA1888" w:rsidP="001E07C3">
            <w:pPr>
              <w:jc w:val="right"/>
            </w:pPr>
            <w:r>
              <w:t>$1.00</w:t>
            </w:r>
          </w:p>
        </w:tc>
        <w:tc>
          <w:tcPr>
            <w:tcW w:w="851" w:type="dxa"/>
          </w:tcPr>
          <w:p w:rsidR="0009352E" w:rsidRDefault="00AA1888" w:rsidP="001E07C3">
            <w:pPr>
              <w:jc w:val="right"/>
            </w:pPr>
            <w:r>
              <w:t>$3.00</w:t>
            </w:r>
          </w:p>
        </w:tc>
        <w:tc>
          <w:tcPr>
            <w:tcW w:w="850" w:type="dxa"/>
          </w:tcPr>
          <w:p w:rsidR="0009352E" w:rsidRDefault="00AA1888" w:rsidP="001E07C3">
            <w:pPr>
              <w:jc w:val="right"/>
            </w:pPr>
            <w:r>
              <w:t>$7.50</w:t>
            </w:r>
          </w:p>
        </w:tc>
      </w:tr>
      <w:tr w:rsidR="0009352E" w:rsidTr="00AA1888">
        <w:trPr>
          <w:jc w:val="center"/>
        </w:trPr>
        <w:tc>
          <w:tcPr>
            <w:tcW w:w="3369" w:type="dxa"/>
          </w:tcPr>
          <w:p w:rsidR="0009352E" w:rsidRDefault="0009352E" w:rsidP="00AA1888">
            <w:pPr>
              <w:ind w:left="185" w:hanging="185"/>
              <w:jc w:val="both"/>
            </w:pPr>
            <w:r>
              <w:t>Expected annual growth rate in dividends and earnings</w:t>
            </w:r>
          </w:p>
        </w:tc>
        <w:tc>
          <w:tcPr>
            <w:tcW w:w="904" w:type="dxa"/>
          </w:tcPr>
          <w:p w:rsidR="0009352E" w:rsidRDefault="00AA1888" w:rsidP="001E07C3">
            <w:pPr>
              <w:jc w:val="right"/>
            </w:pPr>
            <w:r>
              <w:t>7%</w:t>
            </w:r>
          </w:p>
        </w:tc>
        <w:tc>
          <w:tcPr>
            <w:tcW w:w="851" w:type="dxa"/>
          </w:tcPr>
          <w:p w:rsidR="0009352E" w:rsidRDefault="00AA1888" w:rsidP="001E07C3">
            <w:pPr>
              <w:jc w:val="right"/>
            </w:pPr>
            <w:r>
              <w:t>2%</w:t>
            </w:r>
          </w:p>
        </w:tc>
        <w:tc>
          <w:tcPr>
            <w:tcW w:w="850" w:type="dxa"/>
          </w:tcPr>
          <w:p w:rsidR="0009352E" w:rsidRDefault="00AA1888" w:rsidP="001E07C3">
            <w:pPr>
              <w:jc w:val="right"/>
            </w:pPr>
            <w:r>
              <w:t>-1%</w:t>
            </w:r>
          </w:p>
        </w:tc>
      </w:tr>
      <w:tr w:rsidR="0009352E" w:rsidTr="00AA1888">
        <w:trPr>
          <w:jc w:val="center"/>
        </w:trPr>
        <w:tc>
          <w:tcPr>
            <w:tcW w:w="3369" w:type="dxa"/>
          </w:tcPr>
          <w:p w:rsidR="0009352E" w:rsidRDefault="0009352E" w:rsidP="009D5CE1">
            <w:pPr>
              <w:jc w:val="both"/>
            </w:pPr>
            <w:r>
              <w:t>Current market price</w:t>
            </w:r>
          </w:p>
        </w:tc>
        <w:tc>
          <w:tcPr>
            <w:tcW w:w="904" w:type="dxa"/>
          </w:tcPr>
          <w:p w:rsidR="0009352E" w:rsidRDefault="00AA1888" w:rsidP="001E07C3">
            <w:pPr>
              <w:jc w:val="right"/>
            </w:pPr>
            <w:r>
              <w:t>$23</w:t>
            </w:r>
          </w:p>
        </w:tc>
        <w:tc>
          <w:tcPr>
            <w:tcW w:w="851" w:type="dxa"/>
          </w:tcPr>
          <w:p w:rsidR="0009352E" w:rsidRDefault="00AA1888" w:rsidP="001E07C3">
            <w:pPr>
              <w:jc w:val="right"/>
            </w:pPr>
            <w:r>
              <w:t>$47</w:t>
            </w:r>
          </w:p>
        </w:tc>
        <w:tc>
          <w:tcPr>
            <w:tcW w:w="850" w:type="dxa"/>
          </w:tcPr>
          <w:p w:rsidR="0009352E" w:rsidRDefault="00AA1888" w:rsidP="001E07C3">
            <w:pPr>
              <w:jc w:val="right"/>
            </w:pPr>
            <w:r>
              <w:t>$60</w:t>
            </w:r>
          </w:p>
        </w:tc>
      </w:tr>
    </w:tbl>
    <w:p w:rsidR="00592142" w:rsidRDefault="00592142" w:rsidP="009D5CE1">
      <w:pPr>
        <w:jc w:val="both"/>
      </w:pPr>
    </w:p>
    <w:p w:rsidR="001E07C3" w:rsidRDefault="00AA1888" w:rsidP="00AA1888">
      <w:pPr>
        <w:pStyle w:val="ListParagraph"/>
        <w:numPr>
          <w:ilvl w:val="0"/>
          <w:numId w:val="9"/>
        </w:numPr>
        <w:jc w:val="both"/>
      </w:pPr>
      <w:r>
        <w:t>What is the maximum price that the investor should pay for each stock based on the constant dividend growth model?</w:t>
      </w:r>
    </w:p>
    <w:p w:rsidR="00AA1888" w:rsidRDefault="00AA1888" w:rsidP="00AA1888">
      <w:pPr>
        <w:pStyle w:val="ListParagraph"/>
        <w:numPr>
          <w:ilvl w:val="0"/>
          <w:numId w:val="9"/>
        </w:numPr>
        <w:jc w:val="both"/>
      </w:pPr>
      <w:r>
        <w:t>If the investor does buy stock A, what is the implied percentage return?</w:t>
      </w:r>
    </w:p>
    <w:p w:rsidR="00AA1888" w:rsidRDefault="00AA1888" w:rsidP="00AA1888">
      <w:pPr>
        <w:pStyle w:val="ListParagraph"/>
        <w:numPr>
          <w:ilvl w:val="0"/>
          <w:numId w:val="9"/>
        </w:numPr>
        <w:jc w:val="both"/>
      </w:pPr>
      <w:r>
        <w:t>If the appropriate P/E ratio is 12, what is the maximum price the investor should pay for each stock? Would your answers be different if the appropriate P/E were 7?</w:t>
      </w:r>
    </w:p>
    <w:p w:rsidR="00AA1888" w:rsidRDefault="00AA1888" w:rsidP="00AA1888">
      <w:pPr>
        <w:pStyle w:val="ListParagraph"/>
        <w:numPr>
          <w:ilvl w:val="0"/>
          <w:numId w:val="9"/>
        </w:numPr>
        <w:jc w:val="both"/>
      </w:pPr>
      <w:r>
        <w:t>What does stock C’s negative growth rate imply?</w:t>
      </w:r>
    </w:p>
    <w:p w:rsidR="00AA1888" w:rsidRDefault="00AA1888" w:rsidP="00AA1888">
      <w:pPr>
        <w:ind w:left="284"/>
        <w:jc w:val="both"/>
      </w:pPr>
    </w:p>
    <w:p w:rsidR="00E40765" w:rsidRDefault="00AA1888" w:rsidP="001F57DA">
      <w:pPr>
        <w:numPr>
          <w:ilvl w:val="0"/>
          <w:numId w:val="1"/>
        </w:numPr>
        <w:jc w:val="both"/>
      </w:pPr>
      <w:r>
        <w:t>Jersey Jewel Mining (JJM) has a beta coefficient of 1.2. Currently the risk-free rate is 2% and the anticipated return on the market is 8%. JJM pays a $4.50 dividend that is growing at 4% annually.</w:t>
      </w:r>
    </w:p>
    <w:p w:rsidR="001E07C3" w:rsidRDefault="00AA1888" w:rsidP="001E07C3">
      <w:pPr>
        <w:pStyle w:val="ListParagraph"/>
        <w:numPr>
          <w:ilvl w:val="0"/>
          <w:numId w:val="7"/>
        </w:numPr>
        <w:jc w:val="both"/>
      </w:pPr>
      <w:r>
        <w:t>What is the required return for JJM</w:t>
      </w:r>
      <w:r w:rsidR="001E07C3">
        <w:t>?</w:t>
      </w:r>
    </w:p>
    <w:p w:rsidR="001E07C3" w:rsidRDefault="00AA1888" w:rsidP="001E07C3">
      <w:pPr>
        <w:pStyle w:val="ListParagraph"/>
        <w:numPr>
          <w:ilvl w:val="0"/>
          <w:numId w:val="7"/>
        </w:numPr>
        <w:jc w:val="both"/>
      </w:pPr>
      <w:r>
        <w:t>Given the required return, what is the value of the stock?</w:t>
      </w:r>
    </w:p>
    <w:p w:rsidR="00AA1888" w:rsidRDefault="00AA1888" w:rsidP="001E07C3">
      <w:pPr>
        <w:pStyle w:val="ListParagraph"/>
        <w:numPr>
          <w:ilvl w:val="0"/>
          <w:numId w:val="7"/>
        </w:numPr>
        <w:jc w:val="both"/>
      </w:pPr>
      <w:r>
        <w:t>If the stock is selling for $100, what should you do?</w:t>
      </w:r>
    </w:p>
    <w:p w:rsidR="00AA1888" w:rsidRDefault="00AA1888" w:rsidP="001E07C3">
      <w:pPr>
        <w:pStyle w:val="ListParagraph"/>
        <w:numPr>
          <w:ilvl w:val="0"/>
          <w:numId w:val="7"/>
        </w:numPr>
        <w:jc w:val="both"/>
      </w:pPr>
      <w:r>
        <w:t>If the beta coefficient declines to 1.0, what is the new value of the stock?</w:t>
      </w:r>
    </w:p>
    <w:p w:rsidR="00AA1888" w:rsidRDefault="00AA1888" w:rsidP="001E07C3">
      <w:pPr>
        <w:pStyle w:val="ListParagraph"/>
        <w:numPr>
          <w:ilvl w:val="0"/>
          <w:numId w:val="7"/>
        </w:numPr>
        <w:jc w:val="both"/>
      </w:pPr>
      <w:r>
        <w:t>If the price remains $100, what course of action should you taken given the valuation in d?</w:t>
      </w:r>
    </w:p>
    <w:p w:rsidR="00D33182" w:rsidRDefault="00D33182" w:rsidP="00D33182">
      <w:pPr>
        <w:pStyle w:val="ListParagraph"/>
      </w:pPr>
    </w:p>
    <w:p w:rsidR="00AF138F" w:rsidRDefault="00662EF7" w:rsidP="00FA073C">
      <w:pPr>
        <w:numPr>
          <w:ilvl w:val="0"/>
          <w:numId w:val="1"/>
        </w:numPr>
        <w:jc w:val="both"/>
      </w:pPr>
      <w:r>
        <w:t xml:space="preserve">Ewald Company’s current price is $36, and its last dividend was $2.40. In view of Ewald’s strong financial position and its consequent low risk, its required rate of return is only 12%. </w:t>
      </w:r>
      <w:r>
        <w:lastRenderedPageBreak/>
        <w:t xml:space="preserve">If dividends are expected to grow at a constant rate, </w:t>
      </w:r>
      <w:r>
        <w:rPr>
          <w:i/>
        </w:rPr>
        <w:t>g</w:t>
      </w:r>
      <w:r>
        <w:t xml:space="preserve">, in the future, and if </w:t>
      </w:r>
      <w:r>
        <w:rPr>
          <w:i/>
        </w:rPr>
        <w:t>r</w:t>
      </w:r>
      <w:r>
        <w:t xml:space="preserve"> is expected to remain at 12%, what is Ewald’s expected stock price five years from now?</w:t>
      </w:r>
    </w:p>
    <w:p w:rsidR="00666059" w:rsidRDefault="00666059" w:rsidP="00666059">
      <w:pPr>
        <w:jc w:val="both"/>
      </w:pPr>
    </w:p>
    <w:p w:rsidR="00666059" w:rsidRDefault="0076242F" w:rsidP="00666059">
      <w:pPr>
        <w:numPr>
          <w:ilvl w:val="0"/>
          <w:numId w:val="1"/>
        </w:numPr>
        <w:jc w:val="both"/>
      </w:pPr>
      <w:r>
        <w:t>Your broker offers to sell you some shares of Wingler &amp; Company common stock, which paid a dividend of $2 yesterday. You expect the dividend to grow at a rate of 5% per year into perpetuity. The appropriate rate of return for the stock is 12%.</w:t>
      </w:r>
    </w:p>
    <w:p w:rsidR="0076242F" w:rsidRDefault="0076242F" w:rsidP="0076242F">
      <w:pPr>
        <w:numPr>
          <w:ilvl w:val="1"/>
          <w:numId w:val="1"/>
        </w:numPr>
        <w:jc w:val="both"/>
      </w:pPr>
      <w:r>
        <w:t>If you purchase the Wingler &amp; Company stock with the intent of selling it in three years, what cash flows will you receive each year?</w:t>
      </w:r>
    </w:p>
    <w:p w:rsidR="0076242F" w:rsidRDefault="0076242F" w:rsidP="0076242F">
      <w:pPr>
        <w:numPr>
          <w:ilvl w:val="1"/>
          <w:numId w:val="1"/>
        </w:numPr>
        <w:jc w:val="both"/>
      </w:pPr>
      <w:r>
        <w:t>What is the market value of Wingler’s stock</w:t>
      </w:r>
      <w:r w:rsidR="00546D48">
        <w:t>?</w:t>
      </w:r>
    </w:p>
    <w:p w:rsidR="0089156A" w:rsidRDefault="0089156A" w:rsidP="0089156A">
      <w:pPr>
        <w:jc w:val="both"/>
      </w:pPr>
    </w:p>
    <w:p w:rsidR="0089156A" w:rsidRDefault="00635571" w:rsidP="0089156A">
      <w:pPr>
        <w:numPr>
          <w:ilvl w:val="0"/>
          <w:numId w:val="1"/>
        </w:numPr>
        <w:jc w:val="both"/>
      </w:pPr>
      <w:r>
        <w:t>Microtech Corporation is expanding rapidly. Because it needs to retain all of its earnings, it does not currently pay any dividends. Investors expect Microtech to begin paying dividends eventually, with the first dividend of $1 coming three years from today. The dividend should grow rapidly – at a rate of 50% per year – during Years 4 and 5. After Year 5, the company should grow at a constant rate of 8% per year. If the required return on the stock is 15%, what is the value of the stock today?</w:t>
      </w:r>
    </w:p>
    <w:p w:rsidR="00FA073C" w:rsidRDefault="00FA073C" w:rsidP="00FA073C">
      <w:pPr>
        <w:jc w:val="both"/>
      </w:pPr>
    </w:p>
    <w:sectPr w:rsidR="00FA073C" w:rsidSect="00B62757">
      <w:footerReference w:type="even" r:id="rId7"/>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808" w:rsidRDefault="00357808">
      <w:r>
        <w:separator/>
      </w:r>
    </w:p>
  </w:endnote>
  <w:endnote w:type="continuationSeparator" w:id="0">
    <w:p w:rsidR="00357808" w:rsidRDefault="0035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E89">
      <w:rPr>
        <w:rStyle w:val="PageNumber"/>
        <w:noProof/>
      </w:rPr>
      <w:t>1</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808" w:rsidRDefault="00357808">
      <w:r>
        <w:separator/>
      </w:r>
    </w:p>
  </w:footnote>
  <w:footnote w:type="continuationSeparator" w:id="0">
    <w:p w:rsidR="00357808" w:rsidRDefault="00357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703"/>
    <w:multiLevelType w:val="hybridMultilevel"/>
    <w:tmpl w:val="21589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63CB"/>
    <w:multiLevelType w:val="hybridMultilevel"/>
    <w:tmpl w:val="7316A8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03A28"/>
    <w:multiLevelType w:val="hybridMultilevel"/>
    <w:tmpl w:val="CBAE718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27168D"/>
    <w:multiLevelType w:val="hybridMultilevel"/>
    <w:tmpl w:val="CC28C072"/>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4043B29"/>
    <w:multiLevelType w:val="hybridMultilevel"/>
    <w:tmpl w:val="8B2A6558"/>
    <w:lvl w:ilvl="0" w:tplc="04090019">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2C7FFC"/>
    <w:multiLevelType w:val="hybridMultilevel"/>
    <w:tmpl w:val="8B2A6558"/>
    <w:lvl w:ilvl="0" w:tplc="04090019">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C662D15"/>
    <w:multiLevelType w:val="hybridMultilevel"/>
    <w:tmpl w:val="6A3297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B07A3"/>
    <w:multiLevelType w:val="hybridMultilevel"/>
    <w:tmpl w:val="4252C484"/>
    <w:lvl w:ilvl="0" w:tplc="04090019">
      <w:start w:val="1"/>
      <w:numFmt w:val="lowerLetter"/>
      <w:lvlText w:val="%1."/>
      <w:lvlJc w:val="left"/>
      <w:pPr>
        <w:ind w:left="840" w:hanging="360"/>
      </w:pPr>
    </w:lvl>
    <w:lvl w:ilvl="1" w:tplc="04090011">
      <w:start w:val="1"/>
      <w:numFmt w:val="decimal"/>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62DF4D8D"/>
    <w:multiLevelType w:val="hybridMultilevel"/>
    <w:tmpl w:val="BC2EDE8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6FBA0C3E"/>
    <w:multiLevelType w:val="hybridMultilevel"/>
    <w:tmpl w:val="961630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5"/>
  </w:num>
  <w:num w:numId="8">
    <w:abstractNumId w:val="4"/>
  </w:num>
  <w:num w:numId="9">
    <w:abstractNumId w:val="8"/>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BB5"/>
    <w:rsid w:val="00001D91"/>
    <w:rsid w:val="000124DF"/>
    <w:rsid w:val="00037547"/>
    <w:rsid w:val="00041113"/>
    <w:rsid w:val="0007515A"/>
    <w:rsid w:val="00077AA2"/>
    <w:rsid w:val="00082593"/>
    <w:rsid w:val="0009352E"/>
    <w:rsid w:val="00094F35"/>
    <w:rsid w:val="00097506"/>
    <w:rsid w:val="000B2CDC"/>
    <w:rsid w:val="000C067D"/>
    <w:rsid w:val="000C4D09"/>
    <w:rsid w:val="000D1983"/>
    <w:rsid w:val="00104316"/>
    <w:rsid w:val="00125044"/>
    <w:rsid w:val="001324A3"/>
    <w:rsid w:val="001332DA"/>
    <w:rsid w:val="00140C5A"/>
    <w:rsid w:val="00142453"/>
    <w:rsid w:val="00155D69"/>
    <w:rsid w:val="001D35BE"/>
    <w:rsid w:val="001E07C3"/>
    <w:rsid w:val="001E5BC5"/>
    <w:rsid w:val="001F0BCF"/>
    <w:rsid w:val="001F57DA"/>
    <w:rsid w:val="00205092"/>
    <w:rsid w:val="00231744"/>
    <w:rsid w:val="00251860"/>
    <w:rsid w:val="00256E00"/>
    <w:rsid w:val="002610A1"/>
    <w:rsid w:val="00271FDE"/>
    <w:rsid w:val="00283AE7"/>
    <w:rsid w:val="002909A3"/>
    <w:rsid w:val="00291955"/>
    <w:rsid w:val="002B609F"/>
    <w:rsid w:val="002C772E"/>
    <w:rsid w:val="002E3B1A"/>
    <w:rsid w:val="002F009B"/>
    <w:rsid w:val="002F0CAC"/>
    <w:rsid w:val="002F6EB0"/>
    <w:rsid w:val="00315078"/>
    <w:rsid w:val="00346CA6"/>
    <w:rsid w:val="0035359A"/>
    <w:rsid w:val="00357808"/>
    <w:rsid w:val="00364C49"/>
    <w:rsid w:val="00367374"/>
    <w:rsid w:val="00390518"/>
    <w:rsid w:val="003959E7"/>
    <w:rsid w:val="003F60E5"/>
    <w:rsid w:val="00413568"/>
    <w:rsid w:val="00435FF4"/>
    <w:rsid w:val="004450F3"/>
    <w:rsid w:val="004527AD"/>
    <w:rsid w:val="00452BB5"/>
    <w:rsid w:val="004600A5"/>
    <w:rsid w:val="00467EEB"/>
    <w:rsid w:val="004A2047"/>
    <w:rsid w:val="004B654B"/>
    <w:rsid w:val="00510E6E"/>
    <w:rsid w:val="00535831"/>
    <w:rsid w:val="00546D48"/>
    <w:rsid w:val="0054730F"/>
    <w:rsid w:val="00553AEE"/>
    <w:rsid w:val="0056097C"/>
    <w:rsid w:val="00592142"/>
    <w:rsid w:val="005924BD"/>
    <w:rsid w:val="005B4D90"/>
    <w:rsid w:val="005D5B94"/>
    <w:rsid w:val="005F1A5F"/>
    <w:rsid w:val="005F5F82"/>
    <w:rsid w:val="00605296"/>
    <w:rsid w:val="0060725A"/>
    <w:rsid w:val="006106E2"/>
    <w:rsid w:val="0061762B"/>
    <w:rsid w:val="00635571"/>
    <w:rsid w:val="00637D95"/>
    <w:rsid w:val="00637E70"/>
    <w:rsid w:val="0064129B"/>
    <w:rsid w:val="0064669C"/>
    <w:rsid w:val="0065386A"/>
    <w:rsid w:val="006619BF"/>
    <w:rsid w:val="00662EF7"/>
    <w:rsid w:val="00666059"/>
    <w:rsid w:val="0066758C"/>
    <w:rsid w:val="006853F6"/>
    <w:rsid w:val="006F2EA0"/>
    <w:rsid w:val="007065E4"/>
    <w:rsid w:val="0071134E"/>
    <w:rsid w:val="007132C9"/>
    <w:rsid w:val="0071736F"/>
    <w:rsid w:val="00733A75"/>
    <w:rsid w:val="0076242F"/>
    <w:rsid w:val="0077396C"/>
    <w:rsid w:val="00775590"/>
    <w:rsid w:val="0079309F"/>
    <w:rsid w:val="007B3787"/>
    <w:rsid w:val="007D1F2C"/>
    <w:rsid w:val="007D2B53"/>
    <w:rsid w:val="007E5CBB"/>
    <w:rsid w:val="0080208E"/>
    <w:rsid w:val="0081009F"/>
    <w:rsid w:val="00810F87"/>
    <w:rsid w:val="0081614E"/>
    <w:rsid w:val="00831DF3"/>
    <w:rsid w:val="008353D0"/>
    <w:rsid w:val="00851911"/>
    <w:rsid w:val="00854513"/>
    <w:rsid w:val="00856E7A"/>
    <w:rsid w:val="00862888"/>
    <w:rsid w:val="008648F9"/>
    <w:rsid w:val="008656B0"/>
    <w:rsid w:val="0086572B"/>
    <w:rsid w:val="008836DE"/>
    <w:rsid w:val="0089156A"/>
    <w:rsid w:val="00897228"/>
    <w:rsid w:val="008A0F37"/>
    <w:rsid w:val="008A33C2"/>
    <w:rsid w:val="008A5334"/>
    <w:rsid w:val="0090017D"/>
    <w:rsid w:val="0090211F"/>
    <w:rsid w:val="00931E89"/>
    <w:rsid w:val="00952F97"/>
    <w:rsid w:val="0096144A"/>
    <w:rsid w:val="009862E0"/>
    <w:rsid w:val="00996D6F"/>
    <w:rsid w:val="009B65FC"/>
    <w:rsid w:val="009C07FD"/>
    <w:rsid w:val="009D3AE1"/>
    <w:rsid w:val="009D5CE1"/>
    <w:rsid w:val="009E6F64"/>
    <w:rsid w:val="00A00CC5"/>
    <w:rsid w:val="00A055DD"/>
    <w:rsid w:val="00A16FFA"/>
    <w:rsid w:val="00A418DA"/>
    <w:rsid w:val="00A41F20"/>
    <w:rsid w:val="00A452AF"/>
    <w:rsid w:val="00A66668"/>
    <w:rsid w:val="00A90928"/>
    <w:rsid w:val="00AA1888"/>
    <w:rsid w:val="00AC1D4D"/>
    <w:rsid w:val="00AF00C6"/>
    <w:rsid w:val="00AF138F"/>
    <w:rsid w:val="00AF19DA"/>
    <w:rsid w:val="00B15438"/>
    <w:rsid w:val="00B51D6C"/>
    <w:rsid w:val="00B62757"/>
    <w:rsid w:val="00B64DE1"/>
    <w:rsid w:val="00B70AB5"/>
    <w:rsid w:val="00B8533B"/>
    <w:rsid w:val="00B86434"/>
    <w:rsid w:val="00B8745A"/>
    <w:rsid w:val="00B94BD7"/>
    <w:rsid w:val="00BA1BBE"/>
    <w:rsid w:val="00BB0D47"/>
    <w:rsid w:val="00BC79C5"/>
    <w:rsid w:val="00BD064F"/>
    <w:rsid w:val="00BD33D5"/>
    <w:rsid w:val="00BD4AF6"/>
    <w:rsid w:val="00BE2AFE"/>
    <w:rsid w:val="00BE7B5B"/>
    <w:rsid w:val="00BF69A1"/>
    <w:rsid w:val="00C223AD"/>
    <w:rsid w:val="00C50612"/>
    <w:rsid w:val="00C57D9A"/>
    <w:rsid w:val="00C8262D"/>
    <w:rsid w:val="00C84309"/>
    <w:rsid w:val="00CF14C2"/>
    <w:rsid w:val="00CF29A4"/>
    <w:rsid w:val="00D049AC"/>
    <w:rsid w:val="00D21C94"/>
    <w:rsid w:val="00D306EE"/>
    <w:rsid w:val="00D33182"/>
    <w:rsid w:val="00D50AF1"/>
    <w:rsid w:val="00D54D5E"/>
    <w:rsid w:val="00D62F0B"/>
    <w:rsid w:val="00D866AE"/>
    <w:rsid w:val="00DC64BF"/>
    <w:rsid w:val="00DD441B"/>
    <w:rsid w:val="00DE03D0"/>
    <w:rsid w:val="00DE11E0"/>
    <w:rsid w:val="00E20DC5"/>
    <w:rsid w:val="00E254FD"/>
    <w:rsid w:val="00E40765"/>
    <w:rsid w:val="00E41652"/>
    <w:rsid w:val="00E6022D"/>
    <w:rsid w:val="00E70F70"/>
    <w:rsid w:val="00E7237E"/>
    <w:rsid w:val="00EC16AF"/>
    <w:rsid w:val="00EF4829"/>
    <w:rsid w:val="00F02106"/>
    <w:rsid w:val="00F24E5B"/>
    <w:rsid w:val="00F4409E"/>
    <w:rsid w:val="00F7081D"/>
    <w:rsid w:val="00F9253C"/>
    <w:rsid w:val="00FA073C"/>
    <w:rsid w:val="00FA0758"/>
    <w:rsid w:val="00FB4FB5"/>
    <w:rsid w:val="00FB6DF2"/>
    <w:rsid w:val="00FD3469"/>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6A005"/>
  <w15:docId w15:val="{37AD3324-1BCD-4183-B7D1-6BC4B0A6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D21C94"/>
    <w:pPr>
      <w:widowControl w:val="0"/>
    </w:pPr>
    <w:tblPr>
      <w:tblBorders>
        <w:insideH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ListParagraph">
    <w:name w:val="List Paragraph"/>
    <w:basedOn w:val="Normal"/>
    <w:uiPriority w:val="34"/>
    <w:qFormat/>
    <w:rsid w:val="004450F3"/>
    <w:pPr>
      <w:ind w:left="720"/>
    </w:pPr>
  </w:style>
  <w:style w:type="character" w:styleId="PlaceholderText">
    <w:name w:val="Placeholder Text"/>
    <w:basedOn w:val="DefaultParagraphFont"/>
    <w:uiPriority w:val="99"/>
    <w:semiHidden/>
    <w:rsid w:val="00D306EE"/>
    <w:rPr>
      <w:color w:val="808080"/>
    </w:rPr>
  </w:style>
  <w:style w:type="table" w:styleId="TableGridLight">
    <w:name w:val="Grid Table Light"/>
    <w:basedOn w:val="TableNormal"/>
    <w:uiPriority w:val="40"/>
    <w:rsid w:val="005921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65</cp:revision>
  <dcterms:created xsi:type="dcterms:W3CDTF">2014-02-03T14:58:00Z</dcterms:created>
  <dcterms:modified xsi:type="dcterms:W3CDTF">2022-09-03T07:09:00Z</dcterms:modified>
</cp:coreProperties>
</file>