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600"/>
      </w:pPr>
    </w:p>
    <w:p>
      <w:pPr>
        <w:spacing w:after="200"/>
        <w:jc w:val="center"/>
      </w:pPr>
      <w:r>
        <w:rPr>
          <w:rFonts w:ascii="微軟正黑體" w:cs="微軟正黑體" w:eastAsia="微軟正黑體" w:hAnsi="微軟正黑體"/>
          <w:b/>
          <w:bCs/>
          <w:sz w:val="52"/>
          <w:szCs w:val="52"/>
        </w:rPr>
        <w:t xml:space="preserve">程式碼資安檢測報告</w:t>
      </w:r>
    </w:p>
    <w:p>
      <w:pPr>
        <w:spacing w:after="700"/>
        <w:jc w:val="center"/>
      </w:pPr>
      <w:r>
        <w:rPr>
          <w:rFonts w:ascii="微軟正黑體" w:cs="微軟正黑體" w:eastAsia="微軟正黑體" w:hAnsi="微軟正黑體"/>
          <w:color w:val="555555"/>
          <w:sz w:val="30"/>
          <w:szCs w:val="30"/>
        </w:rPr>
        <w:t xml:space="preserve">Security Audit Report</w:t>
      </w:r>
    </w:p>
    <w:p>
      <w:pPr>
        <w:spacing w:after="140"/>
        <w:jc w:val="center"/>
      </w:pPr>
      <w:r>
        <w:rPr>
          <w:rFonts w:ascii="微軟正黑體" w:cs="微軟正黑體" w:eastAsia="微軟正黑體" w:hAnsi="微軟正黑體"/>
          <w:sz w:val="26"/>
          <w:szCs w:val="26"/>
        </w:rPr>
        <w:t xml:space="preserve">專案：SQC 評核系統（門市服務品質稽核 PWA）</w:t>
      </w:r>
    </w:p>
    <w:p>
      <w:pPr>
        <w:spacing w:after="140"/>
        <w:jc w:val="center"/>
      </w:pPr>
      <w:r>
        <w:rPr>
          <w:rFonts w:ascii="微軟正黑體" w:cs="微軟正黑體" w:eastAsia="微軟正黑體" w:hAnsi="微軟正黑體"/>
          <w:sz w:val="26"/>
          <w:szCs w:val="26"/>
        </w:rPr>
        <w:t xml:space="preserve">掃描日期：2026 年 09 月 04 日（第 15 次檢測）</w:t>
      </w:r>
    </w:p>
    <w:p>
      <w:pPr>
        <w:spacing w:after="480"/>
        <w:jc w:val="center"/>
      </w:pPr>
      <w:r>
        <w:rPr>
          <w:rFonts w:ascii="微軟正黑體" w:cs="微軟正黑體" w:eastAsia="微軟正黑體" w:hAnsi="微軟正黑體"/>
          <w:color w:val="555555"/>
          <w:sz w:val="24"/>
          <w:szCs w:val="24"/>
        </w:rPr>
        <w:t xml:space="preserve">前端版本：20260904-1210　後端版本：20260904-1210</w:t>
      </w:r>
    </w:p>
    <w:p>
      <w:pPr>
        <w:jc w:val="center"/>
      </w:pPr>
      <w:r>
        <w:rPr>
          <w:rFonts w:ascii="微軟正黑體" w:cs="微軟正黑體" w:eastAsia="微軟正黑體" w:hAnsi="微軟正黑體"/>
          <w:b/>
          <w:bCs/>
          <w:color w:val="15803D"/>
          <w:sz w:val="34"/>
          <w:szCs w:val="34"/>
        </w:rPr>
        <w:t xml:space="preserve">整體判斷：允許部署</w:t>
      </w:r>
    </w:p>
    <w:p>
      <w:r>
        <w:br w:type="page"/>
      </w:r>
    </w:p>
    <w:p>
      <w:pPr>
        <w:pStyle w:val="Heading1"/>
        <w:spacing w:after="180" w:before="320"/>
      </w:pPr>
      <w:r>
        <w:rPr>
          <w:rFonts w:ascii="微軟正黑體" w:cs="微軟正黑體" w:eastAsia="微軟正黑體" w:hAnsi="微軟正黑體"/>
          <w:b/>
          <w:bCs/>
          <w:sz w:val="30"/>
          <w:szCs w:val="30"/>
        </w:rPr>
        <w:t xml:space="preserve">1. 執行摘要</w:t>
      </w:r>
    </w:p>
    <w:p>
      <w:pPr>
        <w:pStyle w:val="Heading2"/>
        <w:spacing w:after="140" w:before="240"/>
      </w:pPr>
      <w:r>
        <w:rPr>
          <w:rFonts w:ascii="微軟正黑體" w:cs="微軟正黑體" w:eastAsia="微軟正黑體" w:hAnsi="微軟正黑體"/>
          <w:b/>
          <w:bCs/>
          <w:sz w:val="26"/>
          <w:szCs w:val="26"/>
        </w:rPr>
        <w:t xml:space="preserve">1.1 本次掃描範圍</w:t>
      </w:r>
    </w:p>
    <w:p>
      <w:pPr>
        <w:spacing w:after="120" w:line="30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本次檢測針對 2026-09-04 中午的四項變更。這一批同時動到後端 Google Apps Script 與前端，是近期範圍最大的一次：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A 名單查詢改為雙鍵（後端新增 findRoster、前端新增 recLookupOf）—— 店名優先、店號備援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B getInspectedCodes 一併回傳店名，前端「這家店本月點過了嗎」改為店號或店名任一命中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C 編輯既有紀錄回填名單時加上店名備援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D 匯入店鋪名單／店鋪主檔時偵測「同一家店改了店號」並在匯入結果中明確列出</w:t>
      </w:r>
    </w:p>
    <w:p>
      <w:pPr>
        <w:spacing w:after="120" w:line="30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修的問題：門市會重新編號，同一家店在新舊名單各是不同店號（2026 年 9 月實際發生 13 家）。而系統多數比對以店號為鍵，改號後那家店會重新被視為「未點檢」—— 可能被重複點檢，逐店的名單表也會與課別 KPI 互相矛盾。這些後果全部不會報錯，是靜默的資料正確性問題，不是安全問題。</w:t>
      </w:r>
    </w:p>
    <w:p>
      <w:pPr>
        <w:spacing w:after="120" w:line="30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使用者確認的領域規則是「店鋪會有新舊店號的問題，所以是以店名為主」。實測 115 年 9 月名單 1323 家店，店名（含去尾字「店」之後）零重複，因此店名可作為唯一鍵。</w:t>
      </w:r>
    </w:p>
    <w:p>
      <w:pPr>
        <w:spacing w:after="120" w:line="30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連帶新增回歸測試 backend/test/storeIdentity.test.js，並修正五份既有測試。全專案 56 份測試全數通過，四項修正加上「前後端正規化規則一致」共五項均已反向驗證。</w:t>
      </w:r>
    </w:p>
    <w:p>
      <w:pPr>
        <w:pStyle w:val="Heading2"/>
        <w:spacing w:after="140" w:before="240"/>
      </w:pPr>
      <w:r>
        <w:rPr>
          <w:rFonts w:ascii="微軟正黑體" w:cs="微軟正黑體" w:eastAsia="微軟正黑體" w:hAnsi="微軟正黑體"/>
          <w:b/>
          <w:bCs/>
          <w:sz w:val="26"/>
          <w:szCs w:val="26"/>
        </w:rPr>
        <w:t xml:space="preserve">1.2 漏洞統計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1700"/>
            <w:shd w:fill="E5E7E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/>
                <w:bCs/>
                <w:sz w:val="20"/>
                <w:szCs w:val="20"/>
              </w:rPr>
              <w:t xml:space="preserve">嚴重度</w:t>
            </w:r>
          </w:p>
        </w:tc>
        <w:tc>
          <w:tcPr>
            <w:tcW w:type="dxa" w:w="1100"/>
            <w:shd w:fill="E5E7E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/>
                <w:bCs/>
                <w:sz w:val="20"/>
                <w:szCs w:val="20"/>
              </w:rPr>
              <w:t xml:space="preserve">數量</w:t>
            </w:r>
          </w:p>
        </w:tc>
        <w:tc>
          <w:tcPr>
            <w:tcW w:type="dxa" w:w="6560"/>
            <w:shd w:fill="E5E7E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/>
                <w:bCs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1700"/>
            <w:shd w:fill="FECAC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Critical</w:t>
            </w:r>
          </w:p>
        </w:tc>
        <w:tc>
          <w:tcPr>
            <w:tcW w:type="dxa" w:w="11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65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無</w:t>
            </w:r>
          </w:p>
        </w:tc>
      </w:tr>
      <w:tr>
        <w:tc>
          <w:tcPr>
            <w:tcW w:type="dxa" w:w="1700"/>
            <w:shd w:fill="FED7A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1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65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無</w:t>
            </w:r>
          </w:p>
        </w:tc>
      </w:tr>
      <w:tr>
        <w:tc>
          <w:tcPr>
            <w:tcW w:type="dxa" w:w="1700"/>
            <w:shd w:fill="FEF08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11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65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無</w:t>
            </w:r>
          </w:p>
        </w:tc>
      </w:tr>
      <w:tr>
        <w:tc>
          <w:tcPr>
            <w:tcW w:type="dxa" w:w="1700"/>
            <w:shd w:fill="BBF7D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  <w:tc>
          <w:tcPr>
            <w:tcW w:type="dxa" w:w="11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65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無</w:t>
            </w:r>
          </w:p>
        </w:tc>
      </w:tr>
      <w:tr>
        <w:tc>
          <w:tcPr>
            <w:tcW w:type="dxa" w:w="1700"/>
            <w:shd w:fill="BAE6F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Info</w:t>
            </w:r>
          </w:p>
        </w:tc>
        <w:tc>
          <w:tcPr>
            <w:tcW w:type="dxa" w:w="11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65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一項為新增回傳欄位的暴露面評估，一項為新增讀取的資源評估，均判定可接受</w:t>
            </w:r>
          </w:p>
        </w:tc>
      </w:tr>
    </w:tbl>
    <w:p>
      <w:pPr>
        <w:spacing w:after="200"/>
      </w:pPr>
    </w:p>
    <w:p>
      <w:pPr>
        <w:spacing w:after="120" w:line="300"/>
      </w:pPr>
      <w:r>
        <w:rPr>
          <w:rFonts w:ascii="微軟正黑體" w:cs="微軟正黑體" w:eastAsia="微軟正黑體" w:hAnsi="微軟正黑體"/>
          <w:b/>
          <w:bCs/>
          <w:sz w:val="22"/>
          <w:szCs w:val="22"/>
        </w:rPr>
        <w:t xml:space="preserve">部署建議：新增的後端函式為私有且唯讀，其唯一呼叫端受管理者權限保護；新增的回傳欄位是前端本來就已持有的資料。未發現新增安全漏洞，允許部署。</w:t>
      </w:r>
    </w:p>
    <w:p>
      <w:pPr>
        <w:pStyle w:val="Heading1"/>
        <w:spacing w:after="180" w:before="320"/>
      </w:pPr>
      <w:r>
        <w:rPr>
          <w:rFonts w:ascii="微軟正黑體" w:cs="微軟正黑體" w:eastAsia="微軟正黑體" w:hAnsi="微軟正黑體"/>
          <w:b/>
          <w:bCs/>
          <w:sz w:val="30"/>
          <w:szCs w:val="30"/>
        </w:rPr>
        <w:t xml:space="preserve">2. 檢測項目與結果</w:t>
      </w:r>
    </w:p>
    <w:p>
      <w:pPr>
        <w:pStyle w:val="Heading2"/>
        <w:spacing w:after="140" w:before="240"/>
      </w:pPr>
      <w:r>
        <w:rPr>
          <w:rFonts w:ascii="微軟正黑體" w:cs="微軟正黑體" w:eastAsia="微軟正黑體" w:hAnsi="微軟正黑體"/>
          <w:b/>
          <w:bCs/>
          <w:sz w:val="26"/>
          <w:szCs w:val="26"/>
        </w:rPr>
        <w:t xml:space="preserve">2.1 逐項檢核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500"/>
            <w:shd w:fill="E5E7E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/>
                <w:bCs/>
                <w:sz w:val="20"/>
                <w:szCs w:val="20"/>
              </w:rPr>
              <w:t xml:space="preserve">檢測項目</w:t>
            </w:r>
          </w:p>
        </w:tc>
        <w:tc>
          <w:tcPr>
            <w:tcW w:type="dxa" w:w="2100"/>
            <w:shd w:fill="E5E7E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/>
                <w:bCs/>
                <w:sz w:val="20"/>
                <w:szCs w:val="20"/>
              </w:rPr>
              <w:t xml:space="preserve">分類</w:t>
            </w:r>
          </w:p>
        </w:tc>
        <w:tc>
          <w:tcPr>
            <w:tcW w:type="dxa" w:w="3760"/>
            <w:shd w:fill="E5E7E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/>
                <w:bCs/>
                <w:sz w:val="20"/>
                <w:szCs w:val="20"/>
              </w:rPr>
              <w:t xml:space="preserve">結果</w:t>
            </w:r>
          </w:p>
        </w:tc>
      </w:tr>
      <w:tr>
        <w:tc>
          <w:tcPr>
            <w:tcW w:type="dxa" w:w="3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SQL / Command Injection、eval、new Function</w:t>
            </w:r>
          </w:p>
        </w:tc>
        <w:tc>
          <w:tcPr>
            <w:tcW w:type="dxa" w:w="21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OWASP A03</w:t>
            </w:r>
          </w:p>
        </w:tc>
        <w:tc>
          <w:tcPr>
            <w:tcW w:type="dxa" w:w="37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未發現；變更處為字串正規化、索引查表與陣列比對</w:t>
            </w:r>
          </w:p>
        </w:tc>
      </w:tr>
      <w:tr>
        <w:tc>
          <w:tcPr>
            <w:tcW w:type="dxa" w:w="3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XSS（innerHTML / dangerouslySetInnerHTML）</w:t>
            </w:r>
          </w:p>
        </w:tc>
        <w:tc>
          <w:tcPr>
            <w:tcW w:type="dxa" w:w="21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OWASP A03</w:t>
            </w:r>
          </w:p>
        </w:tc>
        <w:tc>
          <w:tcPr>
            <w:tcW w:type="dxa" w:w="37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未發現；店號異動清單以 alert() 純文字呈現，未進入任何 HTML</w:t>
            </w:r>
          </w:p>
        </w:tc>
      </w:tr>
      <w:tr>
        <w:tc>
          <w:tcPr>
            <w:tcW w:type="dxa" w:w="3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試算表公式注入</w:t>
            </w:r>
          </w:p>
        </w:tc>
        <w:tc>
          <w:tcPr>
            <w:tcW w:type="dxa" w:w="21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OWASP A03 / CWE-1236</w:t>
            </w:r>
          </w:p>
        </w:tc>
        <w:tc>
          <w:tcPr>
            <w:tcW w:type="dxa" w:w="37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未發現；本次沒有新增任何寫入路徑，既有寫入仍經 safeCell_() 處理</w:t>
            </w:r>
          </w:p>
        </w:tc>
      </w:tr>
      <w:tr>
        <w:tc>
          <w:tcPr>
            <w:tcW w:type="dxa" w:w="3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硬編碼密碼 / API Key / Token</w:t>
            </w:r>
          </w:p>
        </w:tc>
        <w:tc>
          <w:tcPr>
            <w:tcW w:type="dxa" w:w="21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OWASP A02 DevSecOps 技能 2</w:t>
            </w:r>
          </w:p>
        </w:tc>
        <w:tc>
          <w:tcPr>
            <w:tcW w:type="dxa" w:w="37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未發現</w:t>
            </w:r>
          </w:p>
        </w:tc>
      </w:tr>
      <w:tr>
        <w:tc>
          <w:tcPr>
            <w:tcW w:type="dxa" w:w="3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敏感資訊寫入日誌</w:t>
            </w:r>
          </w:p>
        </w:tc>
        <w:tc>
          <w:tcPr>
            <w:tcW w:type="dxa" w:w="21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OWASP A02</w:t>
            </w:r>
          </w:p>
        </w:tc>
        <w:tc>
          <w:tcPr>
            <w:tcW w:type="dxa" w:w="37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未發現；未新增任何記錄呼叫</w:t>
            </w:r>
          </w:p>
        </w:tc>
      </w:tr>
      <w:tr>
        <w:tc>
          <w:tcPr>
            <w:tcW w:type="dxa" w:w="3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存取控制（新增的後端函式）</w:t>
            </w:r>
          </w:p>
        </w:tc>
        <w:tc>
          <w:tcPr>
            <w:tcW w:type="dxa" w:w="21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OWASP A01</w:t>
            </w:r>
          </w:p>
        </w:tc>
        <w:tc>
          <w:tcPr>
            <w:tcW w:type="dxa" w:w="37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見 2.2 —— diffStoreCodes_ 為私有且唯讀，唯一呼叫端 importMaster 在 ADMIN_ONLY 清單內</w:t>
            </w:r>
          </w:p>
        </w:tc>
      </w:tr>
      <w:tr>
        <w:tc>
          <w:tcPr>
            <w:tcW w:type="dxa" w:w="3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過度資料暴露（新增回傳欄位）</w:t>
            </w:r>
          </w:p>
        </w:tc>
        <w:tc>
          <w:tcPr>
            <w:tcW w:type="dxa" w:w="21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OWASP A01 / A03</w:t>
            </w:r>
          </w:p>
        </w:tc>
        <w:tc>
          <w:tcPr>
            <w:tcW w:type="dxa" w:w="37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見 2.3（Info，判定為無新增暴露）</w:t>
            </w:r>
          </w:p>
        </w:tc>
      </w:tr>
      <w:tr>
        <w:tc>
          <w:tcPr>
            <w:tcW w:type="dxa" w:w="3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加密與驗證、弱亂數</w:t>
            </w:r>
          </w:p>
        </w:tc>
        <w:tc>
          <w:tcPr>
            <w:tcW w:type="dxa" w:w="21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OWASP A02</w:t>
            </w:r>
          </w:p>
        </w:tc>
        <w:tc>
          <w:tcPr>
            <w:tcW w:type="dxa" w:w="37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未觸及</w:t>
            </w:r>
          </w:p>
        </w:tc>
      </w:tr>
      <w:tr>
        <w:tc>
          <w:tcPr>
            <w:tcW w:type="dxa" w:w="3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JWT / Session 屬性</w:t>
            </w:r>
          </w:p>
        </w:tc>
        <w:tc>
          <w:tcPr>
            <w:tcW w:type="dxa" w:w="21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OWASP A02 / A07</w:t>
            </w:r>
          </w:p>
        </w:tc>
        <w:tc>
          <w:tcPr>
            <w:tcW w:type="dxa" w:w="37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未觸及；未修改任何認證路徑</w:t>
            </w:r>
          </w:p>
        </w:tc>
      </w:tr>
      <w:tr>
        <w:tc>
          <w:tcPr>
            <w:tcW w:type="dxa" w:w="3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路徑穿越</w:t>
            </w:r>
          </w:p>
        </w:tc>
        <w:tc>
          <w:tcPr>
            <w:tcW w:type="dxa" w:w="21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OWASP A01</w:t>
            </w:r>
          </w:p>
        </w:tc>
        <w:tc>
          <w:tcPr>
            <w:tcW w:type="dxa" w:w="37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未觸及；Drive 路徑仍由 safePathParts_() 與 fileUnderPhotoRoot_() 把關</w:t>
            </w:r>
          </w:p>
        </w:tc>
      </w:tr>
      <w:tr>
        <w:tc>
          <w:tcPr>
            <w:tcW w:type="dxa" w:w="3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CSRF、CORS 設定過寬</w:t>
            </w:r>
          </w:p>
        </w:tc>
        <w:tc>
          <w:tcPr>
            <w:tcW w:type="dxa" w:w="21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OWASP A01</w:t>
            </w:r>
          </w:p>
        </w:tc>
        <w:tc>
          <w:tcPr>
            <w:tcW w:type="dxa" w:w="37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未觸及；ALLOWED_ORIGINS 白名單未變動</w:t>
            </w:r>
          </w:p>
        </w:tc>
      </w:tr>
      <w:tr>
        <w:tc>
          <w:tcPr>
            <w:tcW w:type="dxa" w:w="3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SSRF</w:t>
            </w:r>
          </w:p>
        </w:tc>
        <w:tc>
          <w:tcPr>
            <w:tcW w:type="dxa" w:w="21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OWASP A10</w:t>
            </w:r>
          </w:p>
        </w:tc>
        <w:tc>
          <w:tcPr>
            <w:tcW w:type="dxa" w:w="37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未發現；未新增任何對外請求</w:t>
            </w:r>
          </w:p>
        </w:tc>
      </w:tr>
      <w:tr>
        <w:tc>
          <w:tcPr>
            <w:tcW w:type="dxa" w:w="3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正規表示式阻斷服務（ReDoS）</w:t>
            </w:r>
          </w:p>
        </w:tc>
        <w:tc>
          <w:tcPr>
            <w:tcW w:type="dxa" w:w="21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OWASP A06</w:t>
            </w:r>
          </w:p>
        </w:tc>
        <w:tc>
          <w:tcPr>
            <w:tcW w:type="dxa" w:w="37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未發現；見 2.4</w:t>
            </w:r>
          </w:p>
        </w:tc>
      </w:tr>
      <w:tr>
        <w:tc>
          <w:tcPr>
            <w:tcW w:type="dxa" w:w="3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資源耗用</w:t>
            </w:r>
          </w:p>
        </w:tc>
        <w:tc>
          <w:tcPr>
            <w:tcW w:type="dxa" w:w="21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OWASP A06</w:t>
            </w:r>
          </w:p>
        </w:tc>
        <w:tc>
          <w:tcPr>
            <w:tcW w:type="dxa" w:w="37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見 2.5（Info，判定為可接受）</w:t>
            </w:r>
          </w:p>
        </w:tc>
      </w:tr>
      <w:tr>
        <w:tc>
          <w:tcPr>
            <w:tcW w:type="dxa" w:w="3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版本鎖定</w:t>
            </w:r>
          </w:p>
        </w:tc>
        <w:tc>
          <w:tcPr>
            <w:tcW w:type="dxa" w:w="21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DevSecOps 技能 1</w:t>
            </w:r>
          </w:p>
        </w:tc>
        <w:tc>
          <w:tcPr>
            <w:tcW w:type="dxa" w:w="37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未觸及；未新增任何外部依賴</w:t>
            </w:r>
          </w:p>
        </w:tc>
      </w:tr>
    </w:tbl>
    <w:p>
      <w:pPr>
        <w:pStyle w:val="Heading2"/>
        <w:spacing w:after="140" w:before="240"/>
      </w:pPr>
      <w:r>
        <w:rPr>
          <w:rFonts w:ascii="微軟正黑體" w:cs="微軟正黑體" w:eastAsia="微軟正黑體" w:hAnsi="微軟正黑體"/>
          <w:b/>
          <w:bCs/>
          <w:sz w:val="26"/>
          <w:szCs w:val="26"/>
        </w:rPr>
        <w:t xml:space="preserve">2.2 新增後端函式的存取控制</w:t>
      </w:r>
    </w:p>
    <w:p>
      <w:pPr>
        <w:spacing w:after="120" w:line="30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新增 diffStoreCodes_(sh, head, rows)。三點確認：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命名以底線結尾，屬 Apps Script 慣例的私有函式，不會被當成可呼叫的動作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未出現在 doPost 的動作分派表中，外部無法直接呼叫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唯一呼叫端 importMaster 已在 ADMIN_ONLY 清單內（非管理者會被回「此功能需管理者權限」）</w:t>
      </w:r>
    </w:p>
    <w:p>
      <w:pPr>
        <w:spacing w:after="120" w:line="30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函式本身只讀：內部沒有任何 setValues / appendRow / clearContent / LockService 呼叫（已逐項確認為 0 次），也不自行取鎖 —— 呼叫端已在鎖內。因此它不會造成資料變更，也不會產生新的鎖競爭。</w:t>
      </w:r>
    </w:p>
    <w:p>
      <w:pPr>
        <w:pStyle w:val="Heading2"/>
        <w:spacing w:after="140" w:before="240"/>
      </w:pPr>
      <w:r>
        <w:rPr>
          <w:rFonts w:ascii="微軟正黑體" w:cs="微軟正黑體" w:eastAsia="微軟正黑體" w:hAnsi="微軟正黑體"/>
          <w:b/>
          <w:bCs/>
          <w:sz w:val="26"/>
          <w:szCs w:val="26"/>
        </w:rPr>
        <w:t xml:space="preserve">2.3 Info：getInspectedCodes 新增回傳店名</w:t>
      </w:r>
    </w:p>
    <w:p>
      <w:pPr>
        <w:spacing w:after="120" w:line="30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該路由原本只回傳店號清單，現在一併回傳店名清單（皆已正規化）。</w:t>
      </w:r>
    </w:p>
    <w:p>
      <w:pPr>
        <w:spacing w:after="120" w:line="30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評估：店名不是新的暴露。前端在開場的 bootstrap 就已取得整份本月店鋪名單，內含全部 1323 家店的店號、店名、部別、課別、擔當與地址；本次多回的店名是那份資料的子集，且只回傳「本月已點檢」的部分。呼叫者仍須通過既有的 token 驗證。判定：無新增暴露，不修改（Info）。</w:t>
      </w:r>
    </w:p>
    <w:p>
      <w:pPr>
        <w:spacing w:after="120" w:line="30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讀取量方面，這支路由存在的理由是「不要為了一個欄位去讀整張活頁並解析三個大 JSON 欄」。由一欄改為兩欄（且以單一 getRange 取連續範圍）並不違背該目的。</w:t>
      </w:r>
    </w:p>
    <w:p>
      <w:pPr>
        <w:pStyle w:val="Heading2"/>
        <w:spacing w:after="140" w:before="240"/>
      </w:pPr>
      <w:r>
        <w:rPr>
          <w:rFonts w:ascii="微軟正黑體" w:cs="微軟正黑體" w:eastAsia="微軟正黑體" w:hAnsi="微軟正黑體"/>
          <w:b/>
          <w:bCs/>
          <w:sz w:val="26"/>
          <w:szCs w:val="26"/>
        </w:rPr>
        <w:t xml:space="preserve">2.4 ReDoS 檢核：新增的 normName</w:t>
      </w:r>
    </w:p>
    <w:p>
      <w:pPr>
        <w:spacing w:after="120" w:line="30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前後端各新增／使用同一支店名正規化函式：</w:t>
      </w:r>
    </w:p>
    <w:p>
      <w:pPr>
        <w:shd w:fill="F3F4F6" w:val="clear"/>
        <w:spacing w:after="40" w:line="260"/>
      </w:pPr>
      <w:r>
        <w:rPr>
          <w:rFonts w:ascii="Consolas" w:cs="Consolas" w:eastAsia="Consolas" w:hAnsi="Consolas"/>
          <w:sz w:val="19"/>
          <w:szCs w:val="19"/>
        </w:rPr>
        <w:t xml:space="preserve">function normName(n) { return String(n == null ? '' : n).trim().replace(/店$/, ''); }</w:t>
      </w:r>
    </w:p>
    <w:p>
      <w:pPr>
        <w:spacing w:after="120" w:line="30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/店$/ 是單一字元加結尾錨點，沒有量詞、沒有交替、沒有可回溯結構，比對時間對輸入長度呈線性。輸入僅來自本月名單與自家紀錄，長度受限。判定：無風險。</w:t>
      </w:r>
    </w:p>
    <w:p>
      <w:pPr>
        <w:spacing w:after="120" w:line="30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附帶說明：回歸測試已加入一條斷言，要求前端 app.html 與後端 程式碼.gs 的 normName 規則逐字相同。若兩邊不一致，後端正規化過的店名前端會比不到，防重複點檢將靜默失效 —— 那比不修更危險，因此以測試固定。</w:t>
      </w:r>
    </w:p>
    <w:p>
      <w:pPr>
        <w:pStyle w:val="Heading2"/>
        <w:spacing w:after="140" w:before="240"/>
      </w:pPr>
      <w:r>
        <w:rPr>
          <w:rFonts w:ascii="微軟正黑體" w:cs="微軟正黑體" w:eastAsia="微軟正黑體" w:hAnsi="微軟正黑體"/>
          <w:b/>
          <w:bCs/>
          <w:sz w:val="26"/>
          <w:szCs w:val="26"/>
        </w:rPr>
        <w:t xml:space="preserve">2.5 Info：匯入時多讀一次舊資料</w:t>
      </w:r>
    </w:p>
    <w:p>
      <w:pPr>
        <w:spacing w:after="120" w:line="30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diffStoreCodes_ 會在覆蓋前讀取整張舊表（名單約 1323 列 × 41 欄）以比對店號異動。</w:t>
      </w:r>
    </w:p>
    <w:p>
      <w:pPr>
        <w:spacing w:after="120" w:line="30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評估：其呼叫端 importMaster 本來就會清空並重寫整張表，多一次讀取屬同一數量級，且僅發生在管理者手動匯入時（非現場稽核人員的高頻路徑）。前端訊息也已限制最多列出 20 家、其餘只給總數，避免一次改號數百家時產生超長對話框。判定：可接受，不修改（Info）。</w:t>
      </w:r>
    </w:p>
    <w:p>
      <w:pPr>
        <w:pStyle w:val="Heading1"/>
        <w:spacing w:after="180" w:before="320"/>
      </w:pPr>
      <w:r>
        <w:rPr>
          <w:rFonts w:ascii="微軟正黑體" w:cs="微軟正黑體" w:eastAsia="微軟正黑體" w:hAnsi="微軟正黑體"/>
          <w:b/>
          <w:bCs/>
          <w:sz w:val="30"/>
          <w:szCs w:val="30"/>
        </w:rPr>
        <w:t xml:space="preserve">3. 變更影響面確認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600"/>
            <w:shd w:fill="E5E7E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/>
                <w:bCs/>
                <w:sz w:val="20"/>
                <w:szCs w:val="20"/>
              </w:rPr>
              <w:t xml:space="preserve">變更</w:t>
            </w:r>
          </w:p>
        </w:tc>
        <w:tc>
          <w:tcPr>
            <w:tcW w:type="dxa" w:w="1700"/>
            <w:shd w:fill="E5E7E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/>
                <w:bCs/>
                <w:sz w:val="20"/>
                <w:szCs w:val="20"/>
              </w:rPr>
              <w:t xml:space="preserve">是否觸及安全邊界</w:t>
            </w:r>
          </w:p>
        </w:tc>
        <w:tc>
          <w:tcPr>
            <w:tcW w:type="dxa" w:w="5060"/>
            <w:shd w:fill="E5E7E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/>
                <w:bCs/>
                <w:sz w:val="20"/>
                <w:szCs w:val="20"/>
              </w:rPr>
              <w:t xml:space="preserve">依據</w:t>
            </w:r>
          </w:p>
        </w:tc>
      </w:tr>
      <w:tr>
        <w:tc>
          <w:tcPr>
            <w:tcW w:type="dxa" w:w="2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findRoster / recLookupOf（雙鍵查表）</w:t>
            </w:r>
          </w:p>
        </w:tc>
        <w:tc>
          <w:tcPr>
            <w:tcW w:type="dxa" w:w="17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否</w:t>
            </w:r>
          </w:p>
        </w:tc>
        <w:tc>
          <w:tcPr>
            <w:tcW w:type="dxa" w:w="50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純索引查表，資料來源與呼叫者權限完全未變。查不到時回空物件／null，與改動前的降級行為一致</w:t>
            </w:r>
          </w:p>
        </w:tc>
      </w:tr>
      <w:tr>
        <w:tc>
          <w:tcPr>
            <w:tcW w:type="dxa" w:w="2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getInspectedCodes 多回店名</w:t>
            </w:r>
          </w:p>
        </w:tc>
        <w:tc>
          <w:tcPr>
            <w:tcW w:type="dxa" w:w="17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否</w:t>
            </w:r>
          </w:p>
        </w:tc>
        <w:tc>
          <w:tcPr>
            <w:tcW w:type="dxa" w:w="50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回傳的是前端已持有資料的子集；token 驗證未變。見 2.3</w:t>
            </w:r>
          </w:p>
        </w:tc>
      </w:tr>
      <w:tr>
        <w:tc>
          <w:tcPr>
            <w:tcW w:type="dxa" w:w="2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編輯回填加店名備援</w:t>
            </w:r>
          </w:p>
        </w:tc>
        <w:tc>
          <w:tcPr>
            <w:tcW w:type="dxa" w:w="17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否</w:t>
            </w:r>
          </w:p>
        </w:tc>
        <w:tc>
          <w:tcPr>
            <w:tcW w:type="dxa" w:w="50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只影響畫面狀態要填哪一個店號，不涉及任何權限判斷</w:t>
            </w:r>
          </w:p>
        </w:tc>
      </w:tr>
      <w:tr>
        <w:tc>
          <w:tcPr>
            <w:tcW w:type="dxa" w:w="2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diffStoreCodes_ 與匯入結果新增欄位</w:t>
            </w:r>
          </w:p>
        </w:tc>
        <w:tc>
          <w:tcPr>
            <w:tcW w:type="dxa" w:w="17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否</w:t>
            </w:r>
          </w:p>
        </w:tc>
        <w:tc>
          <w:tcPr>
            <w:tcW w:type="dxa" w:w="50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私有、唯讀；唯一呼叫端受 ADMIN_ONLY 保護。見 2.2</w:t>
            </w:r>
          </w:p>
        </w:tc>
      </w:tr>
      <w:tr>
        <w:tc>
          <w:tcPr>
            <w:tcW w:type="dxa" w:w="2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GAS_VERSION 與 NEEDS_GAS 同步升版</w:t>
            </w:r>
          </w:p>
        </w:tc>
        <w:tc>
          <w:tcPr>
            <w:tcW w:type="dxa" w:w="17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否</w:t>
            </w:r>
          </w:p>
        </w:tc>
        <w:tc>
          <w:tcPr>
            <w:tcW w:type="dxa" w:w="50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NEEDS_GAS 只驅動版本旁的提示文字，不阻擋任何功能；四項在舊後端下皆優雅降級（names 缺少時退回只比店號）</w:t>
            </w:r>
          </w:p>
        </w:tc>
      </w:tr>
    </w:tbl>
    <w:p>
      <w:pPr>
        <w:pStyle w:val="Heading1"/>
        <w:spacing w:after="180" w:before="320"/>
      </w:pPr>
      <w:r>
        <w:rPr>
          <w:rFonts w:ascii="微軟正黑體" w:cs="微軟正黑體" w:eastAsia="微軟正黑體" w:hAnsi="微軟正黑體"/>
          <w:b/>
          <w:bCs/>
          <w:sz w:val="30"/>
          <w:szCs w:val="30"/>
        </w:rPr>
        <w:t xml:space="preserve">4. 結論</w:t>
      </w:r>
    </w:p>
    <w:p>
      <w:pPr>
        <w:spacing w:after="120" w:line="30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本次四項變更為索引查表規則、回傳欄位與匯入時的比對報告，未觸及認證、授權、資料傳輸與檔案存取路徑，未發現 Critical / High / Medium / Low 等級漏洞。兩項 Info 經評估均判定可接受。</w:t>
      </w:r>
    </w:p>
    <w:p>
      <w:pPr>
        <w:spacing w:after="120" w:line="30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部署注意事項（非安全問題，但影響正確性）：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後端 程式碼.gs 必須一併貼上並建立新版本。未貼之前前端會在版本旁顯示「需 20260904-1210 以上」，功能不會中斷但店號異動不會被偵測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手機端的名單存在 localStorage 快取。重新匯入名單後，未按「重新載入」的手機仍持有舊店號，會直接反映在新拍照片的檔名上</w:t>
      </w:r>
    </w:p>
    <w:p>
      <w:pPr>
        <w:spacing w:after="120" w:line="30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建議後續追蹤：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後端 submitRecord 的 appendRow 與編輯覆寫的 setValues 應先 setNumberFormat('@')。這是點檢紀錄的店號與員編掉前導零的根因，目前只修了下游症狀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待送紀錄重試達上限後轉為 blocked，而 blocked 的紀錄在畫面上完全看不到、也沒有任何重送入口 —— 與 orphan 照片同屬死路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將 photoQueue 拆成「中繼資料」與「照片位元組」兩個儲存區，以根治接近容量上限時連第一次存入都失敗的情形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專案庫目前為公開，測試檔與交付訊息中含有同事真實姓名，建議儘快決定處理方式（改為化名、或將庫轉為私有）</w:t>
      </w:r>
    </w:p>
    <w:p>
      <w:pPr>
        <w:spacing w:before="300"/>
      </w:pPr>
    </w:p>
    <w:p>
      <w:pPr>
        <w:spacing w:after="120" w:line="300"/>
      </w:pPr>
      <w:r>
        <w:rPr>
          <w:rFonts w:ascii="微軟正黑體" w:cs="微軟正黑體" w:eastAsia="微軟正黑體" w:hAnsi="微軟正黑體"/>
          <w:b/>
          <w:bCs/>
          <w:color w:val="15803D"/>
          <w:sz w:val="26"/>
          <w:szCs w:val="26"/>
        </w:rPr>
        <w:t xml:space="preserve">掃描結果：通過。允許部署。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2026-09-04T05:31:37.529Z</dcterms:created>
  <dcterms:modified xsi:type="dcterms:W3CDTF">2026-09-04T05:31:37.530Z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