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本次異動（班表管理表格容器高度與底部留白調整）：</w:t>
      </w:r>
    </w:p>
    <w:p>
      <w:r>
        <w:rPr>
          <w:sz w:val="22"/>
          <w:szCs w:val="22"/>
        </w:rPr>
        <w:t xml:space="preserve">  1. maxHeight 由 calc(100vh - 260px) 改為 calc(100vh - 220px)，表格可視區域增加 40px</w:t>
      </w:r>
    </w:p>
    <w:p>
      <w:r>
        <w:rPr>
          <w:sz w:val="22"/>
          <w:szCs w:val="22"/>
        </w:rPr>
        <w:t xml:space="preserve">  2. 新增 pb-4（16px）底部內距，使統計列底部留有呼吸空間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 CSS 樣式調整，無任何漏洞，可直接部署。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maxHeight 為純 CSS 計算值，僅影響版面呈現，不引入任何攻擊面。</w:t>
      </w:r>
    </w:p>
    <w:p>
      <w:r>
        <w:rPr>
          <w:sz w:val="22"/>
          <w:szCs w:val="22"/>
        </w:rPr>
        <w:t xml:space="preserve">  pb-4 為 Tailwind CSS utility class，不引入任何 JavaScript 邏輯或資料處理。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純 CSS 樣式調整，無 XSS 或注入風險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2026-08-03T08:27:17.566Z</dcterms:created>
  <dcterms:modified xsi:type="dcterms:W3CDTF">2026-08-03T08:27:17.567Z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