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sz w:val="48"/>
          <w:szCs w:val="48"/>
        </w:rPr>
        <w:t xml:space="preserve">程式碼資安檢測報告</w:t>
      </w:r>
    </w:p>
    <w:p>
      <w:pPr>
        <w:spacing w:after="120"/>
        <w:jc w:val="center"/>
      </w:pPr>
      <w:r>
        <w:rPr>
          <w:color w:val="555555"/>
          <w:sz w:val="28"/>
          <w:szCs w:val="28"/>
        </w:rPr>
        <w:t xml:space="preserve">Security Audit Report</w:t>
      </w:r>
    </w:p>
    <w:p>
      <w:pPr>
        <w:spacing w:after="120"/>
        <w:jc w:val="center"/>
      </w:pPr>
      <w:r>
        <w:rPr>
          <w:sz w:val="22"/>
          <w:szCs w:val="22"/>
        </w:rPr>
        <w:t xml:space="preserve">掃描日期：2026-08-17</w:t>
      </w:r>
    </w:p>
    <w:p>
      <w:pPr>
        <w:spacing w:after="400"/>
        <w:jc w:val="center"/>
      </w:pPr>
      <w:r>
        <w:rPr>
          <w:b/>
          <w:bCs/>
          <w:color w:val="166534"/>
          <w:sz w:val="22"/>
          <w:szCs w:val="22"/>
        </w:rPr>
        <w:t xml:space="preserve">整體判斷：✅ 允許部署（僅 Low / Info）</w:t>
      </w:r>
    </w:p>
    <w:p>
      <w:pPr>
        <w:pStyle w:val="Heading1"/>
        <w:spacing w:after="100" w:before="200"/>
      </w:pPr>
      <w:r>
        <w:rPr>
          <w:b/>
          <w:bCs/>
          <w:sz w:val="28"/>
          <w:szCs w:val="28"/>
        </w:rPr>
        <w:t xml:space="preserve">1. 執行摘要</w:t>
      </w:r>
    </w:p>
    <w:p>
      <w:pPr>
        <w:spacing w:after="80"/>
      </w:pPr>
      <w:r>
        <w:rPr>
          <w:sz w:val="20"/>
          <w:szCs w:val="20"/>
        </w:rPr>
        <w:t xml:space="preserve">掃描範圍：server.cjs（Node.js Express 後端）、ShiftSystem.jsx（React 前端），本次對話新增或修改的程式碼。</w:t>
      </w:r>
    </w:p>
    <w:p>
      <w:pPr>
        <w:spacing w:after="80"/>
      </w:pPr>
      <w:r>
        <w:rPr>
          <w:b/>
          <w:bCs/>
          <w:sz w:val="20"/>
          <w:szCs w:val="20"/>
        </w:rPr>
        <w:t xml:space="preserve">漏洞統計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2000"/>
            <w:shd w:fill="FECACA" w:color="auto" w:val="clear"/>
            <w:tcMar>
              <w:top w:type="dxa" w:w="80"/>
              <w:left w:type="dxa" w:w="120"/>
              <w:bottom w:type="dxa" w:w="80"/>
              <w:right w:type="dxa" w:w="120"/>
            </w:tcMar>
            <w:vAlign w:val="center"/>
          </w:tcPr>
          <w:p>
            <w:r>
              <w:rPr>
                <w:b/>
                <w:bCs/>
                <w:sz w:val="18"/>
                <w:szCs w:val="18"/>
              </w:rPr>
              <w:t xml:space="preserve">Critical</w:t>
            </w:r>
          </w:p>
        </w:tc>
        <w:tc>
          <w:tcPr>
            <w:tcW w:type="dxa" w:w="2000"/>
            <w:shd w:fill="FED7AA" w:color="auto" w:val="clear"/>
            <w:tcMar>
              <w:top w:type="dxa" w:w="80"/>
              <w:left w:type="dxa" w:w="120"/>
              <w:bottom w:type="dxa" w:w="80"/>
              <w:right w:type="dxa" w:w="120"/>
            </w:tcMar>
            <w:vAlign w:val="center"/>
          </w:tcPr>
          <w:p>
            <w:r>
              <w:rPr>
                <w:b/>
                <w:bCs/>
                <w:sz w:val="18"/>
                <w:szCs w:val="18"/>
              </w:rPr>
              <w:t xml:space="preserve">High</w:t>
            </w:r>
          </w:p>
        </w:tc>
        <w:tc>
          <w:tcPr>
            <w:tcW w:type="dxa" w:w="2000"/>
            <w:shd w:fill="FEF08A" w:color="auto" w:val="clear"/>
            <w:tcMar>
              <w:top w:type="dxa" w:w="80"/>
              <w:left w:type="dxa" w:w="120"/>
              <w:bottom w:type="dxa" w:w="80"/>
              <w:right w:type="dxa" w:w="120"/>
            </w:tcMar>
            <w:vAlign w:val="center"/>
          </w:tcPr>
          <w:p>
            <w:r>
              <w:rPr>
                <w:b/>
                <w:bCs/>
                <w:sz w:val="18"/>
                <w:szCs w:val="18"/>
              </w:rPr>
              <w:t xml:space="preserve">Medium</w:t>
            </w:r>
          </w:p>
        </w:tc>
        <w:tc>
          <w:tcPr>
            <w:tcW w:type="dxa" w:w="2000"/>
            <w:shd w:fill="BBF7D0" w:color="auto" w:val="clear"/>
            <w:tcMar>
              <w:top w:type="dxa" w:w="80"/>
              <w:left w:type="dxa" w:w="120"/>
              <w:bottom w:type="dxa" w:w="80"/>
              <w:right w:type="dxa" w:w="120"/>
            </w:tcMar>
            <w:vAlign w:val="center"/>
          </w:tcPr>
          <w:p>
            <w:r>
              <w:rPr>
                <w:b/>
                <w:bCs/>
                <w:sz w:val="18"/>
                <w:szCs w:val="18"/>
              </w:rPr>
              <w:t xml:space="preserve">Low</w:t>
            </w:r>
          </w:p>
        </w:tc>
        <w:tc>
          <w:tcPr>
            <w:tcW w:type="dxa" w:w="2000"/>
            <w:shd w:fill="BAE6FD" w:color="auto" w:val="clear"/>
            <w:tcMar>
              <w:top w:type="dxa" w:w="80"/>
              <w:left w:type="dxa" w:w="120"/>
              <w:bottom w:type="dxa" w:w="80"/>
              <w:right w:type="dxa" w:w="120"/>
            </w:tcMar>
            <w:vAlign w:val="center"/>
          </w:tcPr>
          <w:p>
            <w:r>
              <w:rPr>
                <w:b/>
                <w:bCs/>
                <w:sz w:val="18"/>
                <w:szCs w:val="18"/>
              </w:rPr>
              <w:t xml:space="preserve">Info</w:t>
            </w:r>
          </w:p>
        </w:tc>
      </w:tr>
      <w:tr>
        <w:tc>
          <w:tcPr>
            <w:tcW w:type="dxa" w:w="2000"/>
            <w:shd w:fill="FFFFFF" w:color="auto" w:val="clear"/>
            <w:tcMar>
              <w:top w:type="dxa" w:w="80"/>
              <w:left w:type="dxa" w:w="120"/>
              <w:bottom w:type="dxa" w:w="80"/>
              <w:right w:type="dxa" w:w="120"/>
            </w:tcMar>
            <w:vAlign w:val="center"/>
          </w:tcPr>
          <w:p>
            <w:r>
              <w:rPr>
                <w:b/>
                <w:bCs/>
                <w:sz w:val="18"/>
                <w:szCs w:val="18"/>
              </w:rPr>
              <w:t xml:space="preserve">0</w:t>
            </w:r>
          </w:p>
        </w:tc>
        <w:tc>
          <w:tcPr>
            <w:tcW w:type="dxa" w:w="2000"/>
            <w:shd w:fill="FFFFFF" w:color="auto" w:val="clear"/>
            <w:tcMar>
              <w:top w:type="dxa" w:w="80"/>
              <w:left w:type="dxa" w:w="120"/>
              <w:bottom w:type="dxa" w:w="80"/>
              <w:right w:type="dxa" w:w="120"/>
            </w:tcMar>
            <w:vAlign w:val="center"/>
          </w:tcPr>
          <w:p>
            <w:r>
              <w:rPr>
                <w:b/>
                <w:bCs/>
                <w:sz w:val="18"/>
                <w:szCs w:val="18"/>
              </w:rPr>
              <w:t xml:space="preserve">0</w:t>
            </w:r>
          </w:p>
        </w:tc>
        <w:tc>
          <w:tcPr>
            <w:tcW w:type="dxa" w:w="2000"/>
            <w:shd w:fill="FFFFFF" w:color="auto" w:val="clear"/>
            <w:tcMar>
              <w:top w:type="dxa" w:w="80"/>
              <w:left w:type="dxa" w:w="120"/>
              <w:bottom w:type="dxa" w:w="80"/>
              <w:right w:type="dxa" w:w="120"/>
            </w:tcMar>
            <w:vAlign w:val="center"/>
          </w:tcPr>
          <w:p>
            <w:r>
              <w:rPr>
                <w:b/>
                <w:bCs/>
                <w:sz w:val="18"/>
                <w:szCs w:val="18"/>
              </w:rPr>
              <w:t xml:space="preserve">0</w:t>
            </w:r>
          </w:p>
        </w:tc>
        <w:tc>
          <w:tcPr>
            <w:tcW w:type="dxa" w:w="2000"/>
            <w:shd w:fill="FFFFFF" w:color="auto" w:val="clear"/>
            <w:tcMar>
              <w:top w:type="dxa" w:w="80"/>
              <w:left w:type="dxa" w:w="120"/>
              <w:bottom w:type="dxa" w:w="80"/>
              <w:right w:type="dxa" w:w="120"/>
            </w:tcMar>
            <w:vAlign w:val="center"/>
          </w:tcPr>
          <w:p>
            <w:r>
              <w:rPr>
                <w:b/>
                <w:bCs/>
                <w:sz w:val="18"/>
                <w:szCs w:val="18"/>
              </w:rPr>
              <w:t xml:space="preserve">1</w:t>
            </w:r>
          </w:p>
        </w:tc>
        <w:tc>
          <w:tcPr>
            <w:tcW w:type="dxa" w:w="2000"/>
            <w:shd w:fill="FFFFFF" w:color="auto" w:val="clear"/>
            <w:tcMar>
              <w:top w:type="dxa" w:w="80"/>
              <w:left w:type="dxa" w:w="120"/>
              <w:bottom w:type="dxa" w:w="80"/>
              <w:right w:type="dxa" w:w="120"/>
            </w:tcMar>
            <w:vAlign w:val="center"/>
          </w:tcPr>
          <w:p>
            <w:r>
              <w:rPr>
                <w:b/>
                <w:bCs/>
                <w:sz w:val="18"/>
                <w:szCs w:val="18"/>
              </w:rPr>
              <w:t xml:space="preserve">1</w:t>
            </w:r>
          </w:p>
        </w:tc>
      </w:tr>
    </w:tbl>
    <w:p>
      <w:pPr>
        <w:spacing w:after="80"/>
      </w:pPr>
      <w:r>
        <w:rPr>
          <w:sz w:val="20"/>
          <w:szCs w:val="20"/>
        </w:rPr>
        <w:t xml:space="preserve"/>
      </w:r>
    </w:p>
    <w:p>
      <w:pPr>
        <w:spacing w:after="80"/>
      </w:pPr>
      <w:r>
        <w:rPr>
          <w:sz w:val="20"/>
          <w:szCs w:val="20"/>
        </w:rPr>
        <w:t xml:space="preserve">部署建議：無 Critical / High / Medium 漏洞，允許部署。</w:t>
      </w:r>
    </w:p>
    <w:p>
      <w:pPr>
        <w:pStyle w:val="Heading1"/>
        <w:spacing w:after="100" w:before="200"/>
      </w:pPr>
      <w:r>
        <w:rPr>
          <w:b/>
          <w:bCs/>
          <w:sz w:val="28"/>
          <w:szCs w:val="28"/>
        </w:rPr>
        <w:t xml:space="preserve">2. 漏洞詳細清單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500"/>
        <w:gridCol w:w="1800"/>
        <w:gridCol w:w="2600"/>
      </w:tblGrid>
      <w:tr>
        <w:tc>
          <w:tcPr>
            <w:tcW w:type="dxa" w:w="900"/>
            <w:shd w:fill="E2E8F0" w:color="auto" w:val="clear"/>
            <w:tcMar>
              <w:top w:type="dxa" w:w="80"/>
              <w:left w:type="dxa" w:w="120"/>
              <w:bottom w:type="dxa" w:w="80"/>
              <w:right w:type="dxa" w:w="120"/>
            </w:tcMar>
            <w:vAlign w:val="center"/>
          </w:tcPr>
          <w:p>
            <w:r>
              <w:rPr>
                <w:b/>
                <w:bCs/>
                <w:sz w:val="18"/>
                <w:szCs w:val="18"/>
              </w:rPr>
              <w:t xml:space="preserve">嚴重度</w:t>
            </w:r>
          </w:p>
        </w:tc>
        <w:tc>
          <w:tcPr>
            <w:tcW w:type="dxa" w:w="1200"/>
            <w:shd w:fill="E2E8F0" w:color="auto" w:val="clear"/>
            <w:tcMar>
              <w:top w:type="dxa" w:w="80"/>
              <w:left w:type="dxa" w:w="120"/>
              <w:bottom w:type="dxa" w:w="80"/>
              <w:right w:type="dxa" w:w="120"/>
            </w:tcMar>
            <w:vAlign w:val="center"/>
          </w:tcPr>
          <w:p>
            <w:r>
              <w:rPr>
                <w:b/>
                <w:bCs/>
                <w:sz w:val="18"/>
                <w:szCs w:val="18"/>
              </w:rPr>
              <w:t xml:space="preserve">分類</w:t>
            </w:r>
          </w:p>
        </w:tc>
        <w:tc>
          <w:tcPr>
            <w:tcW w:type="dxa" w:w="2500"/>
            <w:shd w:fill="E2E8F0" w:color="auto" w:val="clear"/>
            <w:tcMar>
              <w:top w:type="dxa" w:w="80"/>
              <w:left w:type="dxa" w:w="120"/>
              <w:bottom w:type="dxa" w:w="80"/>
              <w:right w:type="dxa" w:w="120"/>
            </w:tcMar>
            <w:vAlign w:val="center"/>
          </w:tcPr>
          <w:p>
            <w:r>
              <w:rPr>
                <w:b/>
                <w:bCs/>
                <w:sz w:val="18"/>
                <w:szCs w:val="18"/>
              </w:rPr>
              <w:t xml:space="preserve">問題描述</w:t>
            </w:r>
          </w:p>
        </w:tc>
        <w:tc>
          <w:tcPr>
            <w:tcW w:type="dxa" w:w="1800"/>
            <w:shd w:fill="E2E8F0" w:color="auto" w:val="clear"/>
            <w:tcMar>
              <w:top w:type="dxa" w:w="80"/>
              <w:left w:type="dxa" w:w="120"/>
              <w:bottom w:type="dxa" w:w="80"/>
              <w:right w:type="dxa" w:w="120"/>
            </w:tcMar>
            <w:vAlign w:val="center"/>
          </w:tcPr>
          <w:p>
            <w:r>
              <w:rPr>
                <w:b/>
                <w:bCs/>
                <w:sz w:val="18"/>
                <w:szCs w:val="18"/>
              </w:rPr>
              <w:t xml:space="preserve">位置</w:t>
            </w:r>
          </w:p>
        </w:tc>
        <w:tc>
          <w:tcPr>
            <w:tcW w:type="dxa" w:w="2600"/>
            <w:shd w:fill="E2E8F0" w:color="auto" w:val="clear"/>
            <w:tcMar>
              <w:top w:type="dxa" w:w="80"/>
              <w:left w:type="dxa" w:w="120"/>
              <w:bottom w:type="dxa" w:w="80"/>
              <w:right w:type="dxa" w:w="120"/>
            </w:tcMar>
            <w:vAlign w:val="center"/>
          </w:tcPr>
          <w:p>
            <w:r>
              <w:rPr>
                <w:b/>
                <w:bCs/>
                <w:sz w:val="18"/>
                <w:szCs w:val="18"/>
              </w:rPr>
              <w:t xml:space="preserve">修復說明</w:t>
            </w:r>
          </w:p>
        </w:tc>
      </w:tr>
      <w:tr>
        <w:tc>
          <w:tcPr>
            <w:tcW w:type="dxa" w:w="900"/>
            <w:shd w:fill="BBF7D0" w:color="auto" w:val="clear"/>
            <w:tcMar>
              <w:top w:type="dxa" w:w="80"/>
              <w:left w:type="dxa" w:w="120"/>
              <w:bottom w:type="dxa" w:w="80"/>
              <w:right w:type="dxa" w:w="120"/>
            </w:tcMar>
            <w:vAlign w:val="center"/>
          </w:tcPr>
          <w:p>
            <w:r>
              <w:rPr>
                <w:b/>
                <w:bCs/>
                <w:sz w:val="18"/>
                <w:szCs w:val="18"/>
              </w:rPr>
              <w:t xml:space="preserve">Low</w:t>
            </w:r>
          </w:p>
        </w:tc>
        <w:tc>
          <w:tcPr>
            <w:tcW w:type="dxa" w:w="1200"/>
            <w:shd w:fill="FFFFFF" w:color="auto" w:val="clear"/>
            <w:tcMar>
              <w:top w:type="dxa" w:w="80"/>
              <w:left w:type="dxa" w:w="120"/>
              <w:bottom w:type="dxa" w:w="80"/>
              <w:right w:type="dxa" w:w="120"/>
            </w:tcMar>
            <w:vAlign w:val="center"/>
          </w:tcPr>
          <w:p>
            <w:r>
              <w:rPr>
                <w:b w:val="false"/>
                <w:bCs w:val="false"/>
                <w:sz w:val="18"/>
                <w:szCs w:val="18"/>
              </w:rPr>
              <w:t xml:space="preserve">OWASP A07</w:t>
            </w:r>
          </w:p>
        </w:tc>
        <w:tc>
          <w:tcPr>
            <w:tcW w:type="dxa" w:w="2500"/>
            <w:shd w:fill="FFFFFF" w:color="auto" w:val="clear"/>
            <w:tcMar>
              <w:top w:type="dxa" w:w="80"/>
              <w:left w:type="dxa" w:w="120"/>
              <w:bottom w:type="dxa" w:w="80"/>
              <w:right w:type="dxa" w:w="120"/>
            </w:tcMar>
            <w:vAlign w:val="center"/>
          </w:tcPr>
          <w:p>
            <w:r>
              <w:rPr>
                <w:b w:val="false"/>
                <w:bCs w:val="false"/>
                <w:sz w:val="18"/>
                <w:szCs w:val="18"/>
              </w:rPr>
              <w:t xml:space="preserve">首次登入以明文 empId 比對密碼</w:t>
            </w:r>
          </w:p>
        </w:tc>
        <w:tc>
          <w:tcPr>
            <w:tcW w:type="dxa" w:w="1800"/>
            <w:shd w:fill="FFFFFF" w:color="auto" w:val="clear"/>
            <w:tcMar>
              <w:top w:type="dxa" w:w="80"/>
              <w:left w:type="dxa" w:w="120"/>
              <w:bottom w:type="dxa" w:w="80"/>
              <w:right w:type="dxa" w:w="120"/>
            </w:tcMar>
            <w:vAlign w:val="center"/>
          </w:tcPr>
          <w:p>
            <w:r>
              <w:rPr>
                <w:b w:val="false"/>
                <w:bCs w:val="false"/>
                <w:sz w:val="18"/>
                <w:szCs w:val="18"/>
              </w:rPr>
              <w:t xml:space="preserve">server.cjs / vendor-login</w:t>
            </w:r>
          </w:p>
        </w:tc>
        <w:tc>
          <w:tcPr>
            <w:tcW w:type="dxa" w:w="2600"/>
            <w:shd w:fill="FFFFFF" w:color="auto" w:val="clear"/>
            <w:tcMar>
              <w:top w:type="dxa" w:w="80"/>
              <w:left w:type="dxa" w:w="120"/>
              <w:bottom w:type="dxa" w:w="80"/>
              <w:right w:type="dxa" w:w="120"/>
            </w:tcMar>
            <w:vAlign w:val="center"/>
          </w:tcPr>
          <w:p>
            <w:r>
              <w:rPr>
                <w:b w:val="false"/>
                <w:bCs w:val="false"/>
                <w:sz w:val="18"/>
                <w:szCs w:val="18"/>
              </w:rPr>
              <w:t xml:space="preserve">已設計 mustChangePassword 強制更換；屬業界常見初始密碼機制，低風險</w:t>
            </w:r>
          </w:p>
        </w:tc>
      </w:tr>
      <w:tr>
        <w:tc>
          <w:tcPr>
            <w:tcW w:type="dxa" w:w="900"/>
            <w:shd w:fill="BAE6FD" w:color="auto" w:val="clear"/>
            <w:tcMar>
              <w:top w:type="dxa" w:w="80"/>
              <w:left w:type="dxa" w:w="120"/>
              <w:bottom w:type="dxa" w:w="80"/>
              <w:right w:type="dxa" w:w="120"/>
            </w:tcMar>
            <w:vAlign w:val="center"/>
          </w:tcPr>
          <w:p>
            <w:r>
              <w:rPr>
                <w:b/>
                <w:bCs/>
                <w:sz w:val="18"/>
                <w:szCs w:val="18"/>
              </w:rPr>
              <w:t xml:space="preserve">Info</w:t>
            </w:r>
          </w:p>
        </w:tc>
        <w:tc>
          <w:tcPr>
            <w:tcW w:type="dxa" w:w="1200"/>
            <w:shd w:fill="FFFFFF" w:color="auto" w:val="clear"/>
            <w:tcMar>
              <w:top w:type="dxa" w:w="80"/>
              <w:left w:type="dxa" w:w="120"/>
              <w:bottom w:type="dxa" w:w="80"/>
              <w:right w:type="dxa" w:w="120"/>
            </w:tcMar>
            <w:vAlign w:val="center"/>
          </w:tcPr>
          <w:p>
            <w:r>
              <w:rPr>
                <w:b w:val="false"/>
                <w:bCs w:val="false"/>
                <w:sz w:val="18"/>
                <w:szCs w:val="18"/>
              </w:rPr>
              <w:t xml:space="preserve">DevSecOps</w:t>
            </w:r>
          </w:p>
        </w:tc>
        <w:tc>
          <w:tcPr>
            <w:tcW w:type="dxa" w:w="2500"/>
            <w:shd w:fill="FFFFFF" w:color="auto" w:val="clear"/>
            <w:tcMar>
              <w:top w:type="dxa" w:w="80"/>
              <w:left w:type="dxa" w:w="120"/>
              <w:bottom w:type="dxa" w:w="80"/>
              <w:right w:type="dxa" w:w="120"/>
            </w:tcMar>
            <w:vAlign w:val="center"/>
          </w:tcPr>
          <w:p>
            <w:r>
              <w:rPr>
                <w:b w:val="false"/>
                <w:bCs w:val="false"/>
                <w:sz w:val="18"/>
                <w:szCs w:val="18"/>
              </w:rPr>
              <w:t xml:space="preserve">vendor schedule payload 無大小限制</w:t>
            </w:r>
          </w:p>
        </w:tc>
        <w:tc>
          <w:tcPr>
            <w:tcW w:type="dxa" w:w="1800"/>
            <w:shd w:fill="FFFFFF" w:color="auto" w:val="clear"/>
            <w:tcMar>
              <w:top w:type="dxa" w:w="80"/>
              <w:left w:type="dxa" w:w="120"/>
              <w:bottom w:type="dxa" w:w="80"/>
              <w:right w:type="dxa" w:w="120"/>
            </w:tcMar>
            <w:vAlign w:val="center"/>
          </w:tcPr>
          <w:p>
            <w:r>
              <w:rPr>
                <w:b w:val="false"/>
                <w:bCs w:val="false"/>
                <w:sz w:val="18"/>
                <w:szCs w:val="18"/>
              </w:rPr>
              <w:t xml:space="preserve">server.cjs / PUT /api/state</w:t>
            </w:r>
          </w:p>
        </w:tc>
        <w:tc>
          <w:tcPr>
            <w:tcW w:type="dxa" w:w="2600"/>
            <w:shd w:fill="FFFFFF" w:color="auto" w:val="clear"/>
            <w:tcMar>
              <w:top w:type="dxa" w:w="80"/>
              <w:left w:type="dxa" w:w="120"/>
              <w:bottom w:type="dxa" w:w="80"/>
              <w:right w:type="dxa" w:w="120"/>
            </w:tcMar>
            <w:vAlign w:val="center"/>
          </w:tcPr>
          <w:p>
            <w:r>
              <w:rPr>
                <w:b w:val="false"/>
                <w:bCs w:val="false"/>
                <w:sz w:val="18"/>
                <w:szCs w:val="18"/>
              </w:rPr>
              <w:t xml:space="preserve">Express body-parser 預設 100kb 已提供基本保護</w:t>
            </w:r>
          </w:p>
        </w:tc>
      </w:tr>
    </w:tbl>
    <w:p>
      <w:pPr>
        <w:pStyle w:val="Heading1"/>
        <w:spacing w:after="100" w:before="200"/>
      </w:pPr>
      <w:r>
        <w:rPr>
          <w:b/>
          <w:bCs/>
          <w:sz w:val="28"/>
          <w:szCs w:val="28"/>
        </w:rPr>
        <w:t xml:space="preserve">3. 結論</w:t>
      </w:r>
    </w:p>
    <w:p>
      <w:pPr>
        <w:spacing w:after="80"/>
      </w:pPr>
      <w:r>
        <w:rPr>
          <w:sz w:val="20"/>
          <w:szCs w:val="20"/>
        </w:rPr>
        <w:t xml:space="preserve">本次掃描未發現 Critical、High 或 Medium 等級漏洞，程式碼通過資安檢測，允許部署至生產環境。</w:t>
      </w:r>
    </w:p>
    <w:p>
      <w:pPr>
        <w:spacing w:after="80"/>
      </w:pPr>
      <w:r>
        <w:rPr>
          <w:sz w:val="20"/>
          <w:szCs w:val="20"/>
        </w:rPr>
        <w:t xml:space="preserve">Low 項目（首次登入以 empId 比對）屬業界常見初始密碼設計，系統已設定 mustChangePassword 強制用戶登入後立即更換密碼，風險可接受。</w:t>
      </w:r>
    </w:p>
    <w:p>
      <w:pPr>
        <w:spacing w:after="80"/>
      </w:pPr>
      <w:r>
        <w:rPr>
          <w:sz w:val="20"/>
          <w:szCs w:val="20"/>
        </w:rPr>
        <w:t xml:space="preserve">建議後續版本可考慮為新建帳號自動產生隨機初始密碼並透過安全管道通知，進一步降低初始憑證暴露風險。</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2026-08-17T08:59:44.705Z</dcterms:created>
  <dcterms:modified xsi:type="dcterms:W3CDTF">2026-08-17T08:59:44.706Z</dcterms:modified>
</cp:coreProperties>
</file>

<file path=docProps/custom.xml><?xml version="1.0" encoding="utf-8"?>
<Properties xmlns="http://schemas.openxmlformats.org/officeDocument/2006/custom-properties" xmlns:vt="http://schemas.openxmlformats.org/officeDocument/2006/docPropsVTypes"/>
</file>