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掃描日期：2026-09-01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整體判斷：允許部署（無 Critical / High / Medium）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掃描範圍：本次共 17 項異動，涵蓋權限申請流程、帳號管理、班表鎖定機制與介面調整。</w:t>
      </w:r>
    </w:p>
    <w:p>
      <w:pPr>
        <w:spacing w:after="80"/>
      </w:pPr>
      <w:r>
        <w:rPr>
          <w:sz w:val="20"/>
          <w:szCs w:val="20"/>
        </w:rPr>
        <w:t xml:space="preserve">主要異動：日翊 AD 權限申請與審核流程（含申請者補件、核准時指定倉別）、廠商帳號申請改為寫入伺服器、班表鎖定改為以課別為單位的三段式控管、開放排班區間限制、連續上班檢核跨週期統一、側邊選單改版。</w:t>
      </w:r>
    </w:p>
    <w:p>
      <w:pPr>
        <w:spacing w:after="80"/>
      </w:pPr>
      <w:r>
        <w:rPr>
          <w:sz w:val="20"/>
          <w:szCs w:val="20"/>
        </w:rPr>
        <w:t xml:space="preserve">權限變更檢視：新增兩個公開端點，但兩者皆不直接授予存取權（一律建立為未核准），實際權限仍須管理員核准；AD 登入關卡則為權限收斂。整體符合最小權限原則。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部署建議：無 Critical / High / Medium 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項目詳細清單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2100"/>
        <w:gridCol w:w="1500"/>
        <w:gridCol w:w="1000"/>
        <w:gridCol w:w="2200"/>
      </w:tblGrid>
      <w:tr>
        <w:tc>
          <w:tcPr>
            <w:tcW w:type="dxa" w:w="9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13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21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問題描述</w:t>
            </w:r>
          </w:p>
        </w:tc>
        <w:tc>
          <w:tcPr>
            <w:tcW w:type="dxa" w:w="15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10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防護說明</w:t>
            </w:r>
          </w:p>
        </w:tc>
      </w:tr>
      <w:tr>
        <w:tc>
          <w:tcPr>
            <w:tcW w:type="dxa" w:w="9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新增公開端點 POST /api/auth/vendor-apply，未登入者即可呼叫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已評估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防護：IP+帳號速率限制、帳號重複檢查、密碼須為前端已雜湊值（pbkdf2:）、欄位長度上限、一律建立 approved=false。不授予任何存取權，須管理員核准後才能登入。</w:t>
            </w:r>
          </w:p>
        </w:tc>
      </w:tr>
      <w:tr>
        <w:tc>
          <w:tcPr>
            <w:tcW w:type="dxa" w:w="9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新增公開端點 POST /api/auth/access-request（權限申請補件）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已評估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須重新通過公司 AD 驗證才受理，避免他人代為送出或竄改申請內容；且僅能更新 approved=false 的帳號，無法改動已核准帳號的顯示名稱。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 登入關卡收緊：驗證通過不再自動視為核准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/api/auth/login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權限收斂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原本任何通過 AD 驗證者皆自動建立並放行，形同無審核。改為僅具日翊/管理員角色者可進入；名單內既有帳號於啟動時自動升級，避免現有使用者被誤擋。</w:t>
            </w:r>
          </w:p>
        </w:tc>
      </w:tr>
      <w:tr>
        <w:tc>
          <w:tcPr>
            <w:tcW w:type="dxa" w:w="9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1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存取控制</w:t>
            </w:r>
          </w:p>
        </w:tc>
        <w:tc>
          <w:tcPr>
            <w:tcW w:type="dxa" w:w="21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課別鎖定與開放排班區間限制為前端判斷</w:t>
            </w:r>
          </w:p>
        </w:tc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isEditable</w:t>
            </w:r>
          </w:p>
        </w:tc>
        <w:tc>
          <w:tcPr>
            <w:tcW w:type="dxa" w:w="1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無需修復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屬作業流程控管而非安全邊界；後端對班表寫入本就有角色與員工範圍限制（vendor 限自身廠商、worker 限自身），前端限制非唯一防線。</w:t>
            </w:r>
          </w:p>
        </w:tc>
      </w:tr>
    </w:tbl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 Critical、High、Medium 等級漏洞。兩項 Low 為新增的公開端點，皆已透過速率限制、身分驗證與「一律建立為未核准」等設計降低風險。程式碼通過資安檢測，允許部署至生產環境。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部署後注意事項：一、原本的全系統鎖定設定不再生效，需至系統設定逐課設定鎖定狀態。二、名單外的既有 AD 帳號（約 5 筆）將需經權限申請審核。三、廠商帳號申請功能為本次新增，先前送出的申請未寫入伺服器，需重新申請。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2026-09-01T02:03:16.389Z</dcterms:created>
  <dcterms:modified xsi:type="dcterms:W3CDTF">2026-09-01T02:03:16.390Z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