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320"/>
      </w:pPr>
      <w:r>
        <w:rPr>
          <w:rFonts w:ascii="Times New Roman" w:cs="Times New Roman" w:eastAsia="Times New Roman" w:hAnsi="Times New Roman"/>
          <w:b/>
          <w:bCs/>
          <w:color w:val="000000"/>
          <w:sz w:val="28"/>
          <w:szCs w:val="28"/>
        </w:rPr>
        <w:t xml:space="preserve">4.7 Aggregation and Measurement</w:t>
      </w:r>
    </w:p>
    <w:p>
      <w:pPr>
        <w:pStyle w:val="Heading3"/>
        <w:spacing w:after="140" w:before="260"/>
      </w:pPr>
      <w:r>
        <w:rPr>
          <w:rFonts w:ascii="Times New Roman" w:cs="Times New Roman" w:eastAsia="Times New Roman" w:hAnsi="Times New Roman"/>
          <w:b/>
          <w:bCs/>
          <w:color w:val="000000"/>
          <w:sz w:val="24"/>
          <w:szCs w:val="24"/>
        </w:rPr>
        <w:t xml:space="preserve">4.7.1 Topic Buckets</w:t>
      </w:r>
    </w:p>
    <w:p>
      <w:pPr>
        <w:spacing w:after="120" w:line="264" w:lineRule="auto"/>
        <w:jc w:val="both"/>
      </w:pPr>
      <w:r>
        <w:rPr>
          <w:rFonts w:ascii="Times New Roman" w:cs="Times New Roman" w:eastAsia="Times New Roman" w:hAnsi="Times New Roman"/>
          <w:b w:val="false"/>
          <w:bCs w:val="false"/>
          <w:i w:val="false"/>
          <w:iCs w:val="false"/>
          <w:sz w:val="21"/>
          <w:szCs w:val="21"/>
        </w:rPr>
        <w:t xml:space="preserve">The analysis proceeds on a level above the 56 MARPOR categories, which are aggregated into nine substantively defined buckets. We call this scheme Aggregation A. The nine buckets are Foreign Policy &amp; Defence, European Integration, Democracy &amp; Political System, Economy, Welfare &amp; Social Policy, Environment, Law &amp; Order and National Identity, Migration and Social Groups (see Appendix E).</w:t>
      </w:r>
    </w:p>
    <w:p>
      <w:pPr>
        <w:spacing w:after="120" w:line="264" w:lineRule="auto"/>
        <w:jc w:val="both"/>
      </w:pPr>
      <w:r>
        <w:rPr>
          <w:rFonts w:ascii="Times New Roman" w:cs="Times New Roman" w:eastAsia="Times New Roman" w:hAnsi="Times New Roman"/>
          <w:b w:val="false"/>
          <w:bCs w:val="false"/>
          <w:i w:val="false"/>
          <w:iCs w:val="false"/>
          <w:sz w:val="21"/>
          <w:szCs w:val="21"/>
        </w:rPr>
        <w:t xml:space="preserve">Two considerations motivate the aggregation. The first is the low reliability of the fine-grained codes. In the silver-standard validation, κ(F) reaches only 0.363 (Section 4.5.2), which is insufficient for substantive claims, and Mikhaylov, Laver and Benoit (2012) show that fine-code misclassification is substantial even among trained human coders. The second is that many of the codes encode directional positions, for example 108 (Pro-EU) against 110 (Contra-EU). A salience measure has to be blind to direction, so codes that differ only in the sign of the position they express belong in the same bucket.</w:t>
      </w:r>
    </w:p>
    <w:p>
      <w:pPr>
        <w:spacing w:after="120" w:line="264" w:lineRule="auto"/>
        <w:jc w:val="both"/>
      </w:pPr>
      <w:r>
        <w:rPr>
          <w:rFonts w:ascii="Times New Roman" w:cs="Times New Roman" w:eastAsia="Times New Roman" w:hAnsi="Times New Roman"/>
          <w:b w:val="false"/>
          <w:bCs w:val="false"/>
          <w:i w:val="false"/>
          <w:iCs w:val="false"/>
          <w:sz w:val="21"/>
          <w:szCs w:val="21"/>
        </w:rPr>
        <w:t xml:space="preserve">The directional analysis rests on a second scheme, called Aggregation B, which redefines four domains as directional sub-buckets and assigns everything else to a residual category. Economy is divided into market liberalism (401, 402, 407, 414) and state intervention (403, 404, 405, 409, 412, 413), together with a third, non-directional bucket for general economic content (408, 410, 411), which remains of interest for the directional analysis even though it carries no ideological direction. Welfare is divided into expansion (503, 504, 506) and retrenchment (505, 507), migration into restrictive (601, 608) and liberal (602, 607), and Europe into pro-EU (108) and contra-EU (110). Aggregation B is not a refinement of Aggregation A. Three codes that Aggregation A places inside these domains carry no direction on the relevant axis and fall into the residual as well, namely 406, 415 and 502, so Aggregation B covers 24 of the 56 codes across nine directional sub-buckets and leaves the remaining 32 in the residual (see Appendix E).</w:t>
      </w:r>
    </w:p>
    <w:p>
      <w:pPr>
        <w:spacing w:after="120" w:line="264" w:lineRule="auto"/>
        <w:jc w:val="both"/>
      </w:pPr>
      <w:r>
        <w:rPr>
          <w:rFonts w:ascii="Times New Roman" w:cs="Times New Roman" w:eastAsia="Times New Roman" w:hAnsi="Times New Roman"/>
          <w:b w:val="false"/>
          <w:bCs w:val="false"/>
          <w:i w:val="false"/>
          <w:iCs w:val="false"/>
          <w:sz w:val="21"/>
          <w:szCs w:val="21"/>
        </w:rPr>
        <w:t xml:space="preserve">One limitation of this directional scheme has to be stated openly. Handbook 4 provides no subcodes, so categories 601 and 602 bundle general appeals to the national way of life with genuine migration positions. The bundling is symmetric in design but not in effect, because 601 is considerably more frequent than 602, so the restrictive bucket absorbs the larger share of content that is not about migration at all. We therefore pre-committed a sensitivity arm that re-splits the migration axis to the clean multiculturalism pair alone, with 608 as the restrictive and 607 as the liberal pole. Its design is fixed here, and its results are reported as arm (5) of the robustness battery (Section 4.9) and in Appendix F.8.</w:t>
      </w:r>
    </w:p>
    <w:p>
      <w:pPr>
        <w:pStyle w:val="Heading3"/>
        <w:spacing w:after="140" w:before="260"/>
      </w:pPr>
      <w:r>
        <w:rPr>
          <w:rFonts w:ascii="Times New Roman" w:cs="Times New Roman" w:eastAsia="Times New Roman" w:hAnsi="Times New Roman"/>
          <w:b/>
          <w:bCs/>
          <w:color w:val="000000"/>
          <w:sz w:val="24"/>
          <w:szCs w:val="24"/>
        </w:rPr>
        <w:t xml:space="preserve">4.7.2 Speech-Side Aggregation and the Primary Specification</w:t>
      </w:r>
    </w:p>
    <w:p>
      <w:pPr>
        <w:spacing w:after="120" w:line="264" w:lineRule="auto"/>
        <w:jc w:val="both"/>
      </w:pPr>
      <w:r>
        <w:rPr>
          <w:rFonts w:ascii="Times New Roman" w:cs="Times New Roman" w:eastAsia="Times New Roman" w:hAnsi="Times New Roman"/>
          <w:sz w:val="21"/>
          <w:szCs w:val="21"/>
        </w:rPr>
        <w:t xml:space="preserve">With the buckets fixed, the aggregation from sentence-level classifier output to per-cell distributions can now be stated. The unit of analysis is the cell, a party × legislative-period combination. Let </w:t>
      </w:r>
      <w:r>
        <w:rPr>
          <w:rFonts w:ascii="Times New Roman" w:cs="Times New Roman" w:eastAsia="Times New Roman" w:hAnsi="Times New Roman"/>
          <w:i/>
          <w:iCs/>
          <w:sz w:val="21"/>
          <w:szCs w:val="21"/>
        </w:rPr>
        <w:t xml:space="preserve">p</w:t>
      </w:r>
      <w:r>
        <w:rPr>
          <w:rFonts w:ascii="Times New Roman" w:cs="Times New Roman" w:eastAsia="Times New Roman" w:hAnsi="Times New Roman"/>
          <w:i/>
          <w:iCs/>
          <w:sz w:val="21"/>
          <w:szCs w:val="21"/>
          <w:vertAlign w:val="subscript"/>
        </w:rPr>
        <w:t xml:space="preserve">s</w:t>
      </w:r>
      <w:r>
        <w:rPr>
          <w:rFonts w:ascii="Times New Roman" w:cs="Times New Roman" w:eastAsia="Times New Roman" w:hAnsi="Times New Roman"/>
          <w:sz w:val="21"/>
          <w:szCs w:val="21"/>
        </w:rPr>
        <w:t xml:space="preserve"> denote, as a column vector, the 56-dimensional posterior distribution ManifestoBERTa assigns to sentence </w:t>
      </w:r>
      <w:r>
        <w:rPr>
          <w:rFonts w:ascii="Times New Roman" w:cs="Times New Roman" w:eastAsia="Times New Roman" w:hAnsi="Times New Roman"/>
          <w:i/>
          <w:iCs/>
          <w:sz w:val="21"/>
          <w:szCs w:val="21"/>
        </w:rPr>
        <w:t xml:space="preserve">s</w:t>
      </w:r>
      <w:r>
        <w:rPr>
          <w:rFonts w:ascii="Times New Roman" w:cs="Times New Roman" w:eastAsia="Times New Roman" w:hAnsi="Times New Roman"/>
          <w:sz w:val="21"/>
          <w:szCs w:val="21"/>
        </w:rPr>
        <w:t xml:space="preserve"> (Section 4.4), and let </w:t>
      </w:r>
      <w:r>
        <w:rPr>
          <w:rFonts w:ascii="Times New Roman" w:cs="Times New Roman" w:eastAsia="Times New Roman" w:hAnsi="Times New Roman"/>
          <w:i/>
          <w:iCs/>
          <w:sz w:val="21"/>
          <w:szCs w:val="21"/>
        </w:rPr>
        <w:t xml:space="preserve">S</w:t>
      </w:r>
      <w:r>
        <w:rPr>
          <w:rFonts w:ascii="Times New Roman" w:cs="Times New Roman" w:eastAsia="Times New Roman" w:hAnsi="Times New Roman"/>
          <w:i/>
          <w:iCs/>
          <w:sz w:val="21"/>
          <w:szCs w:val="21"/>
          <w:vertAlign w:val="subscript"/>
        </w:rPr>
        <w:t xml:space="preserve">c</w:t>
      </w:r>
      <w:r>
        <w:rPr>
          <w:rFonts w:ascii="Times New Roman" w:cs="Times New Roman" w:eastAsia="Times New Roman" w:hAnsi="Times New Roman"/>
          <w:sz w:val="21"/>
          <w:szCs w:val="21"/>
        </w:rPr>
        <w:t xml:space="preserve"> be the set of sentences of cell </w:t>
      </w:r>
      <w:r>
        <w:rPr>
          <w:rFonts w:ascii="Times New Roman" w:cs="Times New Roman" w:eastAsia="Times New Roman" w:hAnsi="Times New Roman"/>
          <w:i/>
          <w:iCs/>
          <w:sz w:val="21"/>
          <w:szCs w:val="21"/>
        </w:rPr>
        <w:t xml:space="preserve">c</w:t>
      </w:r>
      <w:r>
        <w:rPr>
          <w:rFonts w:ascii="Times New Roman" w:cs="Times New Roman" w:eastAsia="Times New Roman" w:hAnsi="Times New Roman"/>
          <w:sz w:val="21"/>
          <w:szCs w:val="21"/>
        </w:rPr>
        <w:t xml:space="preserve"> that pass the active filter, which under the primary specification are the sentences that are neither procedural (Section 4.3.2) nor non-codable (Section 4.6.1). Let </w:t>
      </w:r>
      <w:r>
        <w:rPr>
          <w:rFonts w:ascii="Times New Roman" w:cs="Times New Roman" w:eastAsia="Times New Roman" w:hAnsi="Times New Roman"/>
          <w:i/>
          <w:iCs/>
          <w:sz w:val="21"/>
          <w:szCs w:val="21"/>
        </w:rPr>
        <w:t xml:space="preserve">M</w:t>
      </w:r>
      <w:r>
        <w:rPr>
          <w:rFonts w:ascii="Times New Roman" w:cs="Times New Roman" w:eastAsia="Times New Roman" w:hAnsi="Times New Roman"/>
          <w:sz w:val="21"/>
          <w:szCs w:val="21"/>
        </w:rPr>
        <w:t xml:space="preserve"> be the 56 × 9 indicator matrix of Aggregation A, each of whose rows carries a single one, in the column of the bucket to which that code belongs. The speech-side agenda of cell </w:t>
      </w:r>
      <w:r>
        <w:rPr>
          <w:rFonts w:ascii="Times New Roman" w:cs="Times New Roman" w:eastAsia="Times New Roman" w:hAnsi="Times New Roman"/>
          <w:i/>
          <w:iCs/>
          <w:sz w:val="21"/>
          <w:szCs w:val="21"/>
        </w:rPr>
        <w:t xml:space="preserve">c</w:t>
      </w:r>
      <w:r>
        <w:rPr>
          <w:rFonts w:ascii="Times New Roman" w:cs="Times New Roman" w:eastAsia="Times New Roman" w:hAnsi="Times New Roman"/>
          <w:sz w:val="21"/>
          <w:szCs w:val="21"/>
        </w:rPr>
        <w:t xml:space="preserve"> is then the bucket-mapped sentence mass of the cell, normalised to sum to one:</w:t>
      </w:r>
    </w:p>
    <w:p>
      <w:pPr>
        <w:spacing w:after="200" w:before="200"/>
        <w:jc w:val="center"/>
      </w:pPr>
      <m:oMathPara>
        <m:oMath>
          <m:sSub>
            <m:sSubPr/>
            <m:e>
              <m:r>
                <w:rPr>
                  <w:rFonts w:ascii="Cambria Math" w:hAnsi="Cambria Math"/>
                </w:rPr>
                <m:t>π</m:t>
              </m:r>
            </m:e>
            <m:sub>
              <m:r>
                <w:rPr>
                  <w:rFonts w:ascii="Cambria Math" w:hAnsi="Cambria Math"/>
                </w:rPr>
                <m:t>c</m:t>
              </m:r>
            </m:sub>
          </m:sSub>
          <m:r>
            <w:rPr>
              <w:rFonts w:ascii="Cambria Math" w:hAnsi="Cambria Math"/>
            </w:rPr>
            <m:t>=</m:t>
          </m:r>
          <m:f>
            <m:num>
              <m:nary>
                <m:naryPr>
                  <m:chr m:val="∑"/>
                  <m:limLoc m:val="undOvr"/>
                  <m:supHide m:val="1"/>
                </m:naryPr>
                <m:sub>
                  <m:r>
                    <w:rPr>
                      <w:rFonts w:ascii="Cambria Math" w:hAnsi="Cambria Math"/>
                    </w:rPr>
                    <m:t>s∈</m:t>
                  </m:r>
                  <m:sSub>
                    <m:sSubPr/>
                    <m:e>
                      <m:r>
                        <w:rPr>
                          <w:rFonts w:ascii="Cambria Math" w:hAnsi="Cambria Math"/>
                        </w:rPr>
                        <m:t>S</m:t>
                      </m:r>
                    </m:e>
                    <m:sub>
                      <m:r>
                        <w:rPr>
                          <w:rFonts w:ascii="Cambria Math" w:hAnsi="Cambria Math"/>
                        </w:rPr>
                        <m:t>c</m:t>
                      </m:r>
                    </m:sub>
                  </m:sSub>
                </m:sub>
                <m:sup/>
                <m:e>
                  <m:sSup>
                    <m:sSupPr/>
                    <m:e>
                      <m:r>
                        <w:rPr>
                          <w:rFonts w:ascii="Cambria Math" w:hAnsi="Cambria Math"/>
                        </w:rPr>
                        <m:t>M</m:t>
                      </m:r>
                    </m:e>
                    <m:sup>
                      <m:r>
                        <w:rPr>
                          <w:rFonts w:ascii="Cambria Math" w:hAnsi="Cambria Math"/>
                        </w:rPr>
                        <m:t>T</m:t>
                      </m:r>
                    </m:sup>
                  </m:sSup>
                  <m:sSub>
                    <m:sSubPr/>
                    <m:e>
                      <m:r>
                        <w:rPr>
                          <w:rFonts w:ascii="Cambria Math" w:hAnsi="Cambria Math"/>
                        </w:rPr>
                        <m:t>p</m:t>
                      </m:r>
                    </m:e>
                    <m:sub>
                      <m:r>
                        <w:rPr>
                          <w:rFonts w:ascii="Cambria Math" w:hAnsi="Cambria Math"/>
                        </w:rPr>
                        <m:t>s</m:t>
                      </m:r>
                    </m:sub>
                  </m:sSub>
                </m:e>
              </m:nary>
            </m:num>
            <m:den>
              <m:sSup>
                <m:sSupPr/>
                <m:e>
                  <m:r>
                    <m:rPr>
                      <m:sty m:val="b"/>
                    </m:rPr>
                    <w:rPr>
                      <w:rFonts w:ascii="Cambria Math" w:hAnsi="Cambria Math"/>
                    </w:rPr>
                    <m:t>1</m:t>
                  </m:r>
                </m:e>
                <m:sup>
                  <m:r>
                    <w:rPr>
                      <w:rFonts w:ascii="Cambria Math" w:hAnsi="Cambria Math"/>
                    </w:rPr>
                    <m:t>T</m:t>
                  </m:r>
                </m:sup>
              </m:sSup>
              <m:nary>
                <m:naryPr>
                  <m:chr m:val="∑"/>
                  <m:limLoc m:val="undOvr"/>
                  <m:supHide m:val="1"/>
                </m:naryPr>
                <m:sub>
                  <m:r>
                    <w:rPr>
                      <w:rFonts w:ascii="Cambria Math" w:hAnsi="Cambria Math"/>
                    </w:rPr>
                    <m:t>s∈</m:t>
                  </m:r>
                  <m:sSub>
                    <m:sSubPr/>
                    <m:e>
                      <m:r>
                        <w:rPr>
                          <w:rFonts w:ascii="Cambria Math" w:hAnsi="Cambria Math"/>
                        </w:rPr>
                        <m:t>S</m:t>
                      </m:r>
                    </m:e>
                    <m:sub>
                      <m:r>
                        <w:rPr>
                          <w:rFonts w:ascii="Cambria Math" w:hAnsi="Cambria Math"/>
                        </w:rPr>
                        <m:t>c</m:t>
                      </m:r>
                    </m:sub>
                  </m:sSub>
                </m:sub>
                <m:sup/>
                <m:e>
                  <m:sSup>
                    <m:sSupPr/>
                    <m:e>
                      <m:r>
                        <w:rPr>
                          <w:rFonts w:ascii="Cambria Math" w:hAnsi="Cambria Math"/>
                        </w:rPr>
                        <m:t>M</m:t>
                      </m:r>
                    </m:e>
                    <m:sup>
                      <m:r>
                        <w:rPr>
                          <w:rFonts w:ascii="Cambria Math" w:hAnsi="Cambria Math"/>
                        </w:rPr>
                        <m:t>T</m:t>
                      </m:r>
                    </m:sup>
                  </m:sSup>
                  <m:sSub>
                    <m:sSubPr/>
                    <m:e>
                      <m:r>
                        <w:rPr>
                          <w:rFonts w:ascii="Cambria Math" w:hAnsi="Cambria Math"/>
                        </w:rPr>
                        <m:t>p</m:t>
                      </m:r>
                    </m:e>
                    <m:sub>
                      <m:r>
                        <w:rPr>
                          <w:rFonts w:ascii="Cambria Math" w:hAnsi="Cambria Math"/>
                        </w:rPr>
                        <m:t>s</m:t>
                      </m:r>
                    </m:sub>
                  </m:sSub>
                </m:e>
              </m:nary>
            </m:den>
          </m:f>
        </m:oMath>
      </m:oMathPara>
    </w:p>
    <w:p>
      <w:pPr>
        <w:spacing w:after="120" w:line="264" w:lineRule="auto"/>
        <w:jc w:val="both"/>
      </w:pPr>
      <w:r>
        <w:rPr>
          <w:rFonts w:ascii="Times New Roman" w:cs="Times New Roman" w:eastAsia="Times New Roman" w:hAnsi="Times New Roman"/>
          <w:sz w:val="21"/>
          <w:szCs w:val="21"/>
        </w:rPr>
        <w:t xml:space="preserve">where </w:t>
      </w: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is the vector of ones, so that the denominator is the total mass of the numerator. Because </w:t>
      </w:r>
      <w:r>
        <w:rPr>
          <w:rFonts w:ascii="Times New Roman" w:cs="Times New Roman" w:eastAsia="Times New Roman" w:hAnsi="Times New Roman"/>
          <w:i/>
          <w:iCs/>
          <w:sz w:val="21"/>
          <w:szCs w:val="21"/>
        </w:rPr>
        <w:t xml:space="preserve">M</w:t>
      </w:r>
      <w:r>
        <w:rPr>
          <w:rFonts w:ascii="Times New Roman" w:cs="Times New Roman" w:eastAsia="Times New Roman" w:hAnsi="Times New Roman"/>
          <w:sz w:val="21"/>
          <w:szCs w:val="21"/>
        </w:rPr>
        <w:t xml:space="preserve"> assigns every code to exactly one bucket, each mapped posterior is itself a distribution over the nine buckets. The denominator therefore equals the number of sentences in the cell, and </w:t>
      </w:r>
      <w:r>
        <w:rPr>
          <w:rFonts w:ascii="Times New Roman" w:cs="Times New Roman" w:eastAsia="Times New Roman" w:hAnsi="Times New Roman"/>
          <w:i/>
          <w:iCs/>
          <w:sz w:val="21"/>
          <w:szCs w:val="21"/>
        </w:rPr>
        <w:t xml:space="preserve">π</w:t>
      </w:r>
      <w:r>
        <w:rPr>
          <w:rFonts w:ascii="Times New Roman" w:cs="Times New Roman" w:eastAsia="Times New Roman" w:hAnsi="Times New Roman"/>
          <w:i/>
          <w:iCs/>
          <w:sz w:val="21"/>
          <w:szCs w:val="21"/>
          <w:vertAlign w:val="subscript"/>
        </w:rPr>
        <w:t xml:space="preserve">c</w:t>
      </w:r>
      <w:r>
        <w:rPr>
          <w:rFonts w:ascii="Times New Roman" w:cs="Times New Roman" w:eastAsia="Times New Roman" w:hAnsi="Times New Roman"/>
          <w:sz w:val="21"/>
          <w:szCs w:val="21"/>
        </w:rPr>
        <w:t xml:space="preserve"> is the simple mean of the sentence-level bucket vectors. This holds in every arm in which no mass is removed in bucket space, both temperature arms and all three filter levels included. Under Aggregation B the same construction applies with a 56 × 10 matrix whose tenth column is the residual category of Section 4.7.1.</w:t>
      </w:r>
    </w:p>
    <w:p>
      <w:pPr>
        <w:spacing w:after="120" w:line="264" w:lineRule="auto"/>
        <w:jc w:val="both"/>
      </w:pPr>
      <w:r>
        <w:rPr>
          <w:rFonts w:ascii="Times New Roman" w:cs="Times New Roman" w:eastAsia="Times New Roman" w:hAnsi="Times New Roman"/>
          <w:sz w:val="21"/>
          <w:szCs w:val="21"/>
        </w:rPr>
        <w:t xml:space="preserve">The normalisation acquires content only under the 305 exclusion, which subtracts each sentence’s probability mass on code 305 from its Democracy &amp; Political System entry, and under Aggregation B from the residual, before the cell-level normalisation (Section 4.6.2). Each sentence then enters with mass 1 − </w:t>
      </w:r>
      <w:r>
        <w:rPr>
          <w:rFonts w:ascii="Times New Roman" w:cs="Times New Roman" w:eastAsia="Times New Roman" w:hAnsi="Times New Roman"/>
          <w:i/>
          <w:iCs/>
          <w:sz w:val="21"/>
          <w:szCs w:val="21"/>
        </w:rPr>
        <w:t xml:space="preserve">p</w:t>
      </w:r>
      <w:r>
        <w:rPr>
          <w:rFonts w:ascii="Times New Roman" w:cs="Times New Roman" w:eastAsia="Times New Roman" w:hAnsi="Times New Roman"/>
          <w:i/>
          <w:iCs/>
          <w:sz w:val="21"/>
          <w:szCs w:val="21"/>
          <w:vertAlign w:val="subscript"/>
        </w:rPr>
        <w:t xml:space="preserve">s</w:t>
      </w:r>
      <w:r>
        <w:rPr>
          <w:rFonts w:ascii="Times New Roman" w:cs="Times New Roman" w:eastAsia="Times New Roman" w:hAnsi="Times New Roman"/>
          <w:sz w:val="21"/>
          <w:szCs w:val="21"/>
        </w:rPr>
        <w:t xml:space="preserve">(305) rather than one, so that </w:t>
      </w:r>
      <w:r>
        <w:rPr>
          <w:rFonts w:ascii="Times New Roman" w:cs="Times New Roman" w:eastAsia="Times New Roman" w:hAnsi="Times New Roman"/>
          <w:i/>
          <w:iCs/>
          <w:sz w:val="21"/>
          <w:szCs w:val="21"/>
        </w:rPr>
        <w:t xml:space="preserve">π</w:t>
      </w:r>
      <w:r>
        <w:rPr>
          <w:rFonts w:ascii="Times New Roman" w:cs="Times New Roman" w:eastAsia="Times New Roman" w:hAnsi="Times New Roman"/>
          <w:i/>
          <w:iCs/>
          <w:sz w:val="21"/>
          <w:szCs w:val="21"/>
          <w:vertAlign w:val="subscript"/>
        </w:rPr>
        <w:t xml:space="preserve">c</w:t>
      </w:r>
      <w:r>
        <w:rPr>
          <w:rFonts w:ascii="Times New Roman" w:cs="Times New Roman" w:eastAsia="Times New Roman" w:hAnsi="Times New Roman"/>
          <w:sz w:val="21"/>
          <w:szCs w:val="21"/>
        </w:rPr>
        <w:t xml:space="preserve"> becomes the mean of the sentence-level bucket vectors weighted by their non-305 mass. A sentence that is almost entirely political-authority language contributes almost nothing, rather than contributing its remaining mass at full sentence weight. This is the intended reading of the exclusion, and it is the operation applied to the manifesto side as well. The buckets themselves are unchanged. </w:t>
      </w:r>
      <w:r>
        <w:rPr>
          <w:rFonts w:ascii="Times New Roman" w:cs="Times New Roman" w:eastAsia="Times New Roman" w:hAnsi="Times New Roman"/>
          <w:i/>
          <w:iCs/>
          <w:sz w:val="21"/>
          <w:szCs w:val="21"/>
        </w:rPr>
        <w:t xml:space="preserve">π</w:t>
      </w:r>
      <w:r>
        <w:rPr>
          <w:rFonts w:ascii="Times New Roman" w:cs="Times New Roman" w:eastAsia="Times New Roman" w:hAnsi="Times New Roman"/>
          <w:i/>
          <w:iCs/>
          <w:sz w:val="21"/>
          <w:szCs w:val="21"/>
          <w:vertAlign w:val="subscript"/>
        </w:rPr>
        <w:t xml:space="preserve">c</w:t>
      </w:r>
      <w:r>
        <w:rPr>
          <w:rFonts w:ascii="Times New Roman" w:cs="Times New Roman" w:eastAsia="Times New Roman" w:hAnsi="Times New Roman"/>
          <w:sz w:val="21"/>
          <w:szCs w:val="21"/>
        </w:rPr>
        <w:t xml:space="preserve"> remains a point in the nine-bucket simplex, and only the Democracy &amp; Political System bucket is now spanned by eight codes rather than nine.</w:t>
      </w:r>
    </w:p>
    <w:p>
      <w:pPr>
        <w:spacing w:after="120" w:line="264" w:lineRule="auto"/>
        <w:jc w:val="both"/>
      </w:pPr>
      <w:r>
        <w:rPr>
          <w:rFonts w:ascii="Times New Roman" w:cs="Times New Roman" w:eastAsia="Times New Roman" w:hAnsi="Times New Roman"/>
          <w:b w:val="false"/>
          <w:bCs w:val="false"/>
          <w:i w:val="false"/>
          <w:iCs w:val="false"/>
          <w:sz w:val="21"/>
          <w:szCs w:val="21"/>
        </w:rPr>
        <w:t xml:space="preserve">The temperature arms rescale each posterior before the mapping by applying a softmax with temperature τ to its log probabilities. Because log probabilities and logits differ only by a row constant, this is exactly a tempering of the classifier’s logits. The native τ = 1 leaves the posteriors unchanged and defines the primary specification, while the sharpened (τ = 0.5) and the flattened (τ = 2.0) variants run as robustness arms (Section 4.9). Two properties of this arm have to be stated. Tempering acts on the 56 codes and does not commute with the bucket mapping, so it redistributes mass according to how widely a posterior is spread within a bucket. In the limit of full flattening every sentence approaches the distribution of codes across buckets, 26.8 per cent for the fifteen-code Economy bucket against 3.6 per cent for the two-code Environment bucket, rather than the uniform distribution over the buckets themselves. And because the manifesto side carries no posteriors, the arm perturbs only one side of the divergence. It is therefore a bounded sensitivity check on the confidence profile of the speech measurement. Its limit as τ approaches zero is the argmax assignment, which places the sharpened arm on the same axis as the hard-assignment check of Section 4.9 rather than beside it as an independent one.</w:t>
      </w:r>
    </w:p>
    <w:p>
      <w:pPr>
        <w:spacing w:after="120" w:line="264" w:lineRule="auto"/>
        <w:jc w:val="both"/>
      </w:pPr>
      <w:r>
        <w:rPr>
          <w:rFonts w:ascii="Times New Roman" w:cs="Times New Roman" w:eastAsia="Times New Roman" w:hAnsi="Times New Roman"/>
          <w:b w:val="false"/>
          <w:bCs w:val="false"/>
          <w:i w:val="false"/>
          <w:iCs w:val="false"/>
          <w:sz w:val="21"/>
          <w:szCs w:val="21"/>
        </w:rPr>
        <w:t xml:space="preserve">Aggregating full posteriors rather than argmax labels is the defining choice of this step. Its justification is aggregate rather than sentence-level. As Section 4.3.1 notes, the spread of a posterior expresses uncertainty about which single code applies and not a mixture of topics. The sum of posterior mass in a bucket is nevertheless the expected number of the cell’s sentences belonging to it, so the soft sum estimates the cell’s bucket composition directly. Argmax discards precisely the information that separates a sentence the classifier is certain about from one it is not, and across 56 classes it biases the resulting counts towards the categories the classifier favours a priori. What the soft sum carries into the measurement is therefore the expected category frequency and not the uncertainty itself, which is quantified separately in Section 4.7.4.</w:t>
      </w:r>
    </w:p>
    <w:p>
      <w:pPr>
        <w:spacing w:after="120" w:line="264" w:lineRule="auto"/>
        <w:jc w:val="both"/>
      </w:pPr>
      <w:r>
        <w:rPr>
          <w:rFonts w:ascii="Times New Roman" w:cs="Times New Roman" w:eastAsia="Times New Roman" w:hAnsi="Times New Roman"/>
          <w:b w:val="false"/>
          <w:bCs w:val="false"/>
          <w:i w:val="false"/>
          <w:iCs w:val="false"/>
          <w:sz w:val="21"/>
          <w:szCs w:val="21"/>
        </w:rPr>
        <w:t xml:space="preserve">There are three corpus-wide specification decisions that together span the primary and the robustness specifications of the speech side. The first is the filter, which has three levels. The unfiltered corpus retains every sentence, the procedural filter removes procedural sentences (Section 4.3.2), and the full filter additionally removes non-codable ones (Section 4.6.1). The ladder isolates the marginal effect of each filter. The second is the treatment of code 305, which is either included or excluded (Section 4.6.2). We refer to the two levels as the inclusive and the exclusive specification. The third is the decoding temperature, at 0.5, 1 or 2. All combinations are computed in a single pass over the corpus, which yields eighteen specifications per cell and scheme. The primary specification, declared ex ante (Section 4.2), is the full filter with code 305 excluded at the native temperature for scheme A, and the full filter with code 305 included at the native temperature for scheme B, because code 305 maps to no directional sub-bucket and drops out when the directional buckets are renormalised.</w:t>
      </w:r>
    </w:p>
    <w:p>
      <w:pPr>
        <w:spacing w:after="120" w:line="264" w:lineRule="auto"/>
        <w:jc w:val="both"/>
      </w:pPr>
      <w:r>
        <w:rPr>
          <w:rFonts w:ascii="Times New Roman" w:cs="Times New Roman" w:eastAsia="Times New Roman" w:hAnsi="Times New Roman"/>
          <w:b w:val="false"/>
          <w:bCs w:val="false"/>
          <w:i w:val="false"/>
          <w:iCs w:val="false"/>
          <w:sz w:val="21"/>
          <w:szCs w:val="21"/>
        </w:rPr>
        <w:t xml:space="preserve">The manifesto side requires none of these decisions except the treatment of code 305. Manifestos carry human-assigned MARPOR codes rather than classifier posteriors, so there is no temperature to apply. The non-codable share of a manifesto is already removed by the coding procedure itself, since MARPOR leaves uncoded quasi-sentences out of the per-category percentages and the remainder is renormalised to sum to one, so there is no filter axis either. The null-class filter of Section 4.6.1 is the speech-side counterpart of that step. The per-cell manifesto distribution is therefore the observed share of quasi-sentences per code, renormalised across the 56 codes and mapped into bucket space by the same indicator matrix as the speech side. Which manifesto belongs to which cell is fixed by the pairing rule of Section 3.3. The treatment of code 305, however, applies to both sides identically. Under the exclusive specification, code 305 is removed from the manifesto distribution as well and both sides are renormalised, so that speech and manifesto distributions are formed on the same reduced code base (Section 4.6.2). This leaves two manifesto variants against the eighteen speech-side specifications.</w:t>
      </w:r>
    </w:p>
    <w:p>
      <w:pPr>
        <w:pStyle w:val="Heading3"/>
        <w:spacing w:after="140" w:before="260"/>
      </w:pPr>
      <w:r>
        <w:rPr>
          <w:rFonts w:ascii="Times New Roman" w:cs="Times New Roman" w:eastAsia="Times New Roman" w:hAnsi="Times New Roman"/>
          <w:b/>
          <w:bCs/>
          <w:color w:val="000000"/>
          <w:sz w:val="24"/>
          <w:szCs w:val="24"/>
        </w:rPr>
        <w:t xml:space="preserve">4.7.3 The Jensen–Shannon Divergence</w:t>
      </w:r>
    </w:p>
    <w:p>
      <w:pPr>
        <w:spacing w:after="120" w:line="264" w:lineRule="auto"/>
        <w:jc w:val="both"/>
      </w:pPr>
      <w:r>
        <w:rPr>
          <w:rFonts w:ascii="Times New Roman" w:cs="Times New Roman" w:eastAsia="Times New Roman" w:hAnsi="Times New Roman"/>
          <w:sz w:val="21"/>
          <w:szCs w:val="21"/>
        </w:rPr>
        <w:t xml:space="preserve">With the per-cell distributions defined, the comparison of speech and manifesto agendas requires a measure of distance between two distributions over the same buckets. Writing </w:t>
      </w:r>
      <w:r>
        <w:rPr>
          <w:rFonts w:ascii="Times New Roman" w:cs="Times New Roman" w:eastAsia="Times New Roman" w:hAnsi="Times New Roman"/>
          <w:i/>
          <w:iCs/>
          <w:sz w:val="21"/>
          <w:szCs w:val="21"/>
        </w:rPr>
        <w:t xml:space="preserve">p</w:t>
      </w:r>
      <w:r>
        <w:rPr>
          <w:rFonts w:ascii="Times New Roman" w:cs="Times New Roman" w:eastAsia="Times New Roman" w:hAnsi="Times New Roman"/>
          <w:sz w:val="21"/>
          <w:szCs w:val="21"/>
        </w:rPr>
        <w:t xml:space="preserve"> for the speech-side distribution </w:t>
      </w:r>
      <w:r>
        <w:rPr>
          <w:rFonts w:ascii="Times New Roman" w:cs="Times New Roman" w:eastAsia="Times New Roman" w:hAnsi="Times New Roman"/>
          <w:i/>
          <w:iCs/>
          <w:sz w:val="21"/>
          <w:szCs w:val="21"/>
        </w:rPr>
        <w:t xml:space="preserve">π</w:t>
      </w:r>
      <w:r>
        <w:rPr>
          <w:rFonts w:ascii="Times New Roman" w:cs="Times New Roman" w:eastAsia="Times New Roman" w:hAnsi="Times New Roman"/>
          <w:i/>
          <w:iCs/>
          <w:sz w:val="21"/>
          <w:szCs w:val="21"/>
          <w:vertAlign w:val="subscript"/>
        </w:rPr>
        <w:t xml:space="preserve">c</w:t>
      </w:r>
      <w:r>
        <w:rPr>
          <w:rFonts w:ascii="Times New Roman" w:cs="Times New Roman" w:eastAsia="Times New Roman" w:hAnsi="Times New Roman"/>
          <w:sz w:val="21"/>
          <w:szCs w:val="21"/>
        </w:rPr>
        <w:t xml:space="preserve"> of a cell and </w:t>
      </w:r>
      <w:r>
        <w:rPr>
          <w:rFonts w:ascii="Times New Roman" w:cs="Times New Roman" w:eastAsia="Times New Roman" w:hAnsi="Times New Roman"/>
          <w:i/>
          <w:iCs/>
          <w:sz w:val="21"/>
          <w:szCs w:val="21"/>
        </w:rPr>
        <w:t xml:space="preserve">q</w:t>
      </w:r>
      <w:r>
        <w:rPr>
          <w:rFonts w:ascii="Times New Roman" w:cs="Times New Roman" w:eastAsia="Times New Roman" w:hAnsi="Times New Roman"/>
          <w:sz w:val="21"/>
          <w:szCs w:val="21"/>
        </w:rPr>
        <w:t xml:space="preserve"> for the manifesto distribution of the same cell, we use the Jensen–Shannon divergence:</w:t>
      </w:r>
    </w:p>
    <w:p>
      <w:pPr>
        <w:spacing w:after="200" w:before="200"/>
        <w:jc w:val="center"/>
      </w:pPr>
      <m:oMathPara>
        <m:oMath>
          <m:r>
            <m:rPr>
              <m:sty m:val="p"/>
            </m:rPr>
            <w:rPr>
              <w:rFonts w:ascii="Cambria Math" w:hAnsi="Cambria Math"/>
            </w:rPr>
            <m:t>JSD</m:t>
          </m:r>
          <m:d>
            <m:dPr/>
            <m:e>
              <m:r>
                <w:rPr>
                  <w:rFonts w:ascii="Cambria Math" w:hAnsi="Cambria Math"/>
                </w:rPr>
                <m:t>p,q</m:t>
              </m:r>
            </m:e>
          </m:d>
          <m:r>
            <w:rPr>
              <w:rFonts w:ascii="Cambria Math" w:hAnsi="Cambria Math"/>
            </w:rPr>
            <m:t>=</m:t>
          </m:r>
          <m:f>
            <m:num>
              <m:r>
                <w:rPr>
                  <w:rFonts w:ascii="Cambria Math" w:hAnsi="Cambria Math"/>
                </w:rPr>
                <m:t>1</m:t>
              </m:r>
            </m:num>
            <m:den>
              <m:r>
                <w:rPr>
                  <w:rFonts w:ascii="Cambria Math" w:hAnsi="Cambria Math"/>
                </w:rPr>
                <m:t>2</m:t>
              </m:r>
            </m:den>
          </m:f>
          <m:r>
            <m:rPr>
              <m:sty m:val="p"/>
            </m:rPr>
            <w:rPr>
              <w:rFonts w:ascii="Cambria Math" w:hAnsi="Cambria Math"/>
            </w:rPr>
            <m:t>KL</m:t>
          </m:r>
          <m:d>
            <m:dPr/>
            <m:e>
              <m:r>
                <w:rPr>
                  <w:rFonts w:ascii="Cambria Math" w:hAnsi="Cambria Math"/>
                </w:rPr>
                <m:t>p∥m</m:t>
              </m:r>
            </m:e>
          </m:d>
          <m:r>
            <w:rPr>
              <w:rFonts w:ascii="Cambria Math" w:hAnsi="Cambria Math"/>
            </w:rPr>
            <m:t>+</m:t>
          </m:r>
          <m:f>
            <m:num>
              <m:r>
                <w:rPr>
                  <w:rFonts w:ascii="Cambria Math" w:hAnsi="Cambria Math"/>
                </w:rPr>
                <m:t>1</m:t>
              </m:r>
            </m:num>
            <m:den>
              <m:r>
                <w:rPr>
                  <w:rFonts w:ascii="Cambria Math" w:hAnsi="Cambria Math"/>
                </w:rPr>
                <m:t>2</m:t>
              </m:r>
            </m:den>
          </m:f>
          <m:r>
            <m:rPr>
              <m:sty m:val="p"/>
            </m:rPr>
            <w:rPr>
              <w:rFonts w:ascii="Cambria Math" w:hAnsi="Cambria Math"/>
            </w:rPr>
            <m:t>KL</m:t>
          </m:r>
          <m:d>
            <m:dPr/>
            <m:e>
              <m:r>
                <w:rPr>
                  <w:rFonts w:ascii="Cambria Math" w:hAnsi="Cambria Math"/>
                </w:rPr>
                <m:t>q∥m</m:t>
              </m:r>
            </m:e>
          </m:d>
          <m:r>
            <w:rPr>
              <w:rFonts w:ascii="Cambria Math" w:hAnsi="Cambria Math"/>
            </w:rPr>
            <m:t xml:space="preserve">, </m:t>
          </m:r>
          <m:r>
            <m:rPr>
              <m:sty m:val="p"/>
            </m:rPr>
            <w:rPr>
              <w:rFonts w:ascii="Cambria Math" w:hAnsi="Cambria Math"/>
            </w:rPr>
            <m:t>with</m:t>
          </m:r>
          <m:r>
            <w:rPr>
              <w:rFonts w:ascii="Cambria Math" w:hAnsi="Cambria Math"/>
            </w:rPr>
            <m:t xml:space="preserve"> m=</m:t>
          </m:r>
          <m:f>
            <m:num>
              <m:r>
                <w:rPr>
                  <w:rFonts w:ascii="Cambria Math" w:hAnsi="Cambria Math"/>
                </w:rPr>
                <m:t>1</m:t>
              </m:r>
            </m:num>
            <m:den>
              <m:r>
                <w:rPr>
                  <w:rFonts w:ascii="Cambria Math" w:hAnsi="Cambria Math"/>
                </w:rPr>
                <m:t>2</m:t>
              </m:r>
            </m:den>
          </m:f>
          <m:d>
            <m:dPr/>
            <m:e>
              <m:r>
                <w:rPr>
                  <w:rFonts w:ascii="Cambria Math" w:hAnsi="Cambria Math"/>
                </w:rPr>
                <m:t>p+q</m:t>
              </m:r>
            </m:e>
          </m:d>
        </m:oMath>
      </m:oMathPara>
    </w:p>
    <w:p>
      <w:pPr>
        <w:spacing w:after="120" w:line="264" w:lineRule="auto"/>
        <w:jc w:val="both"/>
      </w:pPr>
      <w:r>
        <w:rPr>
          <w:rFonts w:ascii="Times New Roman" w:cs="Times New Roman" w:eastAsia="Times New Roman" w:hAnsi="Times New Roman"/>
          <w:b w:val="false"/>
          <w:bCs w:val="false"/>
          <w:i w:val="false"/>
          <w:iCs w:val="false"/>
          <w:sz w:val="21"/>
          <w:szCs w:val="21"/>
        </w:rPr>
        <w:t xml:space="preserve">Here KL denotes the Kullback–Leibler divergence, and both inputs are renormalised to sum to one before the computation, which matters under the exclusive specification (Section 4.7.2). Computed with the base-2 logarithm, the measure is bounded between 0 and 1 (Lin, 1991).</w:t>
      </w:r>
    </w:p>
    <w:p>
      <w:pPr>
        <w:spacing w:after="120" w:line="264" w:lineRule="auto"/>
        <w:jc w:val="both"/>
      </w:pPr>
      <w:r>
        <w:rPr>
          <w:rFonts w:ascii="Times New Roman" w:cs="Times New Roman" w:eastAsia="Times New Roman" w:hAnsi="Times New Roman"/>
          <w:b w:val="false"/>
          <w:bCs w:val="false"/>
          <w:i w:val="false"/>
          <w:iCs w:val="false"/>
          <w:sz w:val="21"/>
          <w:szCs w:val="21"/>
        </w:rPr>
        <w:t xml:space="preserve">Three properties motivate this choice. First, the divergence is symmetric, so neither side is privileged as the true distribution, which fits a comparison in which speech and manifesto are equally measured quantities. Second, it remains finite when one side assigns zero mass to a bucket, a case in which the Kullback–Leibler divergence itself diverges. Under soft aggregation the speech side never assigns exactly zero, so the case arises on the manifesto side, and it is the rule rather than the exception on the directional layer, where the contra-EU bucket rests on a single code. Third, the bound makes values comparable across cells, parties and legislative periods measured on the same bucket set. The measure additionally decomposes into per-bucket contributions that are individually non-negative and sum exactly to the total, which is the instrument for H2a, because it makes visible which topics drive the divergence of a cell.</w:t>
      </w:r>
    </w:p>
    <w:p>
      <w:pPr>
        <w:spacing w:after="120" w:line="264" w:lineRule="auto"/>
        <w:jc w:val="both"/>
      </w:pPr>
      <w:r>
        <w:rPr>
          <w:rFonts w:ascii="Times New Roman" w:cs="Times New Roman" w:eastAsia="Times New Roman" w:hAnsi="Times New Roman"/>
          <w:b w:val="false"/>
          <w:bCs w:val="false"/>
          <w:i w:val="false"/>
          <w:iCs w:val="false"/>
          <w:sz w:val="21"/>
          <w:szCs w:val="21"/>
        </w:rPr>
        <w:t xml:space="preserve">It has to be acknowledged that no canonical measure of agenda congruence between programmatic and parliamentary text has established itself in the field, which is why the choice is justified by these properties rather than by precedent. The closest established relative is the issue convergence index of Sigelman and Buell (2004), which subtracts the summed absolute differences in issue shares from a fixed maximum and is, like the Jensen–Shannon divergence, bounded and additive across issues. The two differ in how they weight a given gap. Their index counts an absolute difference equally wherever it occurs, whereas the divergence used here scales it to the mass of the bucket in which it occurs, so that a gap of two percentage points between shares of five and three per cent contributes roughly eight times what the same gap contributes between thirty-two and thirty per cent. Since the buckets differ by an order of magnitude in the mass they carry, this is the property the comparison needs.</w:t>
      </w:r>
    </w:p>
    <w:p>
      <w:pPr>
        <w:spacing w:after="120" w:line="264" w:lineRule="auto"/>
        <w:jc w:val="both"/>
      </w:pPr>
      <w:r>
        <w:rPr>
          <w:rFonts w:ascii="Times New Roman" w:cs="Times New Roman" w:eastAsia="Times New Roman" w:hAnsi="Times New Roman"/>
          <w:b w:val="false"/>
          <w:bCs w:val="false"/>
          <w:i w:val="false"/>
          <w:iCs w:val="false"/>
          <w:sz w:val="21"/>
          <w:szCs w:val="21"/>
        </w:rPr>
        <w:t xml:space="preserve">A single divergence value carries no absolute interpretation. The scale is therefore provided empirically, by the distribution of divergences between different parties, which Section 4.8 introduces as the reference frame for H1a.</w:t>
      </w:r>
    </w:p>
    <w:p>
      <w:pPr>
        <w:pStyle w:val="Heading3"/>
        <w:spacing w:after="140" w:before="260"/>
      </w:pPr>
      <w:r>
        <w:rPr>
          <w:rFonts w:ascii="Times New Roman" w:cs="Times New Roman" w:eastAsia="Times New Roman" w:hAnsi="Times New Roman"/>
          <w:b/>
          <w:bCs/>
          <w:color w:val="000000"/>
          <w:sz w:val="24"/>
          <w:szCs w:val="24"/>
        </w:rPr>
        <w:t xml:space="preserve">4.7.4 The Sentence Bootstrap</w:t>
      </w:r>
    </w:p>
    <w:p>
      <w:pPr>
        <w:spacing w:after="120" w:line="264" w:lineRule="auto"/>
        <w:jc w:val="both"/>
      </w:pPr>
      <w:r>
        <w:rPr>
          <w:rFonts w:ascii="Times New Roman" w:cs="Times New Roman" w:eastAsia="Times New Roman" w:hAnsi="Times New Roman"/>
          <w:b w:val="false"/>
          <w:bCs w:val="false"/>
          <w:i w:val="false"/>
          <w:iCs w:val="false"/>
          <w:sz w:val="21"/>
          <w:szCs w:val="21"/>
        </w:rPr>
        <w:t xml:space="preserve">Each divergence value is a point estimate based on a finite set of sentences. We quantify the sampling uncertainty of the speech side by a nonparametric bootstrap within cells. For each of 1,000 draws, the sentences of a cell are resampled with replacement, the bucket distribution is re-aggregated as specified in Section 4.7.2, and the divergence against the fixed manifesto distribution is recomputed. The 95% confidence interval is the percentile interval of these draws, and a fixed seed makes the procedure deterministic. We report the interval of the primary specification. The intervals of the remaining filter and 305 combinations are reported in Appendix F.3, which shows that neither correction inflates them.</w:t>
      </w:r>
    </w:p>
    <w:p>
      <w:pPr>
        <w:spacing w:after="120" w:line="264" w:lineRule="auto"/>
        <w:jc w:val="both"/>
      </w:pPr>
      <w:r>
        <w:rPr>
          <w:rFonts w:ascii="Times New Roman" w:cs="Times New Roman" w:eastAsia="Times New Roman" w:hAnsi="Times New Roman"/>
          <w:b w:val="false"/>
          <w:bCs w:val="false"/>
          <w:i w:val="false"/>
          <w:iCs w:val="false"/>
          <w:sz w:val="21"/>
          <w:szCs w:val="21"/>
        </w:rPr>
        <w:t xml:space="preserve">The scope of these intervals has to be stated precisely. They capture the sentence sampling uncertainty of the speech side, conditional on the classification and on the manifesto. The manifesto side is treated as fixed, so the uncertainty of the human coding is not propagated (Benoit, Laver and Mikhaylov, 2009). The classification enters only through the posteriors of Section 4.7.2, which the bootstrap holds fixed, so classifier uncertainty is not resampled either. And the procedure treats sentences as independent draws, whereas sentences cluster within speeches and within speakers, so a block bootstrap at the speech level would widen the intervals further. All three omissions point in the same direction. The intervals are therefore lower bounds on the total uncertainty, and we read them as such.</w:t>
      </w:r>
    </w:p>
    <w:p>
      <w:pPr>
        <w:spacing w:after="120" w:line="264" w:lineRule="auto"/>
        <w:jc w:val="both"/>
      </w:pPr>
      <w:r>
        <w:rPr>
          <w:rFonts w:ascii="Times New Roman" w:cs="Times New Roman" w:eastAsia="Times New Roman" w:hAnsi="Times New Roman"/>
          <w:b w:val="false"/>
          <w:bCs w:val="false"/>
          <w:i w:val="false"/>
          <w:iCs w:val="false"/>
          <w:sz w:val="21"/>
          <w:szCs w:val="21"/>
        </w:rPr>
        <w:t xml:space="preserve">With this, the measurement pipeline is complete. The final specification confronts the validation findings rather than evading them. Both failure modes diagnosed in Section 4.5.3 are structurally addressed, and the reliability evidence carries the aggregate level on which the analysis proceeds. Independent computation paths agree to within a numerical tolerance of 10⁻⁶, and row-sum checks run over every cell and specification. The details are documented in Appendix G. Section 4.8 states, for each hypothesis, the exact quantities and benchmarks that are computed.</w:t>
      </w:r>
    </w:p>
    <w:p>
      <w:r>
        <w:br w:type="page"/>
      </w:r>
    </w:p>
    <w:p>
      <w:pPr>
        <w:spacing w:after="200"/>
      </w:pPr>
      <w:r>
        <w:rPr>
          <w:rFonts w:ascii="Times New Roman" w:cs="Times New Roman" w:eastAsia="Times New Roman" w:hAnsi="Times New Roman"/>
          <w:b/>
          <w:bCs/>
          <w:sz w:val="26"/>
          <w:szCs w:val="26"/>
        </w:rPr>
        <w:t xml:space="preserve">Anmerkungen zu dieser Fassung</w:t>
      </w:r>
    </w:p>
    <w:p>
      <w:pPr>
        <w:spacing w:after="100" w:line="264" w:lineRule="auto"/>
        <w:jc w:val="left"/>
      </w:pPr>
      <w:r>
        <w:rPr>
          <w:rFonts w:ascii="Times New Roman" w:cs="Times New Roman" w:eastAsia="Times New Roman" w:hAnsi="Times New Roman"/>
          <w:b w:val="false"/>
          <w:bCs w:val="false"/>
          <w:i w:val="false"/>
          <w:iCs w:val="false"/>
          <w:sz w:val="19"/>
          <w:szCs w:val="19"/>
        </w:rPr>
        <w:t xml:space="preserve">Nicht Teil des Kapitels. Zwei Seiten Kontrollmaterial, beim Einbau in die Arbeit löschen.</w:t>
      </w:r>
    </w:p>
    <w:p>
      <w:pPr>
        <w:spacing w:after="100" w:line="264" w:lineRule="auto"/>
        <w:jc w:val="left"/>
      </w:pPr>
      <w:r>
        <w:rPr>
          <w:rFonts w:ascii="Times New Roman" w:cs="Times New Roman" w:eastAsia="Times New Roman" w:hAnsi="Times New Roman"/>
          <w:b/>
          <w:bCs/>
          <w:i w:val="false"/>
          <w:iCs w:val="false"/>
          <w:sz w:val="19"/>
          <w:szCs w:val="19"/>
        </w:rPr>
        <w:t xml:space="preserve">Was umgesetzt ist</w:t>
      </w:r>
    </w:p>
    <w:p>
      <w:pPr>
        <w:spacing w:after="100" w:line="264" w:lineRule="auto"/>
        <w:jc w:val="left"/>
      </w:pPr>
      <w:r>
        <w:rPr>
          <w:rFonts w:ascii="Times New Roman" w:cs="Times New Roman" w:eastAsia="Times New Roman" w:hAnsi="Times New Roman"/>
          <w:b w:val="false"/>
          <w:bCs w:val="false"/>
          <w:i w:val="false"/>
          <w:iCs w:val="false"/>
          <w:sz w:val="19"/>
          <w:szCs w:val="19"/>
        </w:rPr>
        <w:t xml:space="preserve">Alle Befunde A1–A4 und B1–B10 des Prüfberichts, dazu die Formelsatz- und Typografiepunkte C1–C16 und die vollständige Interpunktionsliste. Doppelpunkte im Fließtext: 2 statt 17, beide leiten eine abgesetzte Formel ein. Semikola: 0 statt 9. Überschriften-Doppelpunkte in 4.7.3 und 4.7.4 entfernt.</w:t>
      </w:r>
    </w:p>
    <w:p>
      <w:pPr>
        <w:spacing w:after="100" w:line="264" w:lineRule="auto"/>
        <w:jc w:val="left"/>
      </w:pPr>
      <w:r>
        <w:rPr>
          <w:rFonts w:ascii="Times New Roman" w:cs="Times New Roman" w:eastAsia="Times New Roman" w:hAnsi="Times New Roman"/>
          <w:b w:val="false"/>
          <w:bCs w:val="false"/>
          <w:i w:val="false"/>
          <w:iCs w:val="false"/>
          <w:sz w:val="19"/>
          <w:szCs w:val="19"/>
        </w:rPr>
        <w:t xml:space="preserve">Die beiden Formeln sind echte Word-Gleichungen (OMML), keine Bilder. In der π-Gleichung steht der Laufindex jetzt unter dem Summenzeichen, das Elementzeichen ist ∈ statt ϵ, aus M′ ist M mit hochgestelltem T geworden, und die Normierung ist als Quotient ausgeschrieben statt als ∝ mit nachgeschobenem Satz. In der Divergenz-Gleichung stehen JSD, KL und „with“ aufrecht statt kursiv.</w:t>
      </w:r>
    </w:p>
    <w:p>
      <w:pPr>
        <w:spacing w:after="100" w:line="264" w:lineRule="auto"/>
        <w:jc w:val="left"/>
      </w:pPr>
      <w:r>
        <w:rPr>
          <w:rFonts w:ascii="Times New Roman" w:cs="Times New Roman" w:eastAsia="Times New Roman" w:hAnsi="Times New Roman"/>
          <w:b w:val="false"/>
          <w:bCs w:val="false"/>
          <w:i w:val="false"/>
          <w:iCs w:val="false"/>
          <w:sz w:val="19"/>
          <w:szCs w:val="19"/>
        </w:rPr>
        <w:t xml:space="preserve">Zitierungen stehen als reiner Text, ohne die Hyperlink-Anker der verlinkten Fassung. Beim Einbau musst du sie neu verknüpfen.</w:t>
      </w:r>
    </w:p>
    <w:p>
      <w:pPr>
        <w:spacing w:after="100" w:line="264" w:lineRule="auto"/>
        <w:jc w:val="left"/>
      </w:pPr>
      <w:r>
        <w:rPr>
          <w:rFonts w:ascii="Times New Roman" w:cs="Times New Roman" w:eastAsia="Times New Roman" w:hAnsi="Times New Roman"/>
          <w:b/>
          <w:bCs/>
          <w:i w:val="false"/>
          <w:iCs w:val="false"/>
          <w:sz w:val="19"/>
          <w:szCs w:val="19"/>
        </w:rPr>
        <w:t xml:space="preserve">Drei Stellen, die noch eine Zahl brauchen</w:t>
      </w:r>
    </w:p>
    <w:p>
      <w:pPr>
        <w:spacing w:after="100" w:line="264" w:lineRule="auto"/>
        <w:jc w:val="left"/>
      </w:pPr>
      <w:r>
        <w:rPr>
          <w:rFonts w:ascii="Times New Roman" w:cs="Times New Roman" w:eastAsia="Times New Roman" w:hAnsi="Times New Roman"/>
          <w:b w:val="false"/>
          <w:bCs w:val="false"/>
          <w:i w:val="false"/>
          <w:iCs w:val="false"/>
          <w:sz w:val="19"/>
          <w:szCs w:val="19"/>
        </w:rPr>
        <w:t xml:space="preserve">1. 4.7.1, Migrationsbündelung. Der Satz sagt jetzt, 601 sei „considerably more frequent than 602“, ohne Zahl. Wenn du die Relation aus deinen Daten hast, wird der Satz damit belastbar. Wenn nicht, kann er so stehen bleiben.</w:t>
      </w:r>
    </w:p>
    <w:p>
      <w:pPr>
        <w:spacing w:after="100" w:line="264" w:lineRule="auto"/>
        <w:jc w:val="left"/>
      </w:pPr>
      <w:r>
        <w:rPr>
          <w:rFonts w:ascii="Times New Roman" w:cs="Times New Roman" w:eastAsia="Times New Roman" w:hAnsi="Times New Roman"/>
          <w:b w:val="false"/>
          <w:bCs w:val="false"/>
          <w:i w:val="false"/>
          <w:iCs w:val="false"/>
          <w:sz w:val="19"/>
          <w:szCs w:val="19"/>
        </w:rPr>
        <w:t xml:space="preserve">2. 4.7.3, Nullmassen. Ich habe die Behauptung „with nine buckets across 38 cells this is a real occurrence“ ersetzt durch die Aussage, dass die Redeseite unter Soft-Aggregation nie exakt null ist, der Fall also manifestseitig auftritt und auf der direktionalen Ebene die Regel ist. Falls du die Zahl für Schema A auszählen willst, passt sie als Einschub: „…so the case arises on the manifesto side, where it occurs in k of the 38 cells, and it is the rule rather than the exception on the directional layer…“</w:t>
      </w:r>
    </w:p>
    <w:p>
      <w:pPr>
        <w:spacing w:after="100" w:line="264" w:lineRule="auto"/>
        <w:jc w:val="left"/>
      </w:pPr>
      <w:r>
        <w:rPr>
          <w:rFonts w:ascii="Times New Roman" w:cs="Times New Roman" w:eastAsia="Times New Roman" w:hAnsi="Times New Roman"/>
          <w:b w:val="false"/>
          <w:bCs w:val="false"/>
          <w:i w:val="false"/>
          <w:iCs w:val="false"/>
          <w:sz w:val="19"/>
          <w:szCs w:val="19"/>
        </w:rPr>
        <w:t xml:space="preserve">3. 4.7.2, Manifestseite. Der uncoded-Anteil ist jetzt korrekt als „removed by the coding procedure itself“ beschrieben. Wenn du die Größenordnung über alle 38 Manifeste hast (rowSums der per-Spalten vor der Renormierung), lohnt ein Halbsatz mit der Spanne.</w:t>
      </w:r>
    </w:p>
    <w:p>
      <w:pPr>
        <w:spacing w:after="100" w:line="264" w:lineRule="auto"/>
        <w:jc w:val="left"/>
      </w:pPr>
      <w:r>
        <w:rPr>
          <w:rFonts w:ascii="Times New Roman" w:cs="Times New Roman" w:eastAsia="Times New Roman" w:hAnsi="Times New Roman"/>
          <w:b/>
          <w:bCs/>
          <w:i w:val="false"/>
          <w:iCs w:val="false"/>
          <w:sz w:val="19"/>
          <w:szCs w:val="19"/>
        </w:rPr>
        <w:t xml:space="preserve">Mitzuziehen an anderer Stelle</w:t>
      </w:r>
    </w:p>
    <w:p>
      <w:pPr>
        <w:spacing w:after="100" w:line="264" w:lineRule="auto"/>
        <w:jc w:val="left"/>
      </w:pPr>
      <w:r>
        <w:rPr>
          <w:rFonts w:ascii="Times New Roman" w:cs="Times New Roman" w:eastAsia="Times New Roman" w:hAnsi="Times New Roman"/>
          <w:b w:val="false"/>
          <w:bCs w:val="false"/>
          <w:i w:val="false"/>
          <w:iCs w:val="false"/>
          <w:sz w:val="19"/>
          <w:szCs w:val="19"/>
        </w:rPr>
        <w:t xml:space="preserve">4.3.1: „but its total weight stays at one“ gilt nur unter der inklusiven Spezifikation und sollte entsprechend eingeschränkt werden, sonst widerspricht es 4.7.2.</w:t>
      </w:r>
    </w:p>
    <w:p>
      <w:pPr>
        <w:spacing w:after="100" w:line="264" w:lineRule="auto"/>
        <w:jc w:val="left"/>
      </w:pPr>
      <w:r>
        <w:rPr>
          <w:rFonts w:ascii="Times New Roman" w:cs="Times New Roman" w:eastAsia="Times New Roman" w:hAnsi="Times New Roman"/>
          <w:b w:val="false"/>
          <w:bCs w:val="false"/>
          <w:i w:val="false"/>
          <w:iCs w:val="false"/>
          <w:sz w:val="19"/>
          <w:szCs w:val="19"/>
        </w:rPr>
        <w:t xml:space="preserve">Anhang E, Fließtext: „The 32 codes outside these four domains“ ist ungenau, 406, 415 und 502 liegen innerhalb. Die Notiz unter Tabelle E.2 ist bereits richtig.</w:t>
      </w:r>
    </w:p>
    <w:p>
      <w:pPr>
        <w:spacing w:after="100" w:line="264" w:lineRule="auto"/>
        <w:jc w:val="left"/>
      </w:pPr>
      <w:r>
        <w:rPr>
          <w:rFonts w:ascii="Times New Roman" w:cs="Times New Roman" w:eastAsia="Times New Roman" w:hAnsi="Times New Roman"/>
          <w:b w:val="false"/>
          <w:bCs w:val="false"/>
          <w:i w:val="false"/>
          <w:iCs w:val="false"/>
          <w:sz w:val="19"/>
          <w:szCs w:val="19"/>
        </w:rPr>
        <w:t xml:space="preserve">Anhang F.8, Überschrift: nennt mit „601/608 vs 602/607“ das Baseline-Paar statt des Re-Splits (608 gegen 607).</w:t>
      </w:r>
    </w:p>
    <w:p>
      <w:pPr>
        <w:spacing w:after="100" w:line="264" w:lineRule="auto"/>
        <w:jc w:val="left"/>
      </w:pPr>
      <w:r>
        <w:rPr>
          <w:rFonts w:ascii="Times New Roman" w:cs="Times New Roman" w:eastAsia="Times New Roman" w:hAnsi="Times New Roman"/>
          <w:b w:val="false"/>
          <w:bCs w:val="false"/>
          <w:i w:val="false"/>
          <w:iCs w:val="false"/>
          <w:sz w:val="19"/>
          <w:szCs w:val="19"/>
        </w:rPr>
        <w:t xml:space="preserve">4.8.1: „the within-domain JSD on scheme B“ — gerechnet wird eine Divergenz über alle neun direktionalen Buckets nach Abzug des Residuals, also domänenübergreifend.</w:t>
      </w:r>
    </w:p>
    <w:p>
      <w:pPr>
        <w:spacing w:after="100" w:line="264" w:lineRule="auto"/>
        <w:jc w:val="left"/>
      </w:pPr>
      <w:r>
        <w:rPr>
          <w:rFonts w:ascii="Times New Roman" w:cs="Times New Roman" w:eastAsia="Times New Roman" w:hAnsi="Times New Roman"/>
          <w:b w:val="false"/>
          <w:bCs w:val="false"/>
          <w:i w:val="false"/>
          <w:iCs w:val="false"/>
          <w:sz w:val="19"/>
          <w:szCs w:val="19"/>
        </w:rPr>
        <w:t xml:space="preserve">Dokumentweit: Jensen–Shannon und Kullback–Leibler mit Halbgeviertstrich (in 4.7 jetzt so), „decoding temperature“ statt „temperature“.</w:t>
      </w:r>
    </w:p>
    <w:sectPr>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pPr>
        <w:spacing w:after="12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Aggregation and Measurement — Neufassung</dc:title>
  <dc:creator>Masterarbeit</dc:creator>
  <cp:lastModifiedBy>Un-named</cp:lastModifiedBy>
  <cp:revision>1</cp:revision>
  <dcterms:created xsi:type="dcterms:W3CDTF">2026-07-31T13:52:00.305Z</dcterms:created>
  <dcterms:modified xsi:type="dcterms:W3CDTF">2026-07-31T13:52:00.305Z</dcterms:modified>
</cp:coreProperties>
</file>

<file path=docProps/custom.xml><?xml version="1.0" encoding="utf-8"?>
<Properties xmlns="http://schemas.openxmlformats.org/officeDocument/2006/custom-properties" xmlns:vt="http://schemas.openxmlformats.org/officeDocument/2006/docPropsVTypes"/>
</file>