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D4EA1" w14:textId="77777777" w:rsidR="00CF52A3" w:rsidRPr="009752E8" w:rsidRDefault="00CF52A3" w:rsidP="00CF52A3">
      <w:pPr>
        <w:pStyle w:val="berschrift2"/>
      </w:pPr>
      <w:r w:rsidRPr="009752E8">
        <w:t>4.5 Robustness</w:t>
      </w:r>
    </w:p>
    <w:p w14:paraId="2E8E39ED" w14:textId="77777777" w:rsidR="00CF52A3" w:rsidRPr="009752E8" w:rsidRDefault="00CF52A3" w:rsidP="00CF52A3">
      <w:r w:rsidRPr="009752E8">
        <w:t>In this chapter we will discuss the general robustness test we have undertaken as have been fixed prior to the analysis see Section 3.9. The acceptance criteria were fixed before the analysis; we report the outcomes as they came out. We specifically test both aggregations by applying the test of arm 1 and arm 2 to H1a and H1b. This is sufficient to test the underling robustness for H2 and H3 too.</w:t>
      </w:r>
    </w:p>
    <w:tbl>
      <w:tblPr>
        <w:tblStyle w:val="Tabellenraster"/>
        <w:tblW w:w="9040" w:type="dxa"/>
        <w:tblLook w:val="04A0" w:firstRow="1" w:lastRow="0" w:firstColumn="1" w:lastColumn="0" w:noHBand="0" w:noVBand="1"/>
      </w:tblPr>
      <w:tblGrid>
        <w:gridCol w:w="2721"/>
        <w:gridCol w:w="3253"/>
        <w:gridCol w:w="1533"/>
        <w:gridCol w:w="1533"/>
      </w:tblGrid>
      <w:tr w:rsidR="00CF52A3" w:rsidRPr="009752E8" w14:paraId="57C1DDBE" w14:textId="77777777" w:rsidTr="00D12633">
        <w:trPr>
          <w:trHeight w:val="305"/>
        </w:trPr>
        <w:tc>
          <w:tcPr>
            <w:tcW w:w="0" w:type="auto"/>
            <w:hideMark/>
          </w:tcPr>
          <w:p w14:paraId="2150FEDC" w14:textId="77777777" w:rsidR="00CF52A3" w:rsidRPr="009752E8" w:rsidRDefault="00CF52A3" w:rsidP="00D12633">
            <w:pPr>
              <w:rPr>
                <w:b/>
                <w:bCs/>
              </w:rPr>
            </w:pPr>
            <w:r w:rsidRPr="009752E8">
              <w:rPr>
                <w:b/>
                <w:bCs/>
              </w:rPr>
              <w:t>Arm</w:t>
            </w:r>
          </w:p>
        </w:tc>
        <w:tc>
          <w:tcPr>
            <w:tcW w:w="0" w:type="auto"/>
            <w:hideMark/>
          </w:tcPr>
          <w:p w14:paraId="3B4DF585" w14:textId="77777777" w:rsidR="00CF52A3" w:rsidRPr="009752E8" w:rsidRDefault="00CF52A3" w:rsidP="00D12633">
            <w:pPr>
              <w:rPr>
                <w:b/>
                <w:bCs/>
              </w:rPr>
            </w:pPr>
            <w:r w:rsidRPr="009752E8">
              <w:rPr>
                <w:b/>
                <w:bCs/>
              </w:rPr>
              <w:t>Comparison</w:t>
            </w:r>
          </w:p>
        </w:tc>
        <w:tc>
          <w:tcPr>
            <w:tcW w:w="0" w:type="auto"/>
            <w:hideMark/>
          </w:tcPr>
          <w:p w14:paraId="38D0C09D" w14:textId="77777777" w:rsidR="00CF52A3" w:rsidRPr="009752E8" w:rsidRDefault="00CF52A3" w:rsidP="00D12633">
            <w:pPr>
              <w:rPr>
                <w:b/>
                <w:bCs/>
              </w:rPr>
            </w:pPr>
            <w:r w:rsidRPr="009752E8">
              <w:rPr>
                <w:b/>
                <w:bCs/>
              </w:rPr>
              <w:t>H1a (A)</w:t>
            </w:r>
          </w:p>
        </w:tc>
        <w:tc>
          <w:tcPr>
            <w:tcW w:w="0" w:type="auto"/>
            <w:hideMark/>
          </w:tcPr>
          <w:p w14:paraId="3B7A23F2" w14:textId="77777777" w:rsidR="00CF52A3" w:rsidRPr="009752E8" w:rsidRDefault="00CF52A3" w:rsidP="00D12633">
            <w:pPr>
              <w:rPr>
                <w:b/>
                <w:bCs/>
              </w:rPr>
            </w:pPr>
            <w:r w:rsidRPr="009752E8">
              <w:rPr>
                <w:b/>
                <w:bCs/>
              </w:rPr>
              <w:t>H1b (B)</w:t>
            </w:r>
          </w:p>
        </w:tc>
      </w:tr>
      <w:tr w:rsidR="00CF52A3" w:rsidRPr="009752E8" w14:paraId="00290488" w14:textId="77777777" w:rsidTr="00D12633">
        <w:trPr>
          <w:trHeight w:val="345"/>
        </w:trPr>
        <w:tc>
          <w:tcPr>
            <w:tcW w:w="0" w:type="auto"/>
            <w:hideMark/>
          </w:tcPr>
          <w:p w14:paraId="4364B244" w14:textId="77777777" w:rsidR="00CF52A3" w:rsidRPr="009752E8" w:rsidRDefault="00CF52A3" w:rsidP="00D12633">
            <w:pPr>
              <w:rPr>
                <w:sz w:val="22"/>
                <w:szCs w:val="20"/>
              </w:rPr>
            </w:pPr>
            <w:r w:rsidRPr="009752E8">
              <w:rPr>
                <w:sz w:val="22"/>
                <w:szCs w:val="20"/>
              </w:rPr>
              <w:t>Temperature (1)</w:t>
            </w:r>
          </w:p>
        </w:tc>
        <w:tc>
          <w:tcPr>
            <w:tcW w:w="0" w:type="auto"/>
            <w:hideMark/>
          </w:tcPr>
          <w:p w14:paraId="0917B84B" w14:textId="77777777" w:rsidR="00CF52A3" w:rsidRPr="009752E8" w:rsidRDefault="00CF52A3" w:rsidP="00D12633">
            <w:pPr>
              <w:rPr>
                <w:sz w:val="22"/>
                <w:szCs w:val="20"/>
              </w:rPr>
            </w:pPr>
            <w:r w:rsidRPr="009752E8">
              <w:rPr>
                <w:sz w:val="22"/>
                <w:szCs w:val="20"/>
              </w:rPr>
              <w:t>sharp vs native</w:t>
            </w:r>
          </w:p>
        </w:tc>
        <w:tc>
          <w:tcPr>
            <w:tcW w:w="0" w:type="auto"/>
            <w:hideMark/>
          </w:tcPr>
          <w:p w14:paraId="6E05C3B3" w14:textId="77777777" w:rsidR="00CF52A3" w:rsidRPr="009752E8" w:rsidRDefault="00CF52A3" w:rsidP="00D12633">
            <w:pPr>
              <w:rPr>
                <w:sz w:val="22"/>
                <w:szCs w:val="20"/>
              </w:rPr>
            </w:pPr>
            <w:r w:rsidRPr="009752E8">
              <w:rPr>
                <w:sz w:val="22"/>
                <w:szCs w:val="20"/>
              </w:rPr>
              <w:t xml:space="preserve">0.970 </w:t>
            </w:r>
            <w:r w:rsidRPr="009752E8">
              <w:rPr>
                <w:rFonts w:ascii="Segoe UI Symbol" w:hAnsi="Segoe UI Symbol" w:cs="Segoe UI Symbol"/>
                <w:sz w:val="22"/>
                <w:szCs w:val="20"/>
              </w:rPr>
              <w:t>✓</w:t>
            </w:r>
          </w:p>
        </w:tc>
        <w:tc>
          <w:tcPr>
            <w:tcW w:w="0" w:type="auto"/>
            <w:hideMark/>
          </w:tcPr>
          <w:p w14:paraId="6E319B8B" w14:textId="77777777" w:rsidR="00CF52A3" w:rsidRPr="009752E8" w:rsidRDefault="00CF52A3" w:rsidP="00D12633">
            <w:pPr>
              <w:rPr>
                <w:sz w:val="22"/>
                <w:szCs w:val="20"/>
              </w:rPr>
            </w:pPr>
            <w:r w:rsidRPr="009752E8">
              <w:rPr>
                <w:sz w:val="22"/>
                <w:szCs w:val="20"/>
              </w:rPr>
              <w:t xml:space="preserve">0.956 </w:t>
            </w:r>
            <w:r w:rsidRPr="009752E8">
              <w:rPr>
                <w:rFonts w:ascii="Segoe UI Symbol" w:hAnsi="Segoe UI Symbol" w:cs="Segoe UI Symbol"/>
                <w:sz w:val="22"/>
                <w:szCs w:val="20"/>
              </w:rPr>
              <w:t>✓</w:t>
            </w:r>
          </w:p>
        </w:tc>
      </w:tr>
      <w:tr w:rsidR="00CF52A3" w:rsidRPr="009752E8" w14:paraId="0596FF05" w14:textId="77777777" w:rsidTr="00D12633">
        <w:trPr>
          <w:trHeight w:val="341"/>
        </w:trPr>
        <w:tc>
          <w:tcPr>
            <w:tcW w:w="0" w:type="auto"/>
            <w:hideMark/>
          </w:tcPr>
          <w:p w14:paraId="409F9193" w14:textId="77777777" w:rsidR="00CF52A3" w:rsidRPr="009752E8" w:rsidRDefault="00CF52A3" w:rsidP="00D12633">
            <w:pPr>
              <w:rPr>
                <w:sz w:val="22"/>
                <w:szCs w:val="20"/>
              </w:rPr>
            </w:pPr>
          </w:p>
        </w:tc>
        <w:tc>
          <w:tcPr>
            <w:tcW w:w="0" w:type="auto"/>
            <w:hideMark/>
          </w:tcPr>
          <w:p w14:paraId="44A088C6" w14:textId="77777777" w:rsidR="00CF52A3" w:rsidRPr="009752E8" w:rsidRDefault="00CF52A3" w:rsidP="00D12633">
            <w:pPr>
              <w:rPr>
                <w:sz w:val="22"/>
                <w:szCs w:val="20"/>
              </w:rPr>
            </w:pPr>
            <w:r w:rsidRPr="009752E8">
              <w:rPr>
                <w:sz w:val="22"/>
                <w:szCs w:val="20"/>
              </w:rPr>
              <w:t>sharp vs flat</w:t>
            </w:r>
          </w:p>
        </w:tc>
        <w:tc>
          <w:tcPr>
            <w:tcW w:w="0" w:type="auto"/>
            <w:hideMark/>
          </w:tcPr>
          <w:p w14:paraId="5DABEA05" w14:textId="77777777" w:rsidR="00CF52A3" w:rsidRPr="009752E8" w:rsidRDefault="00CF52A3" w:rsidP="00D12633">
            <w:pPr>
              <w:rPr>
                <w:sz w:val="22"/>
                <w:szCs w:val="20"/>
              </w:rPr>
            </w:pPr>
            <w:r w:rsidRPr="009752E8">
              <w:rPr>
                <w:sz w:val="22"/>
                <w:szCs w:val="20"/>
              </w:rPr>
              <w:t xml:space="preserve">0.579 </w:t>
            </w:r>
            <w:r w:rsidRPr="009752E8">
              <w:rPr>
                <w:rFonts w:ascii="Segoe UI Symbol" w:hAnsi="Segoe UI Symbol" w:cs="Segoe UI Symbol"/>
                <w:sz w:val="22"/>
                <w:szCs w:val="20"/>
              </w:rPr>
              <w:t>✗</w:t>
            </w:r>
          </w:p>
        </w:tc>
        <w:tc>
          <w:tcPr>
            <w:tcW w:w="0" w:type="auto"/>
            <w:hideMark/>
          </w:tcPr>
          <w:p w14:paraId="273DB6B5" w14:textId="77777777" w:rsidR="00CF52A3" w:rsidRPr="009752E8" w:rsidRDefault="00CF52A3" w:rsidP="00D12633">
            <w:pPr>
              <w:rPr>
                <w:sz w:val="22"/>
                <w:szCs w:val="20"/>
              </w:rPr>
            </w:pPr>
            <w:r w:rsidRPr="009752E8">
              <w:rPr>
                <w:sz w:val="22"/>
                <w:szCs w:val="20"/>
              </w:rPr>
              <w:t xml:space="preserve">0.706 </w:t>
            </w:r>
            <w:r w:rsidRPr="009752E8">
              <w:rPr>
                <w:rFonts w:ascii="Segoe UI Symbol" w:hAnsi="Segoe UI Symbol" w:cs="Segoe UI Symbol"/>
                <w:sz w:val="22"/>
                <w:szCs w:val="20"/>
              </w:rPr>
              <w:t>✗</w:t>
            </w:r>
          </w:p>
        </w:tc>
      </w:tr>
      <w:tr w:rsidR="00CF52A3" w:rsidRPr="009752E8" w14:paraId="5DDAB369" w14:textId="77777777" w:rsidTr="00D12633">
        <w:trPr>
          <w:trHeight w:val="345"/>
        </w:trPr>
        <w:tc>
          <w:tcPr>
            <w:tcW w:w="0" w:type="auto"/>
            <w:hideMark/>
          </w:tcPr>
          <w:p w14:paraId="0CC21E50" w14:textId="77777777" w:rsidR="00CF52A3" w:rsidRPr="009752E8" w:rsidRDefault="00CF52A3" w:rsidP="00D12633">
            <w:pPr>
              <w:rPr>
                <w:sz w:val="22"/>
                <w:szCs w:val="20"/>
              </w:rPr>
            </w:pPr>
          </w:p>
        </w:tc>
        <w:tc>
          <w:tcPr>
            <w:tcW w:w="0" w:type="auto"/>
            <w:hideMark/>
          </w:tcPr>
          <w:p w14:paraId="0E119F15" w14:textId="77777777" w:rsidR="00CF52A3" w:rsidRPr="009752E8" w:rsidRDefault="00CF52A3" w:rsidP="00D12633">
            <w:pPr>
              <w:rPr>
                <w:sz w:val="22"/>
                <w:szCs w:val="20"/>
              </w:rPr>
            </w:pPr>
            <w:r w:rsidRPr="009752E8">
              <w:rPr>
                <w:sz w:val="22"/>
                <w:szCs w:val="20"/>
              </w:rPr>
              <w:t>native vs flat</w:t>
            </w:r>
          </w:p>
        </w:tc>
        <w:tc>
          <w:tcPr>
            <w:tcW w:w="0" w:type="auto"/>
            <w:hideMark/>
          </w:tcPr>
          <w:p w14:paraId="5510AF0F" w14:textId="77777777" w:rsidR="00CF52A3" w:rsidRPr="009752E8" w:rsidRDefault="00CF52A3" w:rsidP="00D12633">
            <w:pPr>
              <w:rPr>
                <w:sz w:val="22"/>
                <w:szCs w:val="20"/>
              </w:rPr>
            </w:pPr>
            <w:r w:rsidRPr="009752E8">
              <w:rPr>
                <w:sz w:val="22"/>
                <w:szCs w:val="20"/>
              </w:rPr>
              <w:t xml:space="preserve">0.729 </w:t>
            </w:r>
            <w:r w:rsidRPr="009752E8">
              <w:rPr>
                <w:rFonts w:ascii="Segoe UI Symbol" w:hAnsi="Segoe UI Symbol" w:cs="Segoe UI Symbol"/>
                <w:sz w:val="22"/>
                <w:szCs w:val="20"/>
              </w:rPr>
              <w:t>✗</w:t>
            </w:r>
          </w:p>
        </w:tc>
        <w:tc>
          <w:tcPr>
            <w:tcW w:w="0" w:type="auto"/>
            <w:hideMark/>
          </w:tcPr>
          <w:p w14:paraId="7C18C8C2" w14:textId="77777777" w:rsidR="00CF52A3" w:rsidRPr="009752E8" w:rsidRDefault="00CF52A3" w:rsidP="00D12633">
            <w:pPr>
              <w:rPr>
                <w:sz w:val="22"/>
                <w:szCs w:val="20"/>
              </w:rPr>
            </w:pPr>
            <w:r w:rsidRPr="009752E8">
              <w:rPr>
                <w:sz w:val="22"/>
                <w:szCs w:val="20"/>
              </w:rPr>
              <w:t xml:space="preserve">0.843 </w:t>
            </w:r>
            <w:r w:rsidRPr="009752E8">
              <w:rPr>
                <w:rFonts w:ascii="Segoe UI Symbol" w:hAnsi="Segoe UI Symbol" w:cs="Segoe UI Symbol"/>
                <w:sz w:val="22"/>
                <w:szCs w:val="20"/>
              </w:rPr>
              <w:t>✗</w:t>
            </w:r>
          </w:p>
        </w:tc>
      </w:tr>
      <w:tr w:rsidR="00CF52A3" w:rsidRPr="009752E8" w14:paraId="10B8E4E8" w14:textId="77777777" w:rsidTr="00D12633">
        <w:trPr>
          <w:trHeight w:val="341"/>
        </w:trPr>
        <w:tc>
          <w:tcPr>
            <w:tcW w:w="0" w:type="auto"/>
            <w:hideMark/>
          </w:tcPr>
          <w:p w14:paraId="2A21A394" w14:textId="77777777" w:rsidR="00CF52A3" w:rsidRPr="009752E8" w:rsidRDefault="00CF52A3" w:rsidP="00D12633">
            <w:pPr>
              <w:rPr>
                <w:sz w:val="22"/>
                <w:szCs w:val="20"/>
              </w:rPr>
            </w:pPr>
            <w:r w:rsidRPr="009752E8">
              <w:rPr>
                <w:sz w:val="22"/>
                <w:szCs w:val="20"/>
              </w:rPr>
              <w:t>Threshold (2)</w:t>
            </w:r>
          </w:p>
        </w:tc>
        <w:tc>
          <w:tcPr>
            <w:tcW w:w="0" w:type="auto"/>
            <w:hideMark/>
          </w:tcPr>
          <w:p w14:paraId="678D35D6" w14:textId="77777777" w:rsidR="00CF52A3" w:rsidRPr="009752E8" w:rsidRDefault="00CF52A3" w:rsidP="00D12633">
            <w:pPr>
              <w:rPr>
                <w:sz w:val="22"/>
                <w:szCs w:val="20"/>
              </w:rPr>
            </w:pPr>
            <w:r w:rsidRPr="009752E8">
              <w:rPr>
                <w:sz w:val="22"/>
                <w:szCs w:val="20"/>
              </w:rPr>
              <w:t>soft vs hard 0.4</w:t>
            </w:r>
          </w:p>
        </w:tc>
        <w:tc>
          <w:tcPr>
            <w:tcW w:w="0" w:type="auto"/>
            <w:hideMark/>
          </w:tcPr>
          <w:p w14:paraId="2F57411D" w14:textId="77777777" w:rsidR="00CF52A3" w:rsidRPr="009752E8" w:rsidRDefault="00CF52A3" w:rsidP="00D12633">
            <w:pPr>
              <w:rPr>
                <w:sz w:val="22"/>
                <w:szCs w:val="20"/>
              </w:rPr>
            </w:pPr>
            <w:r w:rsidRPr="009752E8">
              <w:rPr>
                <w:sz w:val="22"/>
                <w:szCs w:val="20"/>
              </w:rPr>
              <w:t xml:space="preserve">0.943 </w:t>
            </w:r>
            <w:r w:rsidRPr="009752E8">
              <w:rPr>
                <w:rFonts w:ascii="Segoe UI Symbol" w:hAnsi="Segoe UI Symbol" w:cs="Segoe UI Symbol"/>
                <w:sz w:val="22"/>
                <w:szCs w:val="20"/>
              </w:rPr>
              <w:t>✓</w:t>
            </w:r>
          </w:p>
        </w:tc>
        <w:tc>
          <w:tcPr>
            <w:tcW w:w="0" w:type="auto"/>
            <w:hideMark/>
          </w:tcPr>
          <w:p w14:paraId="4169BE5E" w14:textId="77777777" w:rsidR="00CF52A3" w:rsidRPr="009752E8" w:rsidRDefault="00CF52A3" w:rsidP="00D12633">
            <w:pPr>
              <w:rPr>
                <w:sz w:val="22"/>
                <w:szCs w:val="20"/>
              </w:rPr>
            </w:pPr>
            <w:r w:rsidRPr="009752E8">
              <w:rPr>
                <w:sz w:val="22"/>
                <w:szCs w:val="20"/>
              </w:rPr>
              <w:t xml:space="preserve">0.861 </w:t>
            </w:r>
            <w:r w:rsidRPr="009752E8">
              <w:rPr>
                <w:rFonts w:ascii="Segoe UI Symbol" w:hAnsi="Segoe UI Symbol" w:cs="Segoe UI Symbol"/>
                <w:sz w:val="22"/>
                <w:szCs w:val="20"/>
              </w:rPr>
              <w:t>✓</w:t>
            </w:r>
          </w:p>
        </w:tc>
      </w:tr>
      <w:tr w:rsidR="00CF52A3" w:rsidRPr="009752E8" w14:paraId="211FE590" w14:textId="77777777" w:rsidTr="00D12633">
        <w:trPr>
          <w:trHeight w:val="341"/>
        </w:trPr>
        <w:tc>
          <w:tcPr>
            <w:tcW w:w="0" w:type="auto"/>
            <w:hideMark/>
          </w:tcPr>
          <w:p w14:paraId="20325A12" w14:textId="77777777" w:rsidR="00CF52A3" w:rsidRPr="009752E8" w:rsidRDefault="00CF52A3" w:rsidP="00D12633">
            <w:pPr>
              <w:rPr>
                <w:sz w:val="22"/>
                <w:szCs w:val="20"/>
              </w:rPr>
            </w:pPr>
          </w:p>
        </w:tc>
        <w:tc>
          <w:tcPr>
            <w:tcW w:w="0" w:type="auto"/>
            <w:hideMark/>
          </w:tcPr>
          <w:p w14:paraId="46B62A72" w14:textId="77777777" w:rsidR="00CF52A3" w:rsidRPr="009752E8" w:rsidRDefault="00CF52A3" w:rsidP="00D12633">
            <w:pPr>
              <w:rPr>
                <w:sz w:val="22"/>
                <w:szCs w:val="20"/>
              </w:rPr>
            </w:pPr>
            <w:r w:rsidRPr="009752E8">
              <w:rPr>
                <w:sz w:val="22"/>
                <w:szCs w:val="20"/>
              </w:rPr>
              <w:t>soft vs hard 0.5</w:t>
            </w:r>
          </w:p>
        </w:tc>
        <w:tc>
          <w:tcPr>
            <w:tcW w:w="0" w:type="auto"/>
            <w:hideMark/>
          </w:tcPr>
          <w:p w14:paraId="5587434F" w14:textId="77777777" w:rsidR="00CF52A3" w:rsidRPr="009752E8" w:rsidRDefault="00CF52A3" w:rsidP="00D12633">
            <w:pPr>
              <w:rPr>
                <w:sz w:val="22"/>
                <w:szCs w:val="20"/>
              </w:rPr>
            </w:pPr>
            <w:r w:rsidRPr="009752E8">
              <w:rPr>
                <w:sz w:val="22"/>
                <w:szCs w:val="20"/>
              </w:rPr>
              <w:t xml:space="preserve">0.929 </w:t>
            </w:r>
            <w:r w:rsidRPr="009752E8">
              <w:rPr>
                <w:rFonts w:ascii="Segoe UI Symbol" w:hAnsi="Segoe UI Symbol" w:cs="Segoe UI Symbol"/>
                <w:sz w:val="22"/>
                <w:szCs w:val="20"/>
              </w:rPr>
              <w:t>✓</w:t>
            </w:r>
          </w:p>
        </w:tc>
        <w:tc>
          <w:tcPr>
            <w:tcW w:w="0" w:type="auto"/>
            <w:hideMark/>
          </w:tcPr>
          <w:p w14:paraId="412E1D1E" w14:textId="77777777" w:rsidR="00CF52A3" w:rsidRPr="009752E8" w:rsidRDefault="00CF52A3" w:rsidP="00D12633">
            <w:pPr>
              <w:rPr>
                <w:sz w:val="22"/>
                <w:szCs w:val="20"/>
              </w:rPr>
            </w:pPr>
            <w:r w:rsidRPr="009752E8">
              <w:rPr>
                <w:sz w:val="22"/>
                <w:szCs w:val="20"/>
              </w:rPr>
              <w:t xml:space="preserve">0.772 </w:t>
            </w:r>
            <w:r w:rsidRPr="009752E8">
              <w:rPr>
                <w:rFonts w:ascii="Segoe UI Symbol" w:hAnsi="Segoe UI Symbol" w:cs="Segoe UI Symbol"/>
                <w:sz w:val="22"/>
                <w:szCs w:val="20"/>
              </w:rPr>
              <w:t>✗</w:t>
            </w:r>
          </w:p>
        </w:tc>
      </w:tr>
      <w:tr w:rsidR="00CF52A3" w:rsidRPr="009752E8" w14:paraId="497EF127" w14:textId="77777777" w:rsidTr="00D12633">
        <w:trPr>
          <w:trHeight w:val="345"/>
        </w:trPr>
        <w:tc>
          <w:tcPr>
            <w:tcW w:w="0" w:type="auto"/>
            <w:hideMark/>
          </w:tcPr>
          <w:p w14:paraId="5FB67ABC" w14:textId="77777777" w:rsidR="00CF52A3" w:rsidRPr="009752E8" w:rsidRDefault="00CF52A3" w:rsidP="00D12633">
            <w:pPr>
              <w:rPr>
                <w:sz w:val="22"/>
                <w:szCs w:val="20"/>
              </w:rPr>
            </w:pPr>
          </w:p>
        </w:tc>
        <w:tc>
          <w:tcPr>
            <w:tcW w:w="0" w:type="auto"/>
            <w:hideMark/>
          </w:tcPr>
          <w:p w14:paraId="768F6BB0" w14:textId="77777777" w:rsidR="00CF52A3" w:rsidRPr="009752E8" w:rsidRDefault="00CF52A3" w:rsidP="00D12633">
            <w:pPr>
              <w:rPr>
                <w:sz w:val="22"/>
                <w:szCs w:val="20"/>
              </w:rPr>
            </w:pPr>
            <w:r w:rsidRPr="009752E8">
              <w:rPr>
                <w:sz w:val="22"/>
                <w:szCs w:val="20"/>
              </w:rPr>
              <w:t>hard 0.4 vs hard 0.5</w:t>
            </w:r>
          </w:p>
        </w:tc>
        <w:tc>
          <w:tcPr>
            <w:tcW w:w="0" w:type="auto"/>
            <w:hideMark/>
          </w:tcPr>
          <w:p w14:paraId="772346A1" w14:textId="77777777" w:rsidR="00CF52A3" w:rsidRPr="009752E8" w:rsidRDefault="00CF52A3" w:rsidP="00D12633">
            <w:pPr>
              <w:rPr>
                <w:sz w:val="22"/>
                <w:szCs w:val="20"/>
              </w:rPr>
            </w:pPr>
            <w:r w:rsidRPr="009752E8">
              <w:rPr>
                <w:sz w:val="22"/>
                <w:szCs w:val="20"/>
              </w:rPr>
              <w:t xml:space="preserve">0.996 </w:t>
            </w:r>
            <w:r w:rsidRPr="009752E8">
              <w:rPr>
                <w:rFonts w:ascii="Segoe UI Symbol" w:hAnsi="Segoe UI Symbol" w:cs="Segoe UI Symbol"/>
                <w:sz w:val="22"/>
                <w:szCs w:val="20"/>
              </w:rPr>
              <w:t>✓</w:t>
            </w:r>
          </w:p>
        </w:tc>
        <w:tc>
          <w:tcPr>
            <w:tcW w:w="0" w:type="auto"/>
            <w:hideMark/>
          </w:tcPr>
          <w:p w14:paraId="1F598CE5" w14:textId="77777777" w:rsidR="00CF52A3" w:rsidRPr="009752E8" w:rsidRDefault="00CF52A3" w:rsidP="00D12633">
            <w:pPr>
              <w:rPr>
                <w:sz w:val="22"/>
                <w:szCs w:val="20"/>
              </w:rPr>
            </w:pPr>
            <w:r w:rsidRPr="009752E8">
              <w:rPr>
                <w:sz w:val="22"/>
                <w:szCs w:val="20"/>
              </w:rPr>
              <w:t xml:space="preserve">0.964 </w:t>
            </w:r>
            <w:r w:rsidRPr="009752E8">
              <w:rPr>
                <w:rFonts w:ascii="Segoe UI Symbol" w:hAnsi="Segoe UI Symbol" w:cs="Segoe UI Symbol"/>
                <w:sz w:val="22"/>
                <w:szCs w:val="20"/>
              </w:rPr>
              <w:t>✓</w:t>
            </w:r>
          </w:p>
        </w:tc>
      </w:tr>
    </w:tbl>
    <w:p w14:paraId="25F63558" w14:textId="77777777" w:rsidR="00CF52A3" w:rsidRPr="009752E8" w:rsidRDefault="00CF52A3" w:rsidP="00CF52A3">
      <w:pPr>
        <w:spacing w:line="264" w:lineRule="auto"/>
        <w:jc w:val="left"/>
      </w:pPr>
      <w:r w:rsidRPr="009752E8">
        <mc:AlternateContent>
          <mc:Choice Requires="wps">
            <w:drawing>
              <wp:inline distT="0" distB="0" distL="0" distR="0" wp14:anchorId="3270EACC" wp14:editId="30EC658F">
                <wp:extent cx="5757545" cy="1515110"/>
                <wp:effectExtent l="0" t="0" r="0" b="8890"/>
                <wp:docPr id="168024900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7545" cy="1515110"/>
                        </a:xfrm>
                        <a:prstGeom prst="rect">
                          <a:avLst/>
                        </a:prstGeom>
                        <a:solidFill>
                          <a:srgbClr val="FFFFFF"/>
                        </a:solidFill>
                        <a:ln w="9525">
                          <a:noFill/>
                          <a:miter lim="800000"/>
                          <a:headEnd/>
                          <a:tailEnd/>
                        </a:ln>
                      </wps:spPr>
                      <wps:txbx>
                        <w:txbxContent>
                          <w:p w14:paraId="71E1FCC7" w14:textId="77777777" w:rsidR="00CF52A3" w:rsidRPr="009752E8" w:rsidRDefault="00CF52A3" w:rsidP="00CF52A3">
                            <w:pPr>
                              <w:rPr>
                                <w:sz w:val="16"/>
                                <w:szCs w:val="14"/>
                              </w:rPr>
                            </w:pPr>
                            <w:r w:rsidRPr="009752E8">
                              <w:rPr>
                                <w:b/>
                                <w:sz w:val="16"/>
                                <w:szCs w:val="14"/>
                              </w:rPr>
                              <w:t>Table 4.4:</w:t>
                            </w:r>
                            <w:r w:rsidRPr="009752E8">
                              <w:rPr>
                                <w:sz w:val="16"/>
                                <w:szCs w:val="14"/>
                              </w:rPr>
                              <w:t xml:space="preserve"> The two robustness arms that carry a pre-committed rank-correlation criterion (arms 1 and 2 of Section 3.9). Each entry is the Spearman rank correlation between the rankings of the 38 party-period cells under two specifications, reported for the salience layer (H1a, Aggregation A) and the directional layer (H1b, Aggregation B) separately. The temperature arm rescales the sentence posteriors before aggregation, with sharp τ = 0.5, native τ = 1 and flat τ = 2. The threshold arm replaces the soft aggregation of the primary specification with argmax assignment at cut-offs of 0.4 and 0.5. The criteria were fixed before the analysis, ρ ≥ 0.90 for the temperature arm and ρ ≥ 0.85 for the threshold arm. A tick marks a pass and a cross a miss. The threshold arm is computed on code 305 included for construction reasons, so it compares rank orders across the cells and not divergence levels (Section 3.9). Full per-cell results are in Appendix F.6 for the temperature arm and F.7 for the threshold arm.</w:t>
                            </w:r>
                          </w:p>
                        </w:txbxContent>
                      </wps:txbx>
                      <wps:bodyPr rot="0" vert="horz" wrap="square" lIns="91440" tIns="45720" rIns="91440" bIns="45720" anchor="t" anchorCtr="0">
                        <a:noAutofit/>
                      </wps:bodyPr>
                    </wps:wsp>
                  </a:graphicData>
                </a:graphic>
              </wp:inline>
            </w:drawing>
          </mc:Choice>
          <mc:Fallback>
            <w:pict>
              <v:shapetype w14:anchorId="3270EACC" id="_x0000_t202" coordsize="21600,21600" o:spt="202" path="m,l,21600r21600,l21600,xe">
                <v:stroke joinstyle="miter"/>
                <v:path gradientshapeok="t" o:connecttype="rect"/>
              </v:shapetype>
              <v:shape id="Textfeld 2" o:spid="_x0000_s1026" type="#_x0000_t202" style="width:453.35pt;height:11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" stroked="f">
                <v:textbox>
                  <w:txbxContent>
                    <w:p w14:paraId="71E1FCC7" w14:textId="77777777" w:rsidR="00CF52A3" w:rsidRPr="009752E8" w:rsidRDefault="00CF52A3" w:rsidP="00CF52A3">
                      <w:pPr>
                        <w:rPr>
                          <w:sz w:val="16"/>
                          <w:szCs w:val="14"/>
                        </w:rPr>
                      </w:pPr>
                      <w:r w:rsidRPr="009752E8">
                        <w:rPr>
                          <w:b/>
                          <w:sz w:val="16"/>
                          <w:szCs w:val="14"/>
                        </w:rPr>
                        <w:t>Table 4.4:</w:t>
                      </w:r>
                      <w:r w:rsidRPr="009752E8">
                        <w:rPr>
                          <w:sz w:val="16"/>
                          <w:szCs w:val="14"/>
                        </w:rPr>
                        <w:t xml:space="preserve"> The two robustness arms that carry a pre-committed rank-correlation criterion (arms 1 and 2 of Section 3.9). Each entry is the Spearman rank correlation between the rankings of the 38 party-period cells under two specifications, reported for the salience layer (H1a, Aggregation A) and the directional layer (H1b, Aggregation B) separately. The temperature arm rescales the sentence posteriors before aggregation, with sharp τ = 0.5, native τ = 1 and flat τ = 2. The threshold arm replaces the soft aggregation of the primary specification with argmax assignment at cut-offs of 0.4 and 0.5. The criteria were fixed before the analysis, ρ ≥ 0.90 for the temperature arm and ρ ≥ 0.85 for the threshold arm. A tick marks a pass and a cross a miss. The threshold arm is computed on code 305 included for construction reasons, so it compares rank orders across the cells and not divergence levels (Section 3.9). Full per-cell results are in Appendix F.6 for the temperature arm and F.7 for the threshold arm.</w:t>
                      </w:r>
                    </w:p>
                  </w:txbxContent>
                </v:textbox>
                <w10:anchorlock/>
              </v:shape>
            </w:pict>
          </mc:Fallback>
        </mc:AlternateContent>
      </w:r>
    </w:p>
    <w:p w14:paraId="71693214" w14:textId="77777777" w:rsidR="00CF52A3" w:rsidRDefault="00CF52A3" w:rsidP="00CF52A3">
      <w:r w:rsidRPr="009752E8">
        <w:t xml:space="preserve">The per-cell detail behind these correlations is given in the appendix. Appendix F.6 plots the temperature sweep cell by cell, where the flat variant visibly reshuffles the ordering that the sharp and native variants preserve. Appendix F.7 plots each hard-threshold variant against the soft baseline, where the points track the identity line up to a level shift, which is what the rank correlations summarise. The remaining arms are reported where their design concern arises. Arm 3, which crosses the filter ladder with the code-305 treatment, is reported with the corrections themselves in Section 3.6.2 and Appendix F.3, where the two corrections are shown to be complementary rather than redundant. </w:t>
      </w:r>
    </w:p>
    <w:p w14:paraId="6BB3238C" w14:textId="77777777" w:rsidR="00CF52A3" w:rsidRPr="009752E8" w:rsidRDefault="00CF52A3" w:rsidP="00CF52A3">
      <w:r>
        <w:t xml:space="preserve">Concerning the further robustness measures we undertake: </w:t>
      </w:r>
      <w:r w:rsidRPr="009752E8">
        <w:t xml:space="preserve">Arm 4, a tightened prefilter of at least eight words per sentence, was computed as a sensitivity check on H2a and </w:t>
      </w:r>
      <w:r w:rsidRPr="009752E8">
        <w:lastRenderedPageBreak/>
        <w:t>returns near-perfect rank agreement with the primary specification, so it is subsumed by the full filter and not tabulated separately. Arm 5, the re-split of the migration axis to the multiculturalism codes alone, is reported with the directional composition in Section 4.2.2, where it lowers the restrictive shares without moving the migration divergence. Arm 6, the refit of the polarisation trends without the AfD, is reported with the trends themselves in Section 4.4, where it localises the European rise to the party's entry.</w:t>
      </w:r>
    </w:p>
    <w:p w14:paraId="52679C7B" w14:textId="77777777" w:rsidR="00CF52A3" w:rsidRPr="009752E8" w:rsidRDefault="00CF52A3" w:rsidP="00CF52A3">
      <w:r w:rsidRPr="009752E8">
        <w:t>The corrections also do not buy their lower headline numbers at the price of wider uncertainty. Across the six bands that cross the filter ladder with the code-305 treatment at native temperature, the sentence bootstrap intervals do not widen as the corrections are applied. The mean interval width is 0.0013 for all three code-305-excluded bands against 0.0016 to 0.0017 for the included bands, while the mean divergence falls from 0.0715 and 0.0333 without a filter to 0.0641 and 0.0322 under the procedural filter and to 0.0510 and 0.0297 under the full filter, for the included and excluded bands respectively. The excluded bands are, if anything, the tighter ones. The full table of the six bands is given in Appendix F.3.</w:t>
      </w:r>
    </w:p>
    <w:p w14:paraId="6BEB06CE" w14:textId="77777777" w:rsidR="00CF52A3" w:rsidRPr="009752E8" w:rsidRDefault="00CF52A3" w:rsidP="00CF52A3">
      <w:r w:rsidRPr="009752E8">
        <w:t>Two things are stable across both layers. The temperature effect between the sharp and native variants holds at 0.970 and 0.956, so neither ranking depends on the calibration sharpness inherited from the classifier within that range. What fails on both layers is the flat variant. Raising the temperature to 2 pushes every posterior towards the uniform distribution and inflates the divergence itself, from 0.0297 to 0.0368 on H1a and from 0.0506 to 0.0852 on H1b, so the reshuffling is what extreme flattening does rather than an accident, but the criterion is missed all the same. The two layers part company on the threshold arm. On the salience layer the choice between soft and hard aggregation is close to inconsequential, from 0.929 to 0.996, while on the directional layer it is not, with the soft-to-hard comparison at the higher cut-off falling to 0.772. This is the same fragility that</w:t>
      </w:r>
      <w:r>
        <w:t xml:space="preserve"> is likely due to the finer grained distinction of codes on the B aggregation and</w:t>
      </w:r>
      <w:r w:rsidRPr="009752E8">
        <w:t xml:space="preserve"> led us to label every scheme-B hypothesis exploratory. </w:t>
      </w:r>
      <w:r>
        <w:t>In recapitulation r</w:t>
      </w:r>
      <w:r w:rsidRPr="001A2215">
        <w:t>esults are robust to moderate temperature variation and to the argmax alternative on the salience layer</w:t>
      </w:r>
      <w:r>
        <w:t xml:space="preserve"> but,</w:t>
      </w:r>
      <w:r w:rsidRPr="001A2215">
        <w:t xml:space="preserve"> they are not robust to extreme flattening, and the directional layer inherits part of that fragility, consistent with its exploratory status.</w:t>
      </w:r>
    </w:p>
    <w:p w14:paraId="2E28F780" w14:textId="77777777" w:rsidR="002B5112" w:rsidRDefault="002B5112"/>
    <w:sectPr w:rsidR="002B511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2A3"/>
    <w:rsid w:val="002B5112"/>
    <w:rsid w:val="002E6188"/>
    <w:rsid w:val="00741124"/>
    <w:rsid w:val="00B7667D"/>
    <w:rsid w:val="00CF52A3"/>
    <w:rsid w:val="00DD5B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D37B2"/>
  <w15:chartTrackingRefBased/>
  <w15:docId w15:val="{3C1F85AE-363C-4C5D-B07E-8B83B378C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F52A3"/>
    <w:pPr>
      <w:spacing w:after="120" w:line="360" w:lineRule="auto"/>
      <w:jc w:val="both"/>
    </w:pPr>
    <w:rPr>
      <w:rFonts w:eastAsiaTheme="minorEastAsia"/>
      <w:kern w:val="0"/>
      <w:szCs w:val="21"/>
      <w:lang w:val="en-GB"/>
      <w14:ligatures w14:val="none"/>
    </w:rPr>
  </w:style>
  <w:style w:type="paragraph" w:styleId="berschrift1">
    <w:name w:val="heading 1"/>
    <w:basedOn w:val="Standard"/>
    <w:next w:val="Standard"/>
    <w:link w:val="berschrift1Zchn"/>
    <w:uiPriority w:val="9"/>
    <w:qFormat/>
    <w:rsid w:val="00CF52A3"/>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berschrift2">
    <w:name w:val="heading 2"/>
    <w:basedOn w:val="Standard"/>
    <w:next w:val="Standard"/>
    <w:link w:val="berschrift2Zchn"/>
    <w:uiPriority w:val="9"/>
    <w:unhideWhenUsed/>
    <w:qFormat/>
    <w:rsid w:val="00CF52A3"/>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berschrift3">
    <w:name w:val="heading 3"/>
    <w:basedOn w:val="Standard"/>
    <w:next w:val="Standard"/>
    <w:link w:val="berschrift3Zchn"/>
    <w:uiPriority w:val="9"/>
    <w:semiHidden/>
    <w:unhideWhenUsed/>
    <w:qFormat/>
    <w:rsid w:val="00CF52A3"/>
    <w:pPr>
      <w:keepNext/>
      <w:keepLines/>
      <w:spacing w:before="160" w:after="80" w:line="278" w:lineRule="auto"/>
      <w:jc w:val="left"/>
      <w:outlineLvl w:val="2"/>
    </w:pPr>
    <w:rPr>
      <w:rFonts w:eastAsiaTheme="majorEastAsia" w:cstheme="majorBidi"/>
      <w:color w:val="0F4761" w:themeColor="accent1" w:themeShade="BF"/>
      <w:kern w:val="2"/>
      <w:sz w:val="28"/>
      <w:szCs w:val="28"/>
      <w14:ligatures w14:val="standardContextual"/>
    </w:rPr>
  </w:style>
  <w:style w:type="paragraph" w:styleId="berschrift4">
    <w:name w:val="heading 4"/>
    <w:basedOn w:val="Standard"/>
    <w:next w:val="Standard"/>
    <w:link w:val="berschrift4Zchn"/>
    <w:uiPriority w:val="9"/>
    <w:semiHidden/>
    <w:unhideWhenUsed/>
    <w:qFormat/>
    <w:rsid w:val="00CF52A3"/>
    <w:pPr>
      <w:keepNext/>
      <w:keepLines/>
      <w:spacing w:before="80" w:after="40" w:line="278" w:lineRule="auto"/>
      <w:jc w:val="left"/>
      <w:outlineLvl w:val="3"/>
    </w:pPr>
    <w:rPr>
      <w:rFonts w:eastAsiaTheme="majorEastAsia" w:cstheme="majorBidi"/>
      <w:i/>
      <w:iCs/>
      <w:color w:val="0F4761" w:themeColor="accent1" w:themeShade="BF"/>
      <w:kern w:val="2"/>
      <w:szCs w:val="24"/>
      <w14:ligatures w14:val="standardContextual"/>
    </w:rPr>
  </w:style>
  <w:style w:type="paragraph" w:styleId="berschrift5">
    <w:name w:val="heading 5"/>
    <w:basedOn w:val="Standard"/>
    <w:next w:val="Standard"/>
    <w:link w:val="berschrift5Zchn"/>
    <w:uiPriority w:val="9"/>
    <w:semiHidden/>
    <w:unhideWhenUsed/>
    <w:qFormat/>
    <w:rsid w:val="00CF52A3"/>
    <w:pPr>
      <w:keepNext/>
      <w:keepLines/>
      <w:spacing w:before="80" w:after="40" w:line="278" w:lineRule="auto"/>
      <w:jc w:val="left"/>
      <w:outlineLvl w:val="4"/>
    </w:pPr>
    <w:rPr>
      <w:rFonts w:eastAsiaTheme="majorEastAsia" w:cstheme="majorBidi"/>
      <w:color w:val="0F4761" w:themeColor="accent1" w:themeShade="BF"/>
      <w:kern w:val="2"/>
      <w:szCs w:val="24"/>
      <w14:ligatures w14:val="standardContextual"/>
    </w:rPr>
  </w:style>
  <w:style w:type="paragraph" w:styleId="berschrift6">
    <w:name w:val="heading 6"/>
    <w:basedOn w:val="Standard"/>
    <w:next w:val="Standard"/>
    <w:link w:val="berschrift6Zchn"/>
    <w:uiPriority w:val="9"/>
    <w:semiHidden/>
    <w:unhideWhenUsed/>
    <w:qFormat/>
    <w:rsid w:val="00CF52A3"/>
    <w:pPr>
      <w:keepNext/>
      <w:keepLines/>
      <w:spacing w:before="40" w:after="0" w:line="278" w:lineRule="auto"/>
      <w:jc w:val="left"/>
      <w:outlineLvl w:val="5"/>
    </w:pPr>
    <w:rPr>
      <w:rFonts w:eastAsiaTheme="majorEastAsia" w:cstheme="majorBidi"/>
      <w:i/>
      <w:iCs/>
      <w:color w:val="595959" w:themeColor="text1" w:themeTint="A6"/>
      <w:kern w:val="2"/>
      <w:szCs w:val="24"/>
      <w14:ligatures w14:val="standardContextual"/>
    </w:rPr>
  </w:style>
  <w:style w:type="paragraph" w:styleId="berschrift7">
    <w:name w:val="heading 7"/>
    <w:basedOn w:val="Standard"/>
    <w:next w:val="Standard"/>
    <w:link w:val="berschrift7Zchn"/>
    <w:uiPriority w:val="9"/>
    <w:semiHidden/>
    <w:unhideWhenUsed/>
    <w:qFormat/>
    <w:rsid w:val="00CF52A3"/>
    <w:pPr>
      <w:keepNext/>
      <w:keepLines/>
      <w:spacing w:before="40" w:after="0" w:line="278" w:lineRule="auto"/>
      <w:jc w:val="left"/>
      <w:outlineLvl w:val="6"/>
    </w:pPr>
    <w:rPr>
      <w:rFonts w:eastAsiaTheme="majorEastAsia" w:cstheme="majorBidi"/>
      <w:color w:val="595959" w:themeColor="text1" w:themeTint="A6"/>
      <w:kern w:val="2"/>
      <w:szCs w:val="24"/>
      <w14:ligatures w14:val="standardContextual"/>
    </w:rPr>
  </w:style>
  <w:style w:type="paragraph" w:styleId="berschrift8">
    <w:name w:val="heading 8"/>
    <w:basedOn w:val="Standard"/>
    <w:next w:val="Standard"/>
    <w:link w:val="berschrift8Zchn"/>
    <w:uiPriority w:val="9"/>
    <w:semiHidden/>
    <w:unhideWhenUsed/>
    <w:qFormat/>
    <w:rsid w:val="00CF52A3"/>
    <w:pPr>
      <w:keepNext/>
      <w:keepLines/>
      <w:spacing w:after="0" w:line="278" w:lineRule="auto"/>
      <w:jc w:val="left"/>
      <w:outlineLvl w:val="7"/>
    </w:pPr>
    <w:rPr>
      <w:rFonts w:eastAsiaTheme="majorEastAsia" w:cstheme="majorBidi"/>
      <w:i/>
      <w:iCs/>
      <w:color w:val="272727" w:themeColor="text1" w:themeTint="D8"/>
      <w:kern w:val="2"/>
      <w:szCs w:val="24"/>
      <w14:ligatures w14:val="standardContextual"/>
    </w:rPr>
  </w:style>
  <w:style w:type="paragraph" w:styleId="berschrift9">
    <w:name w:val="heading 9"/>
    <w:basedOn w:val="Standard"/>
    <w:next w:val="Standard"/>
    <w:link w:val="berschrift9Zchn"/>
    <w:uiPriority w:val="9"/>
    <w:semiHidden/>
    <w:unhideWhenUsed/>
    <w:qFormat/>
    <w:rsid w:val="00CF52A3"/>
    <w:pPr>
      <w:keepNext/>
      <w:keepLines/>
      <w:spacing w:after="0" w:line="278" w:lineRule="auto"/>
      <w:jc w:val="left"/>
      <w:outlineLvl w:val="8"/>
    </w:pPr>
    <w:rPr>
      <w:rFonts w:eastAsiaTheme="majorEastAsia" w:cstheme="majorBidi"/>
      <w:color w:val="272727" w:themeColor="text1" w:themeTint="D8"/>
      <w:kern w:val="2"/>
      <w:szCs w:val="24"/>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F52A3"/>
    <w:rPr>
      <w:rFonts w:asciiTheme="majorHAnsi" w:eastAsiaTheme="majorEastAsia" w:hAnsiTheme="majorHAnsi" w:cstheme="majorBidi"/>
      <w:color w:val="0F4761" w:themeColor="accent1" w:themeShade="BF"/>
      <w:sz w:val="40"/>
      <w:szCs w:val="40"/>
      <w:lang w:val="en-GB"/>
    </w:rPr>
  </w:style>
  <w:style w:type="character" w:customStyle="1" w:styleId="berschrift2Zchn">
    <w:name w:val="Überschrift 2 Zchn"/>
    <w:basedOn w:val="Absatz-Standardschriftart"/>
    <w:link w:val="berschrift2"/>
    <w:uiPriority w:val="9"/>
    <w:rsid w:val="00CF52A3"/>
    <w:rPr>
      <w:rFonts w:asciiTheme="majorHAnsi" w:eastAsiaTheme="majorEastAsia" w:hAnsiTheme="majorHAnsi" w:cstheme="majorBidi"/>
      <w:color w:val="0F4761" w:themeColor="accent1" w:themeShade="BF"/>
      <w:sz w:val="32"/>
      <w:szCs w:val="32"/>
      <w:lang w:val="en-GB"/>
    </w:rPr>
  </w:style>
  <w:style w:type="character" w:customStyle="1" w:styleId="berschrift3Zchn">
    <w:name w:val="Überschrift 3 Zchn"/>
    <w:basedOn w:val="Absatz-Standardschriftart"/>
    <w:link w:val="berschrift3"/>
    <w:uiPriority w:val="9"/>
    <w:semiHidden/>
    <w:rsid w:val="00CF52A3"/>
    <w:rPr>
      <w:rFonts w:eastAsiaTheme="majorEastAsia" w:cstheme="majorBidi"/>
      <w:color w:val="0F4761" w:themeColor="accent1" w:themeShade="BF"/>
      <w:sz w:val="28"/>
      <w:szCs w:val="28"/>
      <w:lang w:val="en-GB"/>
    </w:rPr>
  </w:style>
  <w:style w:type="character" w:customStyle="1" w:styleId="berschrift4Zchn">
    <w:name w:val="Überschrift 4 Zchn"/>
    <w:basedOn w:val="Absatz-Standardschriftart"/>
    <w:link w:val="berschrift4"/>
    <w:uiPriority w:val="9"/>
    <w:semiHidden/>
    <w:rsid w:val="00CF52A3"/>
    <w:rPr>
      <w:rFonts w:eastAsiaTheme="majorEastAsia" w:cstheme="majorBidi"/>
      <w:i/>
      <w:iCs/>
      <w:color w:val="0F4761" w:themeColor="accent1" w:themeShade="BF"/>
      <w:lang w:val="en-GB"/>
    </w:rPr>
  </w:style>
  <w:style w:type="character" w:customStyle="1" w:styleId="berschrift5Zchn">
    <w:name w:val="Überschrift 5 Zchn"/>
    <w:basedOn w:val="Absatz-Standardschriftart"/>
    <w:link w:val="berschrift5"/>
    <w:uiPriority w:val="9"/>
    <w:semiHidden/>
    <w:rsid w:val="00CF52A3"/>
    <w:rPr>
      <w:rFonts w:eastAsiaTheme="majorEastAsia" w:cstheme="majorBidi"/>
      <w:color w:val="0F4761" w:themeColor="accent1" w:themeShade="BF"/>
      <w:lang w:val="en-GB"/>
    </w:rPr>
  </w:style>
  <w:style w:type="character" w:customStyle="1" w:styleId="berschrift6Zchn">
    <w:name w:val="Überschrift 6 Zchn"/>
    <w:basedOn w:val="Absatz-Standardschriftart"/>
    <w:link w:val="berschrift6"/>
    <w:uiPriority w:val="9"/>
    <w:semiHidden/>
    <w:rsid w:val="00CF52A3"/>
    <w:rPr>
      <w:rFonts w:eastAsiaTheme="majorEastAsia" w:cstheme="majorBidi"/>
      <w:i/>
      <w:iCs/>
      <w:color w:val="595959" w:themeColor="text1" w:themeTint="A6"/>
      <w:lang w:val="en-GB"/>
    </w:rPr>
  </w:style>
  <w:style w:type="character" w:customStyle="1" w:styleId="berschrift7Zchn">
    <w:name w:val="Überschrift 7 Zchn"/>
    <w:basedOn w:val="Absatz-Standardschriftart"/>
    <w:link w:val="berschrift7"/>
    <w:uiPriority w:val="9"/>
    <w:semiHidden/>
    <w:rsid w:val="00CF52A3"/>
    <w:rPr>
      <w:rFonts w:eastAsiaTheme="majorEastAsia" w:cstheme="majorBidi"/>
      <w:color w:val="595959" w:themeColor="text1" w:themeTint="A6"/>
      <w:lang w:val="en-GB"/>
    </w:rPr>
  </w:style>
  <w:style w:type="character" w:customStyle="1" w:styleId="berschrift8Zchn">
    <w:name w:val="Überschrift 8 Zchn"/>
    <w:basedOn w:val="Absatz-Standardschriftart"/>
    <w:link w:val="berschrift8"/>
    <w:uiPriority w:val="9"/>
    <w:semiHidden/>
    <w:rsid w:val="00CF52A3"/>
    <w:rPr>
      <w:rFonts w:eastAsiaTheme="majorEastAsia" w:cstheme="majorBidi"/>
      <w:i/>
      <w:iCs/>
      <w:color w:val="272727" w:themeColor="text1" w:themeTint="D8"/>
      <w:lang w:val="en-GB"/>
    </w:rPr>
  </w:style>
  <w:style w:type="character" w:customStyle="1" w:styleId="berschrift9Zchn">
    <w:name w:val="Überschrift 9 Zchn"/>
    <w:basedOn w:val="Absatz-Standardschriftart"/>
    <w:link w:val="berschrift9"/>
    <w:uiPriority w:val="9"/>
    <w:semiHidden/>
    <w:rsid w:val="00CF52A3"/>
    <w:rPr>
      <w:rFonts w:eastAsiaTheme="majorEastAsia" w:cstheme="majorBidi"/>
      <w:color w:val="272727" w:themeColor="text1" w:themeTint="D8"/>
      <w:lang w:val="en-GB"/>
    </w:rPr>
  </w:style>
  <w:style w:type="paragraph" w:styleId="Titel">
    <w:name w:val="Title"/>
    <w:basedOn w:val="Standard"/>
    <w:next w:val="Standard"/>
    <w:link w:val="TitelZchn"/>
    <w:uiPriority w:val="10"/>
    <w:qFormat/>
    <w:rsid w:val="00CF52A3"/>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elZchn">
    <w:name w:val="Titel Zchn"/>
    <w:basedOn w:val="Absatz-Standardschriftart"/>
    <w:link w:val="Titel"/>
    <w:uiPriority w:val="10"/>
    <w:rsid w:val="00CF52A3"/>
    <w:rPr>
      <w:rFonts w:asciiTheme="majorHAnsi" w:eastAsiaTheme="majorEastAsia" w:hAnsiTheme="majorHAnsi" w:cstheme="majorBidi"/>
      <w:spacing w:val="-10"/>
      <w:kern w:val="28"/>
      <w:sz w:val="56"/>
      <w:szCs w:val="56"/>
      <w:lang w:val="en-GB"/>
    </w:rPr>
  </w:style>
  <w:style w:type="paragraph" w:styleId="Untertitel">
    <w:name w:val="Subtitle"/>
    <w:basedOn w:val="Standard"/>
    <w:next w:val="Standard"/>
    <w:link w:val="UntertitelZchn"/>
    <w:uiPriority w:val="11"/>
    <w:qFormat/>
    <w:rsid w:val="00CF52A3"/>
    <w:pPr>
      <w:numPr>
        <w:ilvl w:val="1"/>
      </w:numPr>
      <w:spacing w:after="160" w:line="278" w:lineRule="auto"/>
      <w:jc w:val="left"/>
    </w:pPr>
    <w:rPr>
      <w:rFonts w:eastAsiaTheme="majorEastAsia" w:cstheme="majorBidi"/>
      <w:color w:val="595959" w:themeColor="text1" w:themeTint="A6"/>
      <w:spacing w:val="15"/>
      <w:kern w:val="2"/>
      <w:sz w:val="28"/>
      <w:szCs w:val="28"/>
      <w14:ligatures w14:val="standardContextual"/>
    </w:rPr>
  </w:style>
  <w:style w:type="character" w:customStyle="1" w:styleId="UntertitelZchn">
    <w:name w:val="Untertitel Zchn"/>
    <w:basedOn w:val="Absatz-Standardschriftart"/>
    <w:link w:val="Untertitel"/>
    <w:uiPriority w:val="11"/>
    <w:rsid w:val="00CF52A3"/>
    <w:rPr>
      <w:rFonts w:eastAsiaTheme="majorEastAsia" w:cstheme="majorBidi"/>
      <w:color w:val="595959" w:themeColor="text1" w:themeTint="A6"/>
      <w:spacing w:val="15"/>
      <w:sz w:val="28"/>
      <w:szCs w:val="28"/>
      <w:lang w:val="en-GB"/>
    </w:rPr>
  </w:style>
  <w:style w:type="paragraph" w:styleId="Zitat">
    <w:name w:val="Quote"/>
    <w:basedOn w:val="Standard"/>
    <w:next w:val="Standard"/>
    <w:link w:val="ZitatZchn"/>
    <w:uiPriority w:val="29"/>
    <w:qFormat/>
    <w:rsid w:val="00CF52A3"/>
    <w:pPr>
      <w:spacing w:before="160" w:after="160" w:line="278" w:lineRule="auto"/>
      <w:jc w:val="center"/>
    </w:pPr>
    <w:rPr>
      <w:rFonts w:eastAsiaTheme="minorHAnsi"/>
      <w:i/>
      <w:iCs/>
      <w:color w:val="404040" w:themeColor="text1" w:themeTint="BF"/>
      <w:kern w:val="2"/>
      <w:szCs w:val="24"/>
      <w14:ligatures w14:val="standardContextual"/>
    </w:rPr>
  </w:style>
  <w:style w:type="character" w:customStyle="1" w:styleId="ZitatZchn">
    <w:name w:val="Zitat Zchn"/>
    <w:basedOn w:val="Absatz-Standardschriftart"/>
    <w:link w:val="Zitat"/>
    <w:uiPriority w:val="29"/>
    <w:rsid w:val="00CF52A3"/>
    <w:rPr>
      <w:i/>
      <w:iCs/>
      <w:color w:val="404040" w:themeColor="text1" w:themeTint="BF"/>
      <w:lang w:val="en-GB"/>
    </w:rPr>
  </w:style>
  <w:style w:type="paragraph" w:styleId="Listenabsatz">
    <w:name w:val="List Paragraph"/>
    <w:basedOn w:val="Standard"/>
    <w:uiPriority w:val="34"/>
    <w:qFormat/>
    <w:rsid w:val="00CF52A3"/>
    <w:pPr>
      <w:spacing w:after="160" w:line="278" w:lineRule="auto"/>
      <w:ind w:left="720"/>
      <w:contextualSpacing/>
      <w:jc w:val="left"/>
    </w:pPr>
    <w:rPr>
      <w:rFonts w:eastAsiaTheme="minorHAnsi"/>
      <w:kern w:val="2"/>
      <w:szCs w:val="24"/>
      <w14:ligatures w14:val="standardContextual"/>
    </w:rPr>
  </w:style>
  <w:style w:type="character" w:styleId="IntensiveHervorhebung">
    <w:name w:val="Intense Emphasis"/>
    <w:basedOn w:val="Absatz-Standardschriftart"/>
    <w:uiPriority w:val="21"/>
    <w:qFormat/>
    <w:rsid w:val="00CF52A3"/>
    <w:rPr>
      <w:i/>
      <w:iCs/>
      <w:color w:val="0F4761" w:themeColor="accent1" w:themeShade="BF"/>
    </w:rPr>
  </w:style>
  <w:style w:type="paragraph" w:styleId="IntensivesZitat">
    <w:name w:val="Intense Quote"/>
    <w:basedOn w:val="Standard"/>
    <w:next w:val="Standard"/>
    <w:link w:val="IntensivesZitatZchn"/>
    <w:uiPriority w:val="30"/>
    <w:qFormat/>
    <w:rsid w:val="00CF52A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Cs w:val="24"/>
      <w14:ligatures w14:val="standardContextual"/>
    </w:rPr>
  </w:style>
  <w:style w:type="character" w:customStyle="1" w:styleId="IntensivesZitatZchn">
    <w:name w:val="Intensives Zitat Zchn"/>
    <w:basedOn w:val="Absatz-Standardschriftart"/>
    <w:link w:val="IntensivesZitat"/>
    <w:uiPriority w:val="30"/>
    <w:rsid w:val="00CF52A3"/>
    <w:rPr>
      <w:i/>
      <w:iCs/>
      <w:color w:val="0F4761" w:themeColor="accent1" w:themeShade="BF"/>
      <w:lang w:val="en-GB"/>
    </w:rPr>
  </w:style>
  <w:style w:type="character" w:styleId="IntensiverVerweis">
    <w:name w:val="Intense Reference"/>
    <w:basedOn w:val="Absatz-Standardschriftart"/>
    <w:uiPriority w:val="32"/>
    <w:qFormat/>
    <w:rsid w:val="00CF52A3"/>
    <w:rPr>
      <w:b/>
      <w:bCs/>
      <w:smallCaps/>
      <w:color w:val="0F4761" w:themeColor="accent1" w:themeShade="BF"/>
      <w:spacing w:val="5"/>
    </w:rPr>
  </w:style>
  <w:style w:type="table" w:styleId="Tabellenraster">
    <w:name w:val="Table Grid"/>
    <w:basedOn w:val="NormaleTabelle"/>
    <w:uiPriority w:val="39"/>
    <w:rsid w:val="00CF52A3"/>
    <w:pPr>
      <w:spacing w:after="0" w:line="240" w:lineRule="auto"/>
    </w:pPr>
    <w:rPr>
      <w:rFonts w:eastAsiaTheme="minorEastAsia"/>
      <w:kern w:val="0"/>
      <w:sz w:val="21"/>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564</Words>
  <Characters>3560</Characters>
  <Application>Microsoft Office Word</Application>
  <DocSecurity>0</DocSecurity>
  <Lines>29</Lines>
  <Paragraphs>8</Paragraphs>
  <ScaleCrop>false</ScaleCrop>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Katzmann, Florian</dc:creator>
  <cp:keywords/>
  <dc:description/>
  <cp:lastModifiedBy>Katzmann, Florian</cp:lastModifiedBy>
  <cp:revision>1</cp:revision>
  <dcterms:created xsi:type="dcterms:W3CDTF">2026-07-24T15:57:00Z</dcterms:created>
  <dcterms:modified xsi:type="dcterms:W3CDTF">2026-07-24T15:57:00Z</dcterms:modified>
</cp:coreProperties>
</file>