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8A4" w:rsidRPr="00CA089C" w:rsidRDefault="00A71B63" w:rsidP="00C118A4">
      <w:bookmarkStart w:id="0" w:name="_Toc168113228"/>
      <w:r w:rsidRPr="00CA089C">
        <w:rPr>
          <w:noProof/>
        </w:rPr>
        <w:drawing>
          <wp:inline distT="0" distB="0" distL="0" distR="0">
            <wp:extent cx="141922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19225" cy="1104900"/>
                    </a:xfrm>
                    <a:prstGeom prst="rect">
                      <a:avLst/>
                    </a:prstGeom>
                    <a:noFill/>
                    <a:ln w="9525">
                      <a:noFill/>
                      <a:miter lim="800000"/>
                      <a:headEnd/>
                      <a:tailEnd/>
                    </a:ln>
                  </pic:spPr>
                </pic:pic>
              </a:graphicData>
            </a:graphic>
          </wp:inline>
        </w:drawing>
      </w:r>
    </w:p>
    <w:p w:rsidR="00C118A4" w:rsidRPr="00CA089C" w:rsidRDefault="00C118A4" w:rsidP="00C118A4">
      <w:pPr>
        <w:pStyle w:val="Title"/>
      </w:pPr>
      <w:bookmarkStart w:id="1" w:name="Title"/>
      <w:r w:rsidRPr="00CA089C">
        <w:t>Banking (prudential standard) d</w:t>
      </w:r>
      <w:r w:rsidR="00A81740" w:rsidRPr="00CA089C">
        <w:t>e</w:t>
      </w:r>
      <w:r w:rsidRPr="00CA089C">
        <w:t xml:space="preserve">termination No. </w:t>
      </w:r>
      <w:r w:rsidR="00493C4B" w:rsidRPr="00CA089C">
        <w:t>10</w:t>
      </w:r>
      <w:r w:rsidRPr="00CA089C">
        <w:t xml:space="preserve"> of 20</w:t>
      </w:r>
      <w:bookmarkEnd w:id="1"/>
      <w:r w:rsidR="00256ACD" w:rsidRPr="00CA089C">
        <w:t>12</w:t>
      </w:r>
    </w:p>
    <w:p w:rsidR="00C118A4" w:rsidRPr="00CA089C" w:rsidRDefault="00AA1F44" w:rsidP="00C118A4">
      <w:pPr>
        <w:pStyle w:val="CoverStatRule"/>
        <w:spacing w:before="120"/>
        <w:rPr>
          <w:rFonts w:cs="Arial"/>
          <w:sz w:val="32"/>
          <w:szCs w:val="32"/>
        </w:rPr>
      </w:pPr>
      <w:r w:rsidRPr="00CA089C">
        <w:rPr>
          <w:rFonts w:cs="Arial"/>
          <w:sz w:val="32"/>
          <w:szCs w:val="32"/>
        </w:rPr>
        <w:t xml:space="preserve">Prudential Standard APS </w:t>
      </w:r>
      <w:r w:rsidR="00493C4B" w:rsidRPr="00CA089C">
        <w:rPr>
          <w:rFonts w:cs="Arial"/>
          <w:sz w:val="32"/>
          <w:szCs w:val="32"/>
        </w:rPr>
        <w:t>117</w:t>
      </w:r>
      <w:r w:rsidRPr="00CA089C">
        <w:rPr>
          <w:rFonts w:cs="Arial"/>
          <w:sz w:val="32"/>
          <w:szCs w:val="32"/>
        </w:rPr>
        <w:t xml:space="preserve"> </w:t>
      </w:r>
      <w:r w:rsidR="00C118A4" w:rsidRPr="00CA089C">
        <w:rPr>
          <w:rFonts w:cs="Arial"/>
          <w:sz w:val="32"/>
          <w:szCs w:val="32"/>
        </w:rPr>
        <w:t>Capital Adequacy</w:t>
      </w:r>
      <w:r w:rsidR="00493C4B" w:rsidRPr="00CA089C">
        <w:rPr>
          <w:rFonts w:cs="Arial"/>
          <w:sz w:val="32"/>
          <w:szCs w:val="32"/>
        </w:rPr>
        <w:t>: Interest Rate Risk in the Banking Book (Advanced ADIs)</w:t>
      </w:r>
    </w:p>
    <w:p w:rsidR="00C118A4" w:rsidRPr="00CA089C" w:rsidRDefault="00C118A4" w:rsidP="00256ACD">
      <w:pPr>
        <w:pStyle w:val="CoverStatRule"/>
      </w:pPr>
    </w:p>
    <w:p w:rsidR="00C118A4" w:rsidRPr="00CA089C" w:rsidRDefault="00C118A4" w:rsidP="00C118A4">
      <w:pPr>
        <w:pStyle w:val="CoverAct"/>
        <w:rPr>
          <w:sz w:val="32"/>
          <w:szCs w:val="32"/>
        </w:rPr>
      </w:pPr>
      <w:bookmarkStart w:id="2" w:name="Act"/>
      <w:r w:rsidRPr="00CA089C">
        <w:rPr>
          <w:sz w:val="32"/>
          <w:szCs w:val="32"/>
        </w:rPr>
        <w:t>Banking Act 1959</w:t>
      </w:r>
      <w:bookmarkEnd w:id="2"/>
    </w:p>
    <w:p w:rsidR="00256ACD" w:rsidRPr="00CA089C" w:rsidRDefault="00256ACD" w:rsidP="001B4657">
      <w:pPr>
        <w:pStyle w:val="IntroTo"/>
        <w:spacing w:after="240"/>
        <w:ind w:left="0" w:firstLine="0"/>
        <w:jc w:val="both"/>
        <w:rPr>
          <w:szCs w:val="24"/>
        </w:rPr>
      </w:pPr>
    </w:p>
    <w:p w:rsidR="00524A9E" w:rsidRPr="00CA089C" w:rsidRDefault="00524A9E" w:rsidP="00524A9E">
      <w:pPr>
        <w:pStyle w:val="IntroTo"/>
        <w:tabs>
          <w:tab w:val="left" w:pos="-142"/>
        </w:tabs>
        <w:spacing w:after="240"/>
        <w:ind w:left="0" w:firstLine="0"/>
        <w:jc w:val="both"/>
        <w:rPr>
          <w:szCs w:val="24"/>
        </w:rPr>
      </w:pPr>
      <w:r w:rsidRPr="00CA089C">
        <w:rPr>
          <w:szCs w:val="24"/>
        </w:rPr>
        <w:t xml:space="preserve">I, </w:t>
      </w:r>
      <w:r w:rsidR="00ED0FE1" w:rsidRPr="00CA089C">
        <w:rPr>
          <w:szCs w:val="24"/>
        </w:rPr>
        <w:t>John Francis Laker</w:t>
      </w:r>
      <w:r w:rsidR="00182113" w:rsidRPr="00CA089C">
        <w:rPr>
          <w:szCs w:val="24"/>
        </w:rPr>
        <w:t>, delegate of APRA</w:t>
      </w:r>
      <w:r w:rsidR="00146D87" w:rsidRPr="00CA089C">
        <w:rPr>
          <w:szCs w:val="24"/>
        </w:rPr>
        <w:t>:</w:t>
      </w:r>
    </w:p>
    <w:p w:rsidR="0086482C" w:rsidRPr="00CA089C" w:rsidRDefault="0086482C" w:rsidP="0086482C">
      <w:pPr>
        <w:pStyle w:val="IntroTo"/>
        <w:tabs>
          <w:tab w:val="left" w:pos="567"/>
        </w:tabs>
        <w:spacing w:after="240"/>
        <w:ind w:left="567" w:hanging="567"/>
        <w:jc w:val="both"/>
      </w:pPr>
      <w:r w:rsidRPr="00CA089C">
        <w:t>(a)</w:t>
      </w:r>
      <w:r w:rsidRPr="00CA089C">
        <w:tab/>
      </w:r>
      <w:r w:rsidRPr="00CA089C">
        <w:rPr>
          <w:szCs w:val="24"/>
        </w:rPr>
        <w:t>under</w:t>
      </w:r>
      <w:r w:rsidRPr="00CA089C">
        <w:t xml:space="preserve"> subsection 11AF(3) of </w:t>
      </w:r>
      <w:r w:rsidR="00867D63" w:rsidRPr="00CA089C">
        <w:t xml:space="preserve">the </w:t>
      </w:r>
      <w:r w:rsidR="00867D63" w:rsidRPr="00CA089C">
        <w:rPr>
          <w:i/>
        </w:rPr>
        <w:t>Banking Act 1959</w:t>
      </w:r>
      <w:r w:rsidR="00867D63" w:rsidRPr="00CA089C">
        <w:t xml:space="preserve"> (the Act) </w:t>
      </w:r>
      <w:r w:rsidRPr="00CA089C">
        <w:t xml:space="preserve">REVOKE </w:t>
      </w:r>
      <w:r w:rsidRPr="00CA089C">
        <w:rPr>
          <w:szCs w:val="24"/>
        </w:rPr>
        <w:t xml:space="preserve">Banking (prudential standard) determination No. 10 of 2007 including </w:t>
      </w:r>
      <w:r w:rsidRPr="00CA089C">
        <w:rPr>
          <w:i/>
          <w:szCs w:val="24"/>
        </w:rPr>
        <w:t xml:space="preserve">Prudential Standard APS </w:t>
      </w:r>
      <w:r w:rsidRPr="00CA089C">
        <w:rPr>
          <w:i/>
        </w:rPr>
        <w:t>117 Capital Adequacy: Interest Rate Risk in the Banking Book (Advanced ADIs)</w:t>
      </w:r>
      <w:r w:rsidRPr="00CA089C">
        <w:rPr>
          <w:szCs w:val="24"/>
        </w:rPr>
        <w:t xml:space="preserve"> made under that Determination; and</w:t>
      </w:r>
    </w:p>
    <w:p w:rsidR="001B4657" w:rsidRPr="00CA089C" w:rsidRDefault="0086482C" w:rsidP="0086482C">
      <w:pPr>
        <w:pStyle w:val="IntroTo"/>
        <w:spacing w:after="240"/>
        <w:ind w:left="567" w:hanging="567"/>
        <w:jc w:val="both"/>
        <w:rPr>
          <w:szCs w:val="24"/>
        </w:rPr>
      </w:pPr>
      <w:r w:rsidRPr="00CA089C">
        <w:rPr>
          <w:szCs w:val="24"/>
        </w:rPr>
        <w:t>(b</w:t>
      </w:r>
      <w:r w:rsidR="003971DB" w:rsidRPr="00CA089C">
        <w:rPr>
          <w:szCs w:val="24"/>
        </w:rPr>
        <w:t>)</w:t>
      </w:r>
      <w:r w:rsidR="003971DB" w:rsidRPr="00CA089C">
        <w:rPr>
          <w:szCs w:val="24"/>
        </w:rPr>
        <w:tab/>
      </w:r>
      <w:r w:rsidR="00146D87" w:rsidRPr="00CA089C">
        <w:rPr>
          <w:szCs w:val="24"/>
        </w:rPr>
        <w:t xml:space="preserve">under subsection 11AF(1) of </w:t>
      </w:r>
      <w:r w:rsidR="00867D63" w:rsidRPr="00CA089C">
        <w:rPr>
          <w:szCs w:val="24"/>
        </w:rPr>
        <w:t>the Act</w:t>
      </w:r>
      <w:r w:rsidR="00146D87" w:rsidRPr="00CA089C">
        <w:rPr>
          <w:szCs w:val="24"/>
        </w:rPr>
        <w:t xml:space="preserve"> </w:t>
      </w:r>
      <w:r w:rsidR="001B4657" w:rsidRPr="00CA089C">
        <w:rPr>
          <w:szCs w:val="24"/>
        </w:rPr>
        <w:t xml:space="preserve">DETERMINE </w:t>
      </w:r>
      <w:r w:rsidR="001B4657" w:rsidRPr="00CA089C">
        <w:rPr>
          <w:i/>
        </w:rPr>
        <w:t xml:space="preserve">Prudential Standard </w:t>
      </w:r>
      <w:smartTag w:uri="urn:schemas-microsoft-com:office:smarttags" w:element="stockticker">
        <w:r w:rsidR="001B4657" w:rsidRPr="00CA089C">
          <w:rPr>
            <w:i/>
          </w:rPr>
          <w:t>APS</w:t>
        </w:r>
      </w:smartTag>
      <w:r w:rsidR="001B4657" w:rsidRPr="00CA089C">
        <w:rPr>
          <w:i/>
        </w:rPr>
        <w:t xml:space="preserve"> </w:t>
      </w:r>
      <w:r w:rsidR="00493C4B" w:rsidRPr="00CA089C">
        <w:rPr>
          <w:i/>
        </w:rPr>
        <w:t>117</w:t>
      </w:r>
      <w:r w:rsidR="001B4657" w:rsidRPr="00CA089C">
        <w:rPr>
          <w:i/>
        </w:rPr>
        <w:t xml:space="preserve"> Capital Adequacy</w:t>
      </w:r>
      <w:r w:rsidR="00493C4B" w:rsidRPr="00CA089C">
        <w:rPr>
          <w:i/>
        </w:rPr>
        <w:t>: Interest Rate Risk in the Banking Book (Advanced ADIs)</w:t>
      </w:r>
      <w:r w:rsidR="001B4657" w:rsidRPr="00CA089C">
        <w:rPr>
          <w:szCs w:val="24"/>
        </w:rPr>
        <w:t xml:space="preserve"> in the form set out in the </w:t>
      </w:r>
      <w:r w:rsidR="00CD0784" w:rsidRPr="00CA089C">
        <w:rPr>
          <w:szCs w:val="24"/>
        </w:rPr>
        <w:t xml:space="preserve">attached </w:t>
      </w:r>
      <w:r w:rsidR="001B4657" w:rsidRPr="00CA089C">
        <w:rPr>
          <w:szCs w:val="24"/>
        </w:rPr>
        <w:t>Schedule</w:t>
      </w:r>
      <w:r w:rsidR="009A20AE" w:rsidRPr="00CA089C">
        <w:rPr>
          <w:szCs w:val="24"/>
        </w:rPr>
        <w:t xml:space="preserve">, </w:t>
      </w:r>
      <w:r w:rsidR="00BE0669" w:rsidRPr="00CA089C">
        <w:rPr>
          <w:bCs/>
          <w:szCs w:val="24"/>
        </w:rPr>
        <w:t xml:space="preserve">which applies to ADIs and authorised NOHCs to the extent provided in paragraphs 2 to </w:t>
      </w:r>
      <w:r w:rsidR="00E56C9C" w:rsidRPr="00CA089C">
        <w:rPr>
          <w:bCs/>
          <w:szCs w:val="24"/>
        </w:rPr>
        <w:t>4</w:t>
      </w:r>
      <w:r w:rsidR="00BE0669" w:rsidRPr="00CA089C">
        <w:rPr>
          <w:bCs/>
          <w:szCs w:val="24"/>
        </w:rPr>
        <w:t xml:space="preserve"> of the prudential standard</w:t>
      </w:r>
      <w:r w:rsidRPr="00CA089C">
        <w:rPr>
          <w:szCs w:val="24"/>
        </w:rPr>
        <w:t>.</w:t>
      </w:r>
    </w:p>
    <w:p w:rsidR="001E4B19" w:rsidRPr="00CA089C" w:rsidRDefault="001E4B19" w:rsidP="001E4B19">
      <w:pPr>
        <w:pStyle w:val="IntroTo"/>
        <w:spacing w:after="240"/>
        <w:ind w:left="0" w:firstLine="0"/>
        <w:jc w:val="both"/>
      </w:pPr>
      <w:r w:rsidRPr="00CA089C">
        <w:t xml:space="preserve">This instrument takes effect on </w:t>
      </w:r>
      <w:r w:rsidR="001F7F87" w:rsidRPr="00CA089C">
        <w:t>1 January 2013</w:t>
      </w:r>
      <w:r w:rsidR="00E77DE0" w:rsidRPr="00CA089C">
        <w:t>.</w:t>
      </w:r>
      <w:r w:rsidR="001F7F87" w:rsidRPr="00CA089C">
        <w:t xml:space="preserve"> </w:t>
      </w:r>
    </w:p>
    <w:p w:rsidR="00DC3554" w:rsidRPr="00CA089C" w:rsidRDefault="00DC3554" w:rsidP="00DC3554">
      <w:pPr>
        <w:jc w:val="both"/>
      </w:pPr>
    </w:p>
    <w:p w:rsidR="00DC3554" w:rsidRPr="00CA089C" w:rsidRDefault="00DC3554" w:rsidP="00DC3554">
      <w:pPr>
        <w:jc w:val="both"/>
      </w:pPr>
      <w:r w:rsidRPr="00CA089C">
        <w:t xml:space="preserve">Dated </w:t>
      </w:r>
      <w:r w:rsidR="00A74281" w:rsidRPr="00CA089C">
        <w:t>29</w:t>
      </w:r>
      <w:r w:rsidRPr="00CA089C">
        <w:t xml:space="preserve"> </w:t>
      </w:r>
      <w:r w:rsidR="00ED0FE1" w:rsidRPr="00CA089C">
        <w:t xml:space="preserve">November </w:t>
      </w:r>
      <w:r w:rsidRPr="00CA089C">
        <w:t>2012</w:t>
      </w:r>
    </w:p>
    <w:p w:rsidR="00DC3554" w:rsidRPr="00CA089C" w:rsidRDefault="00DC3554" w:rsidP="00DC3554">
      <w:pPr>
        <w:jc w:val="both"/>
        <w:rPr>
          <w:i/>
        </w:rPr>
      </w:pPr>
    </w:p>
    <w:p w:rsidR="00DC3554" w:rsidRPr="00CA089C" w:rsidRDefault="00366CB2" w:rsidP="00DC3554">
      <w:pPr>
        <w:jc w:val="both"/>
      </w:pPr>
      <w:r w:rsidRPr="00CA089C">
        <w:t>[Signed]</w:t>
      </w:r>
    </w:p>
    <w:p w:rsidR="001F612C" w:rsidRPr="00CA089C" w:rsidRDefault="001F612C" w:rsidP="00DC3554">
      <w:pPr>
        <w:jc w:val="both"/>
        <w:rPr>
          <w:i/>
        </w:rPr>
      </w:pPr>
    </w:p>
    <w:p w:rsidR="00DC3554" w:rsidRPr="00CA089C" w:rsidRDefault="00ED0FE1" w:rsidP="00DC3554">
      <w:pPr>
        <w:jc w:val="both"/>
      </w:pPr>
      <w:r w:rsidRPr="00CA089C">
        <w:t>John Francis Laker</w:t>
      </w:r>
    </w:p>
    <w:p w:rsidR="00DC3554" w:rsidRPr="00CA089C" w:rsidRDefault="00ED0FE1" w:rsidP="005B0DC8">
      <w:pPr>
        <w:jc w:val="both"/>
      </w:pPr>
      <w:r w:rsidRPr="00CA089C">
        <w:t>Chair</w:t>
      </w:r>
    </w:p>
    <w:p w:rsidR="001B4657" w:rsidRPr="00CA089C" w:rsidRDefault="001B4657" w:rsidP="00D21CC5">
      <w:pPr>
        <w:pStyle w:val="AS"/>
        <w:spacing w:before="600" w:after="240"/>
        <w:ind w:left="0" w:firstLine="0"/>
        <w:rPr>
          <w:b w:val="0"/>
          <w:sz w:val="18"/>
        </w:rPr>
      </w:pPr>
      <w:r w:rsidRPr="00CA089C">
        <w:rPr>
          <w:rStyle w:val="CharSchNo"/>
          <w:sz w:val="24"/>
          <w:szCs w:val="24"/>
        </w:rPr>
        <w:t>Interpretation</w:t>
      </w:r>
      <w:r w:rsidR="00123776" w:rsidRPr="00CA089C">
        <w:rPr>
          <w:rStyle w:val="CharSchNo"/>
          <w:sz w:val="24"/>
          <w:szCs w:val="24"/>
        </w:rPr>
        <w:t xml:space="preserve"> </w:t>
      </w:r>
    </w:p>
    <w:p w:rsidR="00CF41B5" w:rsidRPr="00CA089C" w:rsidRDefault="00CF41B5" w:rsidP="00CF41B5">
      <w:pPr>
        <w:pStyle w:val="IP"/>
        <w:spacing w:before="0" w:after="240" w:line="240" w:lineRule="auto"/>
      </w:pPr>
      <w:r w:rsidRPr="00CA089C">
        <w:t>In this instrument:</w:t>
      </w:r>
    </w:p>
    <w:p w:rsidR="00CC66C1" w:rsidRPr="00CA089C" w:rsidRDefault="00CC66C1" w:rsidP="00CF41B5">
      <w:pPr>
        <w:pStyle w:val="definition"/>
        <w:spacing w:before="0" w:after="240" w:line="240" w:lineRule="auto"/>
        <w:jc w:val="left"/>
        <w:rPr>
          <w:b/>
          <w:i/>
        </w:rPr>
      </w:pPr>
      <w:r w:rsidRPr="00CA089C">
        <w:rPr>
          <w:b/>
          <w:bCs/>
          <w:i/>
          <w:iCs/>
        </w:rPr>
        <w:t xml:space="preserve">ADI  </w:t>
      </w:r>
      <w:r w:rsidRPr="00CA089C">
        <w:t xml:space="preserve">is short for </w:t>
      </w:r>
      <w:hyperlink r:id="rId8" w:anchor="authorised_deposit-taking_institution" w:history="1">
        <w:r w:rsidRPr="00CA089C">
          <w:rPr>
            <w:rStyle w:val="Hyperlink"/>
            <w:color w:val="auto"/>
            <w:u w:val="none"/>
          </w:rPr>
          <w:t>authorised deposit-taking institution</w:t>
        </w:r>
      </w:hyperlink>
      <w:r w:rsidRPr="00CA089C">
        <w:t xml:space="preserve"> which has the meaning given in </w:t>
      </w:r>
      <w:r w:rsidR="00A35C65" w:rsidRPr="00CA089C">
        <w:t>section 5 of the Act</w:t>
      </w:r>
      <w:r w:rsidR="00B8196E" w:rsidRPr="00CA089C">
        <w:t>.</w:t>
      </w:r>
    </w:p>
    <w:p w:rsidR="00CF41B5" w:rsidRPr="00CA089C" w:rsidRDefault="00CF41B5" w:rsidP="00CF41B5">
      <w:pPr>
        <w:pStyle w:val="definition"/>
        <w:spacing w:before="0" w:after="240" w:line="240" w:lineRule="auto"/>
        <w:jc w:val="left"/>
      </w:pPr>
      <w:r w:rsidRPr="00CA089C">
        <w:rPr>
          <w:b/>
          <w:i/>
        </w:rPr>
        <w:lastRenderedPageBreak/>
        <w:t xml:space="preserve">APRA </w:t>
      </w:r>
      <w:r w:rsidRPr="00CA089C">
        <w:t>means the Australian Prudential Regulation Authority.</w:t>
      </w:r>
    </w:p>
    <w:p w:rsidR="00BE0669" w:rsidRPr="00CA089C" w:rsidRDefault="00BE0669" w:rsidP="00BE0669">
      <w:pPr>
        <w:pStyle w:val="definition"/>
        <w:spacing w:before="0" w:after="240" w:line="240" w:lineRule="auto"/>
        <w:jc w:val="left"/>
      </w:pPr>
      <w:r w:rsidRPr="00CA089C">
        <w:rPr>
          <w:b/>
          <w:i/>
        </w:rPr>
        <w:t>authorised NOHC</w:t>
      </w:r>
      <w:r w:rsidRPr="00CA089C">
        <w:t xml:space="preserve"> has the meaning given in section 5 of the Act.</w:t>
      </w:r>
    </w:p>
    <w:p w:rsidR="00EF447B" w:rsidRPr="00CA089C" w:rsidRDefault="00EF447B" w:rsidP="00EF447B">
      <w:pPr>
        <w:pStyle w:val="definition"/>
        <w:spacing w:before="240"/>
        <w:rPr>
          <w:rFonts w:ascii="Arial" w:hAnsi="Arial" w:cs="Arial"/>
          <w:b/>
          <w:sz w:val="28"/>
          <w:szCs w:val="28"/>
        </w:rPr>
      </w:pPr>
      <w:bookmarkStart w:id="3" w:name="bkHideNotes"/>
      <w:bookmarkStart w:id="4" w:name="bkNotes"/>
      <w:bookmarkEnd w:id="3"/>
      <w:bookmarkEnd w:id="4"/>
    </w:p>
    <w:p w:rsidR="00EF447B" w:rsidRPr="00CA089C" w:rsidRDefault="00EF447B" w:rsidP="00EF447B">
      <w:pPr>
        <w:pStyle w:val="definition"/>
        <w:spacing w:before="240"/>
        <w:rPr>
          <w:rFonts w:ascii="Arial" w:hAnsi="Arial" w:cs="Arial"/>
          <w:b/>
          <w:sz w:val="28"/>
          <w:szCs w:val="28"/>
        </w:rPr>
      </w:pPr>
    </w:p>
    <w:p w:rsidR="00466CAD" w:rsidRPr="00CA089C" w:rsidRDefault="00466CAD">
      <w:pPr>
        <w:rPr>
          <w:rFonts w:ascii="Arial" w:hAnsi="Arial" w:cs="Arial"/>
          <w:b/>
          <w:sz w:val="28"/>
          <w:szCs w:val="28"/>
          <w:lang w:eastAsia="en-US"/>
        </w:rPr>
      </w:pPr>
      <w:r w:rsidRPr="00CA089C">
        <w:rPr>
          <w:rFonts w:ascii="Arial" w:hAnsi="Arial" w:cs="Arial"/>
          <w:b/>
          <w:sz w:val="28"/>
          <w:szCs w:val="28"/>
        </w:rPr>
        <w:br w:type="page"/>
      </w:r>
    </w:p>
    <w:p w:rsidR="001B4657" w:rsidRPr="00CA089C" w:rsidRDefault="001B4657" w:rsidP="00BC12C6">
      <w:pPr>
        <w:pStyle w:val="definition"/>
        <w:spacing w:before="240"/>
        <w:jc w:val="center"/>
        <w:rPr>
          <w:rFonts w:ascii="Arial" w:hAnsi="Arial" w:cs="Arial"/>
          <w:b/>
          <w:sz w:val="28"/>
          <w:szCs w:val="28"/>
        </w:rPr>
      </w:pPr>
      <w:r w:rsidRPr="00CA089C">
        <w:rPr>
          <w:rFonts w:ascii="Arial" w:hAnsi="Arial" w:cs="Arial"/>
          <w:b/>
          <w:sz w:val="28"/>
          <w:szCs w:val="28"/>
        </w:rPr>
        <w:lastRenderedPageBreak/>
        <w:t>Schedule</w:t>
      </w:r>
    </w:p>
    <w:p w:rsidR="00115597" w:rsidRPr="00CA089C" w:rsidRDefault="001B4657" w:rsidP="000953F8">
      <w:pPr>
        <w:pStyle w:val="definition"/>
        <w:spacing w:before="360"/>
      </w:pPr>
      <w:r w:rsidRPr="00CA089C">
        <w:rPr>
          <w:i/>
        </w:rPr>
        <w:t xml:space="preserve">Prudential Standard </w:t>
      </w:r>
      <w:smartTag w:uri="urn:schemas-microsoft-com:office:smarttags" w:element="stockticker">
        <w:r w:rsidRPr="00CA089C">
          <w:rPr>
            <w:i/>
          </w:rPr>
          <w:t>APS</w:t>
        </w:r>
      </w:smartTag>
      <w:r w:rsidRPr="00CA089C">
        <w:rPr>
          <w:i/>
        </w:rPr>
        <w:t xml:space="preserve"> </w:t>
      </w:r>
      <w:r w:rsidR="00493C4B" w:rsidRPr="00CA089C">
        <w:rPr>
          <w:i/>
        </w:rPr>
        <w:t xml:space="preserve">117 Capital Adequacy: Interest Rate Risk in the Banking Book (Advanced ADIs) </w:t>
      </w:r>
      <w:r w:rsidR="000953F8" w:rsidRPr="00CA089C">
        <w:t xml:space="preserve">comprises the </w:t>
      </w:r>
      <w:r w:rsidR="00E56C9C" w:rsidRPr="00CA089C">
        <w:t>18</w:t>
      </w:r>
      <w:r w:rsidRPr="00CA089C">
        <w:t xml:space="preserve"> pages commencing on the following page.</w:t>
      </w:r>
      <w:bookmarkStart w:id="5" w:name="_Ref183256332"/>
      <w:bookmarkStart w:id="6" w:name="_Toc168113229"/>
      <w:bookmarkEnd w:id="0"/>
      <w:bookmarkEnd w:id="5"/>
      <w:bookmarkEnd w:id="6"/>
    </w:p>
    <w:p w:rsidR="00433AA3" w:rsidRPr="00CA089C" w:rsidRDefault="00433AA3" w:rsidP="000953F8">
      <w:pPr>
        <w:pStyle w:val="definition"/>
        <w:spacing w:before="360"/>
        <w:rPr>
          <w:rFonts w:ascii="Arial" w:hAnsi="Arial"/>
          <w:sz w:val="40"/>
          <w:szCs w:val="40"/>
        </w:rPr>
        <w:sectPr w:rsidR="00433AA3" w:rsidRPr="00CA089C" w:rsidSect="000953F8">
          <w:headerReference w:type="default" r:id="rId9"/>
          <w:footerReference w:type="default" r:id="rId10"/>
          <w:pgSz w:w="11906" w:h="16838"/>
          <w:pgMar w:top="1440" w:right="1800" w:bottom="1440" w:left="1800" w:header="708" w:footer="708" w:gutter="0"/>
          <w:pgNumType w:start="1"/>
          <w:cols w:space="708"/>
          <w:docGrid w:linePitch="360"/>
        </w:sectPr>
      </w:pPr>
    </w:p>
    <w:p w:rsidR="00433AA3" w:rsidRPr="00CA089C" w:rsidRDefault="00433AA3" w:rsidP="00433AA3">
      <w:pPr>
        <w:pStyle w:val="Heading5"/>
        <w:spacing w:after="600"/>
        <w:jc w:val="both"/>
      </w:pPr>
      <w:r w:rsidRPr="00CA089C">
        <w:rPr>
          <w:noProof/>
        </w:rPr>
        <w:lastRenderedPageBreak/>
        <w:drawing>
          <wp:inline distT="0" distB="0" distL="0" distR="0">
            <wp:extent cx="1419225" cy="1104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19225" cy="1104900"/>
                    </a:xfrm>
                    <a:prstGeom prst="rect">
                      <a:avLst/>
                    </a:prstGeom>
                    <a:noFill/>
                    <a:ln w="9525">
                      <a:noFill/>
                      <a:miter lim="800000"/>
                      <a:headEnd/>
                      <a:tailEnd/>
                    </a:ln>
                  </pic:spPr>
                </pic:pic>
              </a:graphicData>
            </a:graphic>
          </wp:inline>
        </w:drawing>
      </w:r>
      <w:bookmarkStart w:id="7" w:name="_Ref136152539"/>
      <w:bookmarkEnd w:id="7"/>
    </w:p>
    <w:p w:rsidR="00433AA3" w:rsidRPr="00CA089C" w:rsidRDefault="00433AA3" w:rsidP="00433AA3">
      <w:pPr>
        <w:spacing w:before="120" w:after="240"/>
        <w:rPr>
          <w:rFonts w:ascii="Arial" w:hAnsi="Arial" w:cs="Arial"/>
          <w:b/>
          <w:sz w:val="40"/>
          <w:szCs w:val="40"/>
        </w:rPr>
      </w:pPr>
      <w:r w:rsidRPr="00CA089C">
        <w:rPr>
          <w:rFonts w:ascii="Arial" w:hAnsi="Arial" w:cs="Arial"/>
          <w:b/>
          <w:sz w:val="40"/>
          <w:szCs w:val="40"/>
        </w:rPr>
        <w:t xml:space="preserve">Prudential Standard </w:t>
      </w:r>
      <w:smartTag w:uri="urn:schemas-microsoft-com:office:smarttags" w:element="stockticker">
        <w:r w:rsidRPr="00CA089C">
          <w:rPr>
            <w:rFonts w:ascii="Arial" w:hAnsi="Arial" w:cs="Arial"/>
            <w:b/>
            <w:sz w:val="40"/>
            <w:szCs w:val="40"/>
          </w:rPr>
          <w:t>APS</w:t>
        </w:r>
      </w:smartTag>
      <w:r w:rsidRPr="00CA089C">
        <w:rPr>
          <w:rFonts w:ascii="Arial" w:hAnsi="Arial" w:cs="Arial"/>
          <w:b/>
          <w:sz w:val="40"/>
          <w:szCs w:val="40"/>
        </w:rPr>
        <w:t xml:space="preserve"> 117</w:t>
      </w:r>
    </w:p>
    <w:p w:rsidR="00433AA3" w:rsidRPr="00CA089C" w:rsidRDefault="00433AA3" w:rsidP="00433AA3">
      <w:pPr>
        <w:spacing w:before="120" w:after="240"/>
        <w:rPr>
          <w:rFonts w:ascii="Arial" w:hAnsi="Arial" w:cs="Arial"/>
          <w:b/>
          <w:sz w:val="40"/>
          <w:szCs w:val="40"/>
        </w:rPr>
      </w:pPr>
      <w:bookmarkStart w:id="8" w:name="_Toc173901374"/>
      <w:r w:rsidRPr="00CA089C">
        <w:rPr>
          <w:rFonts w:ascii="Arial" w:hAnsi="Arial" w:cs="Arial"/>
          <w:b/>
          <w:sz w:val="40"/>
          <w:szCs w:val="40"/>
        </w:rPr>
        <w:t xml:space="preserve">Capital Adequacy: Interest Rate Risk in the Banking Book </w:t>
      </w:r>
      <w:bookmarkEnd w:id="8"/>
      <w:r w:rsidRPr="00CA089C">
        <w:rPr>
          <w:rFonts w:ascii="Arial" w:hAnsi="Arial" w:cs="Arial"/>
          <w:b/>
          <w:sz w:val="40"/>
          <w:szCs w:val="40"/>
        </w:rPr>
        <w:t>(Advanced ADIs)</w:t>
      </w:r>
    </w:p>
    <w:p w:rsidR="00433AA3" w:rsidRPr="00CA089C" w:rsidRDefault="00433AA3" w:rsidP="00433AA3">
      <w:pPr>
        <w:pBdr>
          <w:top w:val="single" w:sz="4" w:space="1" w:color="auto"/>
          <w:left w:val="single" w:sz="4" w:space="4" w:color="auto"/>
          <w:bottom w:val="single" w:sz="4" w:space="1" w:color="auto"/>
          <w:right w:val="single" w:sz="4" w:space="4" w:color="auto"/>
        </w:pBdr>
        <w:shd w:val="pct10" w:color="auto" w:fill="FFFFFF"/>
        <w:spacing w:before="120" w:after="360"/>
        <w:jc w:val="both"/>
        <w:rPr>
          <w:rFonts w:ascii="Arial" w:hAnsi="Arial"/>
          <w:b/>
          <w:sz w:val="32"/>
        </w:rPr>
      </w:pPr>
      <w:r w:rsidRPr="00CA089C">
        <w:rPr>
          <w:rFonts w:ascii="Arial" w:hAnsi="Arial"/>
          <w:b/>
          <w:sz w:val="32"/>
        </w:rPr>
        <w:t>Objective and key requirements of this Prudential Standard</w:t>
      </w:r>
    </w:p>
    <w:p w:rsidR="00433AA3" w:rsidRPr="00CA089C" w:rsidRDefault="00433AA3" w:rsidP="00433AA3">
      <w:pPr>
        <w:pBdr>
          <w:top w:val="single" w:sz="4" w:space="1" w:color="auto"/>
          <w:left w:val="single" w:sz="4" w:space="4" w:color="auto"/>
          <w:bottom w:val="single" w:sz="4" w:space="1" w:color="auto"/>
          <w:right w:val="single" w:sz="4" w:space="4" w:color="auto"/>
        </w:pBdr>
        <w:shd w:val="pct10" w:color="auto" w:fill="FFFFFF"/>
        <w:spacing w:after="240"/>
        <w:jc w:val="both"/>
      </w:pPr>
      <w:r w:rsidRPr="00CA089C">
        <w:t>This Prudential Standard sets out the requirements that an authorised deposit-taking institution with approval to use an internal model for interest rate risk in the banking book must meet for regulatory capital purposes, both at the time of initial implementation and on an ongoing basis.</w:t>
      </w:r>
    </w:p>
    <w:p w:rsidR="00433AA3" w:rsidRPr="00CA089C" w:rsidRDefault="00433AA3" w:rsidP="00433AA3">
      <w:pPr>
        <w:pBdr>
          <w:top w:val="single" w:sz="4" w:space="1" w:color="auto"/>
          <w:left w:val="single" w:sz="4" w:space="4" w:color="auto"/>
          <w:bottom w:val="single" w:sz="4" w:space="1" w:color="auto"/>
          <w:right w:val="single" w:sz="4" w:space="4" w:color="auto"/>
        </w:pBdr>
        <w:shd w:val="pct10" w:color="auto" w:fill="FFFFFF"/>
        <w:spacing w:after="240"/>
        <w:jc w:val="both"/>
      </w:pPr>
      <w:r w:rsidRPr="00CA089C">
        <w:t>The key requirements of this Prudential Standard are that an authorised deposit-taking institution must have:</w:t>
      </w:r>
    </w:p>
    <w:p w:rsidR="00433AA3" w:rsidRPr="00CA089C" w:rsidRDefault="00433AA3" w:rsidP="00433AA3">
      <w:pPr>
        <w:numPr>
          <w:ilvl w:val="0"/>
          <w:numId w:val="39"/>
        </w:numPr>
        <w:pBdr>
          <w:top w:val="single" w:sz="4" w:space="1" w:color="auto"/>
          <w:left w:val="single" w:sz="4" w:space="4" w:color="auto"/>
          <w:bottom w:val="single" w:sz="4" w:space="1" w:color="auto"/>
          <w:right w:val="single" w:sz="4" w:space="4" w:color="auto"/>
        </w:pBdr>
        <w:shd w:val="pct10" w:color="auto" w:fill="FFFFFF"/>
        <w:spacing w:after="240"/>
        <w:jc w:val="both"/>
        <w:rPr>
          <w:i/>
        </w:rPr>
      </w:pPr>
      <w:r w:rsidRPr="00CA089C">
        <w:t>a framework to manage, measure and monitor interest rate risk in the banking book commensurate with the nature, scale and complexity of the institution’s operations; and</w:t>
      </w:r>
    </w:p>
    <w:p w:rsidR="00433AA3" w:rsidRPr="00CA089C" w:rsidRDefault="00433AA3" w:rsidP="00433AA3">
      <w:pPr>
        <w:numPr>
          <w:ilvl w:val="0"/>
          <w:numId w:val="39"/>
        </w:numPr>
        <w:pBdr>
          <w:top w:val="single" w:sz="4" w:space="1" w:color="auto"/>
          <w:left w:val="single" w:sz="4" w:space="4" w:color="auto"/>
          <w:bottom w:val="single" w:sz="4" w:space="1" w:color="auto"/>
          <w:right w:val="single" w:sz="4" w:space="4" w:color="auto"/>
        </w:pBdr>
        <w:shd w:val="pct10" w:color="auto" w:fill="FFFFFF"/>
        <w:spacing w:after="240"/>
        <w:jc w:val="both"/>
      </w:pPr>
      <w:r w:rsidRPr="00CA089C">
        <w:t>approval from APRA to use an internal model for determining the institution’s capital requirement for interest rate risk in the banking book.</w:t>
      </w:r>
    </w:p>
    <w:p w:rsidR="00433AA3" w:rsidRPr="00CA089C" w:rsidRDefault="00433AA3" w:rsidP="00433AA3">
      <w:pPr>
        <w:spacing w:after="240"/>
        <w:rPr>
          <w:rFonts w:ascii="Arial" w:hAnsi="Arial" w:cs="Arial"/>
          <w:b/>
        </w:rPr>
      </w:pPr>
      <w:r w:rsidRPr="00CA089C">
        <w:br w:type="page"/>
      </w:r>
      <w:r w:rsidRPr="00CA089C">
        <w:rPr>
          <w:rFonts w:ascii="Arial" w:hAnsi="Arial" w:cs="Arial"/>
          <w:b/>
        </w:rPr>
        <w:lastRenderedPageBreak/>
        <w:t>Table of contents</w:t>
      </w:r>
    </w:p>
    <w:p w:rsidR="00433AA3" w:rsidRPr="00CA089C" w:rsidRDefault="002762C2" w:rsidP="00433AA3">
      <w:pPr>
        <w:pStyle w:val="TOC2"/>
        <w:rPr>
          <w:rFonts w:asciiTheme="minorHAnsi" w:eastAsiaTheme="minorEastAsia" w:hAnsiTheme="minorHAnsi" w:cstheme="minorBidi"/>
          <w:b w:val="0"/>
          <w:sz w:val="22"/>
          <w:szCs w:val="22"/>
        </w:rPr>
      </w:pPr>
      <w:r w:rsidRPr="00CA089C">
        <w:rPr>
          <w:b w:val="0"/>
        </w:rPr>
        <w:fldChar w:fldCharType="begin"/>
      </w:r>
      <w:r w:rsidR="00433AA3" w:rsidRPr="00CA089C">
        <w:instrText xml:space="preserve"> TOC \o "1-2" \h \z \u </w:instrText>
      </w:r>
      <w:r w:rsidRPr="00CA089C">
        <w:rPr>
          <w:b w:val="0"/>
        </w:rPr>
        <w:fldChar w:fldCharType="separate"/>
      </w:r>
      <w:hyperlink w:anchor="_Toc338670614" w:history="1">
        <w:r w:rsidR="00433AA3" w:rsidRPr="00CA089C">
          <w:rPr>
            <w:rStyle w:val="Hyperlink"/>
            <w:b w:val="0"/>
            <w:color w:val="auto"/>
          </w:rPr>
          <w:t>Authority</w:t>
        </w:r>
        <w:r w:rsidR="00433AA3" w:rsidRPr="00CA089C">
          <w:rPr>
            <w:b w:val="0"/>
            <w:webHidden/>
          </w:rPr>
          <w:tab/>
        </w:r>
        <w:r w:rsidRPr="00CA089C">
          <w:rPr>
            <w:b w:val="0"/>
            <w:webHidden/>
          </w:rPr>
          <w:fldChar w:fldCharType="begin"/>
        </w:r>
        <w:r w:rsidR="00433AA3" w:rsidRPr="00CA089C">
          <w:rPr>
            <w:b w:val="0"/>
            <w:webHidden/>
          </w:rPr>
          <w:instrText xml:space="preserve"> PAGEREF _Toc338670614 \h </w:instrText>
        </w:r>
        <w:r w:rsidRPr="00CA089C">
          <w:rPr>
            <w:b w:val="0"/>
            <w:webHidden/>
          </w:rPr>
        </w:r>
        <w:r w:rsidRPr="00CA089C">
          <w:rPr>
            <w:b w:val="0"/>
            <w:webHidden/>
          </w:rPr>
          <w:fldChar w:fldCharType="separate"/>
        </w:r>
        <w:r w:rsidR="00366CB2" w:rsidRPr="00CA089C">
          <w:rPr>
            <w:b w:val="0"/>
            <w:webHidden/>
          </w:rPr>
          <w:t>3</w:t>
        </w:r>
        <w:r w:rsidRPr="00CA089C">
          <w:rPr>
            <w:b w:val="0"/>
            <w:webHidden/>
          </w:rPr>
          <w:fldChar w:fldCharType="end"/>
        </w:r>
      </w:hyperlink>
    </w:p>
    <w:p w:rsidR="00433AA3" w:rsidRPr="00CA089C" w:rsidRDefault="002762C2" w:rsidP="00433AA3">
      <w:pPr>
        <w:pStyle w:val="TOC2"/>
        <w:rPr>
          <w:rFonts w:asciiTheme="minorHAnsi" w:eastAsiaTheme="minorEastAsia" w:hAnsiTheme="minorHAnsi" w:cstheme="minorBidi"/>
          <w:b w:val="0"/>
          <w:sz w:val="22"/>
          <w:szCs w:val="22"/>
        </w:rPr>
      </w:pPr>
      <w:hyperlink w:anchor="_Toc338670615" w:history="1">
        <w:r w:rsidR="00433AA3" w:rsidRPr="00CA089C">
          <w:rPr>
            <w:rStyle w:val="Hyperlink"/>
            <w:b w:val="0"/>
            <w:color w:val="auto"/>
          </w:rPr>
          <w:t>Application</w:t>
        </w:r>
        <w:r w:rsidR="00433AA3" w:rsidRPr="00CA089C">
          <w:rPr>
            <w:b w:val="0"/>
            <w:webHidden/>
          </w:rPr>
          <w:tab/>
        </w:r>
        <w:r w:rsidRPr="00CA089C">
          <w:rPr>
            <w:b w:val="0"/>
            <w:webHidden/>
          </w:rPr>
          <w:fldChar w:fldCharType="begin"/>
        </w:r>
        <w:r w:rsidR="00433AA3" w:rsidRPr="00CA089C">
          <w:rPr>
            <w:b w:val="0"/>
            <w:webHidden/>
          </w:rPr>
          <w:instrText xml:space="preserve"> PAGEREF _Toc338670615 \h </w:instrText>
        </w:r>
        <w:r w:rsidRPr="00CA089C">
          <w:rPr>
            <w:b w:val="0"/>
            <w:webHidden/>
          </w:rPr>
        </w:r>
        <w:r w:rsidRPr="00CA089C">
          <w:rPr>
            <w:b w:val="0"/>
            <w:webHidden/>
          </w:rPr>
          <w:fldChar w:fldCharType="separate"/>
        </w:r>
        <w:r w:rsidR="00366CB2" w:rsidRPr="00CA089C">
          <w:rPr>
            <w:b w:val="0"/>
            <w:webHidden/>
          </w:rPr>
          <w:t>3</w:t>
        </w:r>
        <w:r w:rsidRPr="00CA089C">
          <w:rPr>
            <w:b w:val="0"/>
            <w:webHidden/>
          </w:rPr>
          <w:fldChar w:fldCharType="end"/>
        </w:r>
      </w:hyperlink>
    </w:p>
    <w:p w:rsidR="00433AA3" w:rsidRPr="00CA089C" w:rsidRDefault="002762C2" w:rsidP="00433AA3">
      <w:pPr>
        <w:pStyle w:val="TOC2"/>
        <w:rPr>
          <w:rFonts w:asciiTheme="minorHAnsi" w:eastAsiaTheme="minorEastAsia" w:hAnsiTheme="minorHAnsi" w:cstheme="minorBidi"/>
          <w:b w:val="0"/>
          <w:sz w:val="22"/>
          <w:szCs w:val="22"/>
        </w:rPr>
      </w:pPr>
      <w:hyperlink w:anchor="_Toc338670616" w:history="1">
        <w:r w:rsidR="00433AA3" w:rsidRPr="00CA089C">
          <w:rPr>
            <w:rStyle w:val="Hyperlink"/>
            <w:b w:val="0"/>
            <w:color w:val="auto"/>
          </w:rPr>
          <w:t>Interpretation</w:t>
        </w:r>
        <w:r w:rsidR="00433AA3" w:rsidRPr="00CA089C">
          <w:rPr>
            <w:b w:val="0"/>
            <w:webHidden/>
          </w:rPr>
          <w:tab/>
        </w:r>
        <w:r w:rsidRPr="00CA089C">
          <w:rPr>
            <w:b w:val="0"/>
            <w:webHidden/>
          </w:rPr>
          <w:fldChar w:fldCharType="begin"/>
        </w:r>
        <w:r w:rsidR="00433AA3" w:rsidRPr="00CA089C">
          <w:rPr>
            <w:b w:val="0"/>
            <w:webHidden/>
          </w:rPr>
          <w:instrText xml:space="preserve"> PAGEREF _Toc338670616 \h </w:instrText>
        </w:r>
        <w:r w:rsidRPr="00CA089C">
          <w:rPr>
            <w:b w:val="0"/>
            <w:webHidden/>
          </w:rPr>
        </w:r>
        <w:r w:rsidRPr="00CA089C">
          <w:rPr>
            <w:b w:val="0"/>
            <w:webHidden/>
          </w:rPr>
          <w:fldChar w:fldCharType="separate"/>
        </w:r>
        <w:r w:rsidR="00366CB2" w:rsidRPr="00CA089C">
          <w:rPr>
            <w:b w:val="0"/>
            <w:webHidden/>
          </w:rPr>
          <w:t>3</w:t>
        </w:r>
        <w:r w:rsidRPr="00CA089C">
          <w:rPr>
            <w:b w:val="0"/>
            <w:webHidden/>
          </w:rPr>
          <w:fldChar w:fldCharType="end"/>
        </w:r>
      </w:hyperlink>
    </w:p>
    <w:p w:rsidR="00433AA3" w:rsidRPr="00CA089C" w:rsidRDefault="002762C2" w:rsidP="00433AA3">
      <w:pPr>
        <w:pStyle w:val="TOC2"/>
        <w:rPr>
          <w:rFonts w:asciiTheme="minorHAnsi" w:eastAsiaTheme="minorEastAsia" w:hAnsiTheme="minorHAnsi" w:cstheme="minorBidi"/>
          <w:b w:val="0"/>
          <w:sz w:val="22"/>
          <w:szCs w:val="22"/>
        </w:rPr>
      </w:pPr>
      <w:hyperlink w:anchor="_Toc338670617" w:history="1">
        <w:r w:rsidR="00433AA3" w:rsidRPr="00CA089C">
          <w:rPr>
            <w:rStyle w:val="Hyperlink"/>
            <w:b w:val="0"/>
            <w:color w:val="auto"/>
          </w:rPr>
          <w:t>Scope</w:t>
        </w:r>
        <w:r w:rsidR="00433AA3" w:rsidRPr="00CA089C">
          <w:rPr>
            <w:b w:val="0"/>
            <w:webHidden/>
          </w:rPr>
          <w:tab/>
        </w:r>
        <w:r w:rsidRPr="00CA089C">
          <w:rPr>
            <w:b w:val="0"/>
            <w:webHidden/>
          </w:rPr>
          <w:fldChar w:fldCharType="begin"/>
        </w:r>
        <w:r w:rsidR="00433AA3" w:rsidRPr="00CA089C">
          <w:rPr>
            <w:b w:val="0"/>
            <w:webHidden/>
          </w:rPr>
          <w:instrText xml:space="preserve"> PAGEREF _Toc338670617 \h </w:instrText>
        </w:r>
        <w:r w:rsidRPr="00CA089C">
          <w:rPr>
            <w:b w:val="0"/>
            <w:webHidden/>
          </w:rPr>
        </w:r>
        <w:r w:rsidRPr="00CA089C">
          <w:rPr>
            <w:b w:val="0"/>
            <w:webHidden/>
          </w:rPr>
          <w:fldChar w:fldCharType="separate"/>
        </w:r>
        <w:r w:rsidR="00366CB2" w:rsidRPr="00CA089C">
          <w:rPr>
            <w:b w:val="0"/>
            <w:webHidden/>
          </w:rPr>
          <w:t>3</w:t>
        </w:r>
        <w:r w:rsidRPr="00CA089C">
          <w:rPr>
            <w:b w:val="0"/>
            <w:webHidden/>
          </w:rPr>
          <w:fldChar w:fldCharType="end"/>
        </w:r>
      </w:hyperlink>
    </w:p>
    <w:p w:rsidR="00433AA3" w:rsidRPr="00CA089C" w:rsidRDefault="002762C2" w:rsidP="00433AA3">
      <w:pPr>
        <w:pStyle w:val="TOC2"/>
        <w:rPr>
          <w:rFonts w:asciiTheme="minorHAnsi" w:eastAsiaTheme="minorEastAsia" w:hAnsiTheme="minorHAnsi" w:cstheme="minorBidi"/>
          <w:b w:val="0"/>
          <w:sz w:val="22"/>
          <w:szCs w:val="22"/>
        </w:rPr>
      </w:pPr>
      <w:hyperlink w:anchor="_Toc338670618" w:history="1">
        <w:r w:rsidR="00433AA3" w:rsidRPr="00CA089C">
          <w:rPr>
            <w:rStyle w:val="Hyperlink"/>
            <w:b w:val="0"/>
            <w:color w:val="auto"/>
          </w:rPr>
          <w:t>Definitions</w:t>
        </w:r>
        <w:r w:rsidR="00433AA3" w:rsidRPr="00CA089C">
          <w:rPr>
            <w:b w:val="0"/>
            <w:webHidden/>
          </w:rPr>
          <w:tab/>
        </w:r>
        <w:r w:rsidRPr="00CA089C">
          <w:rPr>
            <w:b w:val="0"/>
            <w:webHidden/>
          </w:rPr>
          <w:fldChar w:fldCharType="begin"/>
        </w:r>
        <w:r w:rsidR="00433AA3" w:rsidRPr="00CA089C">
          <w:rPr>
            <w:b w:val="0"/>
            <w:webHidden/>
          </w:rPr>
          <w:instrText xml:space="preserve"> PAGEREF _Toc338670618 \h </w:instrText>
        </w:r>
        <w:r w:rsidRPr="00CA089C">
          <w:rPr>
            <w:b w:val="0"/>
            <w:webHidden/>
          </w:rPr>
        </w:r>
        <w:r w:rsidRPr="00CA089C">
          <w:rPr>
            <w:b w:val="0"/>
            <w:webHidden/>
          </w:rPr>
          <w:fldChar w:fldCharType="separate"/>
        </w:r>
        <w:r w:rsidR="00366CB2" w:rsidRPr="00CA089C">
          <w:rPr>
            <w:b w:val="0"/>
            <w:webHidden/>
          </w:rPr>
          <w:t>4</w:t>
        </w:r>
        <w:r w:rsidRPr="00CA089C">
          <w:rPr>
            <w:b w:val="0"/>
            <w:webHidden/>
          </w:rPr>
          <w:fldChar w:fldCharType="end"/>
        </w:r>
      </w:hyperlink>
    </w:p>
    <w:p w:rsidR="00433AA3" w:rsidRPr="00CA089C" w:rsidRDefault="002762C2" w:rsidP="00433AA3">
      <w:pPr>
        <w:pStyle w:val="TOC2"/>
        <w:rPr>
          <w:rFonts w:asciiTheme="minorHAnsi" w:eastAsiaTheme="minorEastAsia" w:hAnsiTheme="minorHAnsi" w:cstheme="minorBidi"/>
          <w:b w:val="0"/>
          <w:sz w:val="22"/>
          <w:szCs w:val="22"/>
        </w:rPr>
      </w:pPr>
      <w:hyperlink w:anchor="_Toc338670619" w:history="1">
        <w:r w:rsidR="00433AA3" w:rsidRPr="00CA089C">
          <w:rPr>
            <w:rStyle w:val="Hyperlink"/>
            <w:b w:val="0"/>
            <w:color w:val="auto"/>
          </w:rPr>
          <w:t>Key principles</w:t>
        </w:r>
        <w:r w:rsidR="00433AA3" w:rsidRPr="00CA089C">
          <w:rPr>
            <w:b w:val="0"/>
            <w:webHidden/>
          </w:rPr>
          <w:tab/>
        </w:r>
        <w:r w:rsidRPr="00CA089C">
          <w:rPr>
            <w:b w:val="0"/>
            <w:webHidden/>
          </w:rPr>
          <w:fldChar w:fldCharType="begin"/>
        </w:r>
        <w:r w:rsidR="00433AA3" w:rsidRPr="00CA089C">
          <w:rPr>
            <w:b w:val="0"/>
            <w:webHidden/>
          </w:rPr>
          <w:instrText xml:space="preserve"> PAGEREF _Toc338670619 \h </w:instrText>
        </w:r>
        <w:r w:rsidRPr="00CA089C">
          <w:rPr>
            <w:b w:val="0"/>
            <w:webHidden/>
          </w:rPr>
        </w:r>
        <w:r w:rsidRPr="00CA089C">
          <w:rPr>
            <w:b w:val="0"/>
            <w:webHidden/>
          </w:rPr>
          <w:fldChar w:fldCharType="separate"/>
        </w:r>
        <w:r w:rsidR="00366CB2" w:rsidRPr="00CA089C">
          <w:rPr>
            <w:b w:val="0"/>
            <w:webHidden/>
          </w:rPr>
          <w:t>5</w:t>
        </w:r>
        <w:r w:rsidRPr="00CA089C">
          <w:rPr>
            <w:b w:val="0"/>
            <w:webHidden/>
          </w:rPr>
          <w:fldChar w:fldCharType="end"/>
        </w:r>
      </w:hyperlink>
    </w:p>
    <w:p w:rsidR="00433AA3" w:rsidRPr="00CA089C" w:rsidRDefault="002762C2" w:rsidP="00433AA3">
      <w:pPr>
        <w:pStyle w:val="TOC2"/>
        <w:rPr>
          <w:rFonts w:asciiTheme="minorHAnsi" w:eastAsiaTheme="minorEastAsia" w:hAnsiTheme="minorHAnsi" w:cstheme="minorBidi"/>
          <w:b w:val="0"/>
          <w:sz w:val="22"/>
          <w:szCs w:val="22"/>
        </w:rPr>
      </w:pPr>
      <w:hyperlink w:anchor="_Toc338670620" w:history="1">
        <w:r w:rsidR="00433AA3" w:rsidRPr="00CA089C">
          <w:rPr>
            <w:rStyle w:val="Hyperlink"/>
            <w:b w:val="0"/>
            <w:color w:val="auto"/>
          </w:rPr>
          <w:t>Approval process</w:t>
        </w:r>
        <w:r w:rsidR="00433AA3" w:rsidRPr="00CA089C">
          <w:rPr>
            <w:b w:val="0"/>
            <w:webHidden/>
          </w:rPr>
          <w:tab/>
        </w:r>
        <w:r w:rsidRPr="00CA089C">
          <w:rPr>
            <w:b w:val="0"/>
            <w:webHidden/>
          </w:rPr>
          <w:fldChar w:fldCharType="begin"/>
        </w:r>
        <w:r w:rsidR="00433AA3" w:rsidRPr="00CA089C">
          <w:rPr>
            <w:b w:val="0"/>
            <w:webHidden/>
          </w:rPr>
          <w:instrText xml:space="preserve"> PAGEREF _Toc338670620 \h </w:instrText>
        </w:r>
        <w:r w:rsidRPr="00CA089C">
          <w:rPr>
            <w:b w:val="0"/>
            <w:webHidden/>
          </w:rPr>
        </w:r>
        <w:r w:rsidRPr="00CA089C">
          <w:rPr>
            <w:b w:val="0"/>
            <w:webHidden/>
          </w:rPr>
          <w:fldChar w:fldCharType="separate"/>
        </w:r>
        <w:r w:rsidR="00366CB2" w:rsidRPr="00CA089C">
          <w:rPr>
            <w:b w:val="0"/>
            <w:webHidden/>
          </w:rPr>
          <w:t>5</w:t>
        </w:r>
        <w:r w:rsidRPr="00CA089C">
          <w:rPr>
            <w:b w:val="0"/>
            <w:webHidden/>
          </w:rPr>
          <w:fldChar w:fldCharType="end"/>
        </w:r>
      </w:hyperlink>
    </w:p>
    <w:p w:rsidR="00433AA3" w:rsidRPr="00CA089C" w:rsidRDefault="002762C2" w:rsidP="00433AA3">
      <w:pPr>
        <w:pStyle w:val="TOC2"/>
        <w:rPr>
          <w:rFonts w:asciiTheme="minorHAnsi" w:eastAsiaTheme="minorEastAsia" w:hAnsiTheme="minorHAnsi" w:cstheme="minorBidi"/>
          <w:b w:val="0"/>
          <w:sz w:val="22"/>
          <w:szCs w:val="22"/>
        </w:rPr>
      </w:pPr>
      <w:hyperlink w:anchor="_Toc338670621" w:history="1">
        <w:r w:rsidR="00433AA3" w:rsidRPr="00CA089C">
          <w:rPr>
            <w:rStyle w:val="Hyperlink"/>
            <w:b w:val="0"/>
            <w:color w:val="auto"/>
          </w:rPr>
          <w:t>Adoption of the internal model approach</w:t>
        </w:r>
        <w:r w:rsidR="00433AA3" w:rsidRPr="00CA089C">
          <w:rPr>
            <w:b w:val="0"/>
            <w:webHidden/>
          </w:rPr>
          <w:tab/>
        </w:r>
        <w:r w:rsidRPr="00CA089C">
          <w:rPr>
            <w:b w:val="0"/>
            <w:webHidden/>
          </w:rPr>
          <w:fldChar w:fldCharType="begin"/>
        </w:r>
        <w:r w:rsidR="00433AA3" w:rsidRPr="00CA089C">
          <w:rPr>
            <w:b w:val="0"/>
            <w:webHidden/>
          </w:rPr>
          <w:instrText xml:space="preserve"> PAGEREF _Toc338670621 \h </w:instrText>
        </w:r>
        <w:r w:rsidRPr="00CA089C">
          <w:rPr>
            <w:b w:val="0"/>
            <w:webHidden/>
          </w:rPr>
        </w:r>
        <w:r w:rsidRPr="00CA089C">
          <w:rPr>
            <w:b w:val="0"/>
            <w:webHidden/>
          </w:rPr>
          <w:fldChar w:fldCharType="separate"/>
        </w:r>
        <w:r w:rsidR="00366CB2" w:rsidRPr="00CA089C">
          <w:rPr>
            <w:b w:val="0"/>
            <w:webHidden/>
          </w:rPr>
          <w:t>6</w:t>
        </w:r>
        <w:r w:rsidRPr="00CA089C">
          <w:rPr>
            <w:b w:val="0"/>
            <w:webHidden/>
          </w:rPr>
          <w:fldChar w:fldCharType="end"/>
        </w:r>
      </w:hyperlink>
    </w:p>
    <w:p w:rsidR="00433AA3" w:rsidRPr="00CA089C" w:rsidRDefault="002762C2" w:rsidP="00433AA3">
      <w:pPr>
        <w:pStyle w:val="TOC2"/>
        <w:rPr>
          <w:rFonts w:asciiTheme="minorHAnsi" w:eastAsiaTheme="minorEastAsia" w:hAnsiTheme="minorHAnsi" w:cstheme="minorBidi"/>
          <w:b w:val="0"/>
          <w:sz w:val="22"/>
          <w:szCs w:val="22"/>
        </w:rPr>
      </w:pPr>
      <w:hyperlink w:anchor="_Toc338670622" w:history="1">
        <w:r w:rsidR="00433AA3" w:rsidRPr="00CA089C">
          <w:rPr>
            <w:rStyle w:val="Hyperlink"/>
            <w:b w:val="0"/>
            <w:color w:val="auto"/>
          </w:rPr>
          <w:t>Interest rate risk in the banking book management framework</w:t>
        </w:r>
        <w:r w:rsidR="00433AA3" w:rsidRPr="00CA089C">
          <w:rPr>
            <w:b w:val="0"/>
            <w:webHidden/>
          </w:rPr>
          <w:tab/>
        </w:r>
        <w:r w:rsidRPr="00CA089C">
          <w:rPr>
            <w:b w:val="0"/>
            <w:webHidden/>
          </w:rPr>
          <w:fldChar w:fldCharType="begin"/>
        </w:r>
        <w:r w:rsidR="00433AA3" w:rsidRPr="00CA089C">
          <w:rPr>
            <w:b w:val="0"/>
            <w:webHidden/>
          </w:rPr>
          <w:instrText xml:space="preserve"> PAGEREF _Toc338670622 \h </w:instrText>
        </w:r>
        <w:r w:rsidRPr="00CA089C">
          <w:rPr>
            <w:b w:val="0"/>
            <w:webHidden/>
          </w:rPr>
        </w:r>
        <w:r w:rsidRPr="00CA089C">
          <w:rPr>
            <w:b w:val="0"/>
            <w:webHidden/>
          </w:rPr>
          <w:fldChar w:fldCharType="separate"/>
        </w:r>
        <w:r w:rsidR="00366CB2" w:rsidRPr="00CA089C">
          <w:rPr>
            <w:b w:val="0"/>
            <w:webHidden/>
          </w:rPr>
          <w:t>7</w:t>
        </w:r>
        <w:r w:rsidRPr="00CA089C">
          <w:rPr>
            <w:b w:val="0"/>
            <w:webHidden/>
          </w:rPr>
          <w:fldChar w:fldCharType="end"/>
        </w:r>
      </w:hyperlink>
    </w:p>
    <w:p w:rsidR="00433AA3" w:rsidRPr="00CA089C" w:rsidRDefault="002762C2" w:rsidP="00433AA3">
      <w:pPr>
        <w:pStyle w:val="TOC2"/>
        <w:rPr>
          <w:rStyle w:val="Hyperlink"/>
          <w:b w:val="0"/>
          <w:color w:val="auto"/>
        </w:rPr>
      </w:pPr>
      <w:hyperlink w:anchor="_Toc338670623" w:history="1">
        <w:r w:rsidR="00433AA3" w:rsidRPr="00CA089C">
          <w:rPr>
            <w:rStyle w:val="Hyperlink"/>
            <w:b w:val="0"/>
            <w:color w:val="auto"/>
          </w:rPr>
          <w:t>Interest rate risk in the banking book measurement system</w:t>
        </w:r>
        <w:r w:rsidR="00433AA3" w:rsidRPr="00CA089C">
          <w:rPr>
            <w:b w:val="0"/>
            <w:webHidden/>
          </w:rPr>
          <w:tab/>
        </w:r>
        <w:r w:rsidRPr="00CA089C">
          <w:rPr>
            <w:b w:val="0"/>
            <w:webHidden/>
          </w:rPr>
          <w:fldChar w:fldCharType="begin"/>
        </w:r>
        <w:r w:rsidR="00433AA3" w:rsidRPr="00CA089C">
          <w:rPr>
            <w:b w:val="0"/>
            <w:webHidden/>
          </w:rPr>
          <w:instrText xml:space="preserve"> PAGEREF _Toc338670623 \h </w:instrText>
        </w:r>
        <w:r w:rsidRPr="00CA089C">
          <w:rPr>
            <w:b w:val="0"/>
            <w:webHidden/>
          </w:rPr>
        </w:r>
        <w:r w:rsidRPr="00CA089C">
          <w:rPr>
            <w:b w:val="0"/>
            <w:webHidden/>
          </w:rPr>
          <w:fldChar w:fldCharType="separate"/>
        </w:r>
        <w:r w:rsidR="00366CB2" w:rsidRPr="00CA089C">
          <w:rPr>
            <w:b w:val="0"/>
            <w:webHidden/>
          </w:rPr>
          <w:t>7</w:t>
        </w:r>
        <w:r w:rsidRPr="00CA089C">
          <w:rPr>
            <w:b w:val="0"/>
            <w:webHidden/>
          </w:rPr>
          <w:fldChar w:fldCharType="end"/>
        </w:r>
      </w:hyperlink>
    </w:p>
    <w:p w:rsidR="00433AA3" w:rsidRPr="00CA089C" w:rsidRDefault="00433AA3" w:rsidP="00433AA3">
      <w:pPr>
        <w:rPr>
          <w:noProof/>
        </w:rPr>
      </w:pPr>
    </w:p>
    <w:p w:rsidR="00433AA3" w:rsidRPr="00CA089C" w:rsidRDefault="00433AA3" w:rsidP="00433AA3">
      <w:pPr>
        <w:rPr>
          <w:rFonts w:ascii="Arial" w:hAnsi="Arial" w:cs="Arial"/>
          <w:noProof/>
        </w:rPr>
      </w:pPr>
      <w:r w:rsidRPr="00CA089C">
        <w:rPr>
          <w:rFonts w:ascii="Arial" w:hAnsi="Arial" w:cs="Arial"/>
          <w:noProof/>
        </w:rPr>
        <w:t>Attachments</w:t>
      </w:r>
    </w:p>
    <w:p w:rsidR="00433AA3" w:rsidRPr="00CA089C" w:rsidRDefault="00433AA3" w:rsidP="00433AA3">
      <w:pPr>
        <w:rPr>
          <w:rFonts w:eastAsiaTheme="minorEastAsia"/>
          <w:noProof/>
        </w:rPr>
      </w:pPr>
    </w:p>
    <w:p w:rsidR="00433AA3" w:rsidRPr="00CA089C" w:rsidRDefault="002762C2" w:rsidP="00433AA3">
      <w:pPr>
        <w:pStyle w:val="TOC2"/>
        <w:rPr>
          <w:rFonts w:asciiTheme="minorHAnsi" w:eastAsiaTheme="minorEastAsia" w:hAnsiTheme="minorHAnsi" w:cstheme="minorBidi"/>
          <w:b w:val="0"/>
          <w:sz w:val="22"/>
          <w:szCs w:val="22"/>
        </w:rPr>
      </w:pPr>
      <w:hyperlink w:anchor="_Toc338670624" w:history="1">
        <w:r w:rsidR="00433AA3" w:rsidRPr="00CA089C">
          <w:rPr>
            <w:rStyle w:val="Hyperlink"/>
            <w:b w:val="0"/>
            <w:color w:val="auto"/>
          </w:rPr>
          <w:t xml:space="preserve">Attachment A </w:t>
        </w:r>
        <w:r w:rsidR="008758A7" w:rsidRPr="00CA089C">
          <w:rPr>
            <w:rStyle w:val="Hyperlink"/>
            <w:b w:val="0"/>
            <w:color w:val="auto"/>
          </w:rPr>
          <w:t xml:space="preserve">- </w:t>
        </w:r>
        <w:r w:rsidR="00433AA3" w:rsidRPr="00CA089C">
          <w:rPr>
            <w:rStyle w:val="Hyperlink"/>
            <w:b w:val="0"/>
            <w:color w:val="auto"/>
          </w:rPr>
          <w:t>Governance and the interest rate risk in the banking book management framework</w:t>
        </w:r>
        <w:r w:rsidR="00433AA3" w:rsidRPr="00CA089C">
          <w:rPr>
            <w:b w:val="0"/>
            <w:webHidden/>
          </w:rPr>
          <w:tab/>
        </w:r>
        <w:r w:rsidRPr="00CA089C">
          <w:rPr>
            <w:b w:val="0"/>
            <w:webHidden/>
          </w:rPr>
          <w:fldChar w:fldCharType="begin"/>
        </w:r>
        <w:r w:rsidR="00433AA3" w:rsidRPr="00CA089C">
          <w:rPr>
            <w:b w:val="0"/>
            <w:webHidden/>
          </w:rPr>
          <w:instrText xml:space="preserve"> PAGEREF _Toc338670624 \h </w:instrText>
        </w:r>
        <w:r w:rsidRPr="00CA089C">
          <w:rPr>
            <w:b w:val="0"/>
            <w:webHidden/>
          </w:rPr>
        </w:r>
        <w:r w:rsidRPr="00CA089C">
          <w:rPr>
            <w:b w:val="0"/>
            <w:webHidden/>
          </w:rPr>
          <w:fldChar w:fldCharType="separate"/>
        </w:r>
        <w:r w:rsidR="00366CB2" w:rsidRPr="00CA089C">
          <w:rPr>
            <w:b w:val="0"/>
            <w:webHidden/>
          </w:rPr>
          <w:t>10</w:t>
        </w:r>
        <w:r w:rsidRPr="00CA089C">
          <w:rPr>
            <w:b w:val="0"/>
            <w:webHidden/>
          </w:rPr>
          <w:fldChar w:fldCharType="end"/>
        </w:r>
      </w:hyperlink>
    </w:p>
    <w:p w:rsidR="00433AA3" w:rsidRPr="00CA089C" w:rsidRDefault="00433AA3" w:rsidP="00433AA3">
      <w:pPr>
        <w:pStyle w:val="TOC2"/>
        <w:rPr>
          <w:rStyle w:val="Hyperlink"/>
          <w:b w:val="0"/>
          <w:color w:val="auto"/>
        </w:rPr>
      </w:pPr>
    </w:p>
    <w:p w:rsidR="00433AA3" w:rsidRPr="00CA089C" w:rsidRDefault="002762C2" w:rsidP="00433AA3">
      <w:pPr>
        <w:pStyle w:val="TOC2"/>
        <w:rPr>
          <w:rFonts w:asciiTheme="minorHAnsi" w:eastAsiaTheme="minorEastAsia" w:hAnsiTheme="minorHAnsi" w:cstheme="minorBidi"/>
          <w:b w:val="0"/>
          <w:sz w:val="22"/>
          <w:szCs w:val="22"/>
        </w:rPr>
      </w:pPr>
      <w:hyperlink w:anchor="_Toc338670626" w:history="1">
        <w:r w:rsidR="00433AA3" w:rsidRPr="00CA089C">
          <w:rPr>
            <w:rStyle w:val="Hyperlink"/>
            <w:b w:val="0"/>
            <w:color w:val="auto"/>
          </w:rPr>
          <w:t xml:space="preserve">Attachment B </w:t>
        </w:r>
        <w:r w:rsidR="008758A7" w:rsidRPr="00CA089C">
          <w:rPr>
            <w:rStyle w:val="Hyperlink"/>
            <w:b w:val="0"/>
            <w:color w:val="auto"/>
          </w:rPr>
          <w:t xml:space="preserve"> - </w:t>
        </w:r>
        <w:r w:rsidR="00433AA3" w:rsidRPr="00CA089C">
          <w:rPr>
            <w:rStyle w:val="Hyperlink"/>
            <w:b w:val="0"/>
            <w:color w:val="auto"/>
          </w:rPr>
          <w:t>Quantitative standards for measuring the capital requirement</w:t>
        </w:r>
        <w:r w:rsidR="00433AA3" w:rsidRPr="00CA089C">
          <w:rPr>
            <w:b w:val="0"/>
            <w:webHidden/>
          </w:rPr>
          <w:tab/>
        </w:r>
        <w:r w:rsidRPr="00CA089C">
          <w:rPr>
            <w:b w:val="0"/>
            <w:webHidden/>
          </w:rPr>
          <w:fldChar w:fldCharType="begin"/>
        </w:r>
        <w:r w:rsidR="00433AA3" w:rsidRPr="00CA089C">
          <w:rPr>
            <w:b w:val="0"/>
            <w:webHidden/>
          </w:rPr>
          <w:instrText xml:space="preserve"> PAGEREF _Toc338670626 \h </w:instrText>
        </w:r>
        <w:r w:rsidRPr="00CA089C">
          <w:rPr>
            <w:b w:val="0"/>
            <w:webHidden/>
          </w:rPr>
        </w:r>
        <w:r w:rsidRPr="00CA089C">
          <w:rPr>
            <w:b w:val="0"/>
            <w:webHidden/>
          </w:rPr>
          <w:fldChar w:fldCharType="separate"/>
        </w:r>
        <w:r w:rsidR="00366CB2" w:rsidRPr="00CA089C">
          <w:rPr>
            <w:b w:val="0"/>
            <w:webHidden/>
          </w:rPr>
          <w:t>14</w:t>
        </w:r>
        <w:r w:rsidRPr="00CA089C">
          <w:rPr>
            <w:b w:val="0"/>
            <w:webHidden/>
          </w:rPr>
          <w:fldChar w:fldCharType="end"/>
        </w:r>
      </w:hyperlink>
    </w:p>
    <w:p w:rsidR="00433AA3" w:rsidRPr="00CA089C" w:rsidRDefault="002762C2" w:rsidP="00466CAD">
      <w:pPr>
        <w:pStyle w:val="Heading2"/>
        <w:spacing w:before="120" w:after="240"/>
        <w:rPr>
          <w:i w:val="0"/>
          <w:sz w:val="24"/>
          <w:szCs w:val="24"/>
        </w:rPr>
      </w:pPr>
      <w:r w:rsidRPr="00CA089C">
        <w:fldChar w:fldCharType="end"/>
      </w:r>
      <w:r w:rsidR="00433AA3" w:rsidRPr="00CA089C">
        <w:br w:type="page"/>
      </w:r>
      <w:bookmarkStart w:id="9" w:name="_Toc176749304"/>
      <w:bookmarkStart w:id="10" w:name="_Toc177286354"/>
      <w:bookmarkStart w:id="11" w:name="_Toc338670614"/>
      <w:r w:rsidR="00433AA3" w:rsidRPr="00CA089C">
        <w:rPr>
          <w:i w:val="0"/>
          <w:sz w:val="24"/>
          <w:szCs w:val="24"/>
        </w:rPr>
        <w:lastRenderedPageBreak/>
        <w:t>Authority</w:t>
      </w:r>
      <w:bookmarkEnd w:id="9"/>
      <w:bookmarkEnd w:id="10"/>
      <w:bookmarkEnd w:id="11"/>
    </w:p>
    <w:p w:rsidR="00433AA3" w:rsidRPr="00CA089C" w:rsidRDefault="00433AA3" w:rsidP="00433AA3">
      <w:pPr>
        <w:pStyle w:val="numberedpara"/>
        <w:numPr>
          <w:ilvl w:val="0"/>
          <w:numId w:val="38"/>
        </w:numPr>
        <w:jc w:val="both"/>
        <w:rPr>
          <w:color w:val="auto"/>
        </w:rPr>
      </w:pPr>
      <w:bookmarkStart w:id="12" w:name="_Ref165087883"/>
      <w:r w:rsidRPr="00CA089C">
        <w:rPr>
          <w:color w:val="auto"/>
        </w:rPr>
        <w:t xml:space="preserve">This Prudential Standard is made under section 11AF of the </w:t>
      </w:r>
      <w:r w:rsidRPr="00CA089C">
        <w:rPr>
          <w:i/>
          <w:color w:val="auto"/>
        </w:rPr>
        <w:t xml:space="preserve">Banking Act 1959 </w:t>
      </w:r>
      <w:r w:rsidRPr="00CA089C">
        <w:rPr>
          <w:color w:val="auto"/>
        </w:rPr>
        <w:t>(</w:t>
      </w:r>
      <w:r w:rsidR="00466CAD" w:rsidRPr="00CA089C">
        <w:rPr>
          <w:color w:val="auto"/>
        </w:rPr>
        <w:t xml:space="preserve">the </w:t>
      </w:r>
      <w:r w:rsidRPr="00CA089C">
        <w:rPr>
          <w:b/>
          <w:color w:val="auto"/>
        </w:rPr>
        <w:t>Banking Act</w:t>
      </w:r>
      <w:r w:rsidRPr="00CA089C">
        <w:rPr>
          <w:color w:val="auto"/>
        </w:rPr>
        <w:t>).</w:t>
      </w:r>
    </w:p>
    <w:p w:rsidR="00433AA3" w:rsidRPr="00CA089C" w:rsidRDefault="00433AA3" w:rsidP="00466CAD">
      <w:pPr>
        <w:pStyle w:val="Heading2"/>
        <w:spacing w:before="120" w:after="240"/>
        <w:rPr>
          <w:i w:val="0"/>
          <w:sz w:val="24"/>
          <w:szCs w:val="24"/>
        </w:rPr>
      </w:pPr>
      <w:bookmarkStart w:id="13" w:name="_Toc176749305"/>
      <w:bookmarkStart w:id="14" w:name="_Toc177286355"/>
      <w:bookmarkStart w:id="15" w:name="_Toc338670615"/>
      <w:r w:rsidRPr="00CA089C">
        <w:rPr>
          <w:i w:val="0"/>
          <w:sz w:val="24"/>
          <w:szCs w:val="24"/>
        </w:rPr>
        <w:t>Application</w:t>
      </w:r>
      <w:bookmarkEnd w:id="13"/>
      <w:bookmarkEnd w:id="14"/>
      <w:bookmarkEnd w:id="15"/>
    </w:p>
    <w:p w:rsidR="00433AA3" w:rsidRPr="00CA089C" w:rsidRDefault="00433AA3" w:rsidP="00433AA3">
      <w:pPr>
        <w:pStyle w:val="numberedpara"/>
        <w:numPr>
          <w:ilvl w:val="0"/>
          <w:numId w:val="38"/>
        </w:numPr>
        <w:jc w:val="both"/>
        <w:rPr>
          <w:color w:val="auto"/>
        </w:rPr>
      </w:pPr>
      <w:r w:rsidRPr="00CA089C">
        <w:rPr>
          <w:color w:val="auto"/>
        </w:rPr>
        <w:t xml:space="preserve">This Prudential Standard applies to </w:t>
      </w:r>
      <w:r w:rsidRPr="00CA089C">
        <w:rPr>
          <w:b/>
          <w:color w:val="auto"/>
        </w:rPr>
        <w:t>authorised deposit-taking institutions</w:t>
      </w:r>
      <w:r w:rsidRPr="00CA089C">
        <w:rPr>
          <w:color w:val="auto"/>
        </w:rPr>
        <w:t xml:space="preserve"> (</w:t>
      </w:r>
      <w:r w:rsidRPr="00CA089C">
        <w:rPr>
          <w:b/>
          <w:color w:val="auto"/>
        </w:rPr>
        <w:t>ADIs</w:t>
      </w:r>
      <w:r w:rsidRPr="00CA089C">
        <w:rPr>
          <w:color w:val="auto"/>
        </w:rPr>
        <w:t xml:space="preserve">) that are seeking or have been given approval to use an </w:t>
      </w:r>
      <w:r w:rsidRPr="00CA089C">
        <w:rPr>
          <w:b/>
          <w:color w:val="auto"/>
        </w:rPr>
        <w:t>internal model</w:t>
      </w:r>
      <w:r w:rsidRPr="00CA089C">
        <w:rPr>
          <w:color w:val="auto"/>
        </w:rPr>
        <w:t xml:space="preserve"> approach for interest rate risk in the banking book (IRRBB) for the purpose of determining </w:t>
      </w:r>
      <w:r w:rsidRPr="00CA089C">
        <w:rPr>
          <w:b/>
          <w:color w:val="auto"/>
        </w:rPr>
        <w:t>Regulatory Capital</w:t>
      </w:r>
      <w:r w:rsidRPr="00CA089C">
        <w:rPr>
          <w:i/>
          <w:color w:val="auto"/>
        </w:rPr>
        <w:t>.</w:t>
      </w:r>
    </w:p>
    <w:p w:rsidR="00433AA3" w:rsidRPr="00CA089C" w:rsidRDefault="00433AA3" w:rsidP="00433AA3">
      <w:pPr>
        <w:pStyle w:val="numberedpara"/>
        <w:numPr>
          <w:ilvl w:val="0"/>
          <w:numId w:val="38"/>
        </w:numPr>
        <w:jc w:val="both"/>
        <w:rPr>
          <w:color w:val="auto"/>
        </w:rPr>
      </w:pPr>
      <w:bookmarkStart w:id="16" w:name="_Ref147209273"/>
      <w:bookmarkEnd w:id="12"/>
      <w:r w:rsidRPr="00CA089C">
        <w:rPr>
          <w:color w:val="auto"/>
        </w:rPr>
        <w:t xml:space="preserve">A reference to an </w:t>
      </w:r>
      <w:smartTag w:uri="urn:schemas-microsoft-com:office:smarttags" w:element="stockticker">
        <w:r w:rsidRPr="00CA089C">
          <w:rPr>
            <w:color w:val="auto"/>
          </w:rPr>
          <w:t>ADI</w:t>
        </w:r>
      </w:smartTag>
      <w:r w:rsidRPr="00CA089C">
        <w:rPr>
          <w:color w:val="auto"/>
        </w:rPr>
        <w:t xml:space="preserve"> in this Prudential Standard shall be taken as a reference to:</w:t>
      </w:r>
      <w:bookmarkEnd w:id="16"/>
    </w:p>
    <w:p w:rsidR="00433AA3" w:rsidRPr="00CA089C" w:rsidRDefault="00433AA3" w:rsidP="00433AA3">
      <w:pPr>
        <w:pStyle w:val="numberedpara"/>
        <w:numPr>
          <w:ilvl w:val="1"/>
          <w:numId w:val="38"/>
        </w:numPr>
        <w:jc w:val="both"/>
        <w:rPr>
          <w:color w:val="auto"/>
        </w:rPr>
      </w:pPr>
      <w:r w:rsidRPr="00CA089C">
        <w:rPr>
          <w:color w:val="auto"/>
        </w:rPr>
        <w:t xml:space="preserve">an </w:t>
      </w:r>
      <w:smartTag w:uri="urn:schemas-microsoft-com:office:smarttags" w:element="stockticker">
        <w:r w:rsidRPr="00CA089C">
          <w:rPr>
            <w:color w:val="auto"/>
          </w:rPr>
          <w:t>ADI</w:t>
        </w:r>
      </w:smartTag>
      <w:r w:rsidRPr="00CA089C">
        <w:rPr>
          <w:color w:val="auto"/>
        </w:rPr>
        <w:t xml:space="preserve"> on a </w:t>
      </w:r>
      <w:r w:rsidRPr="00CA089C">
        <w:rPr>
          <w:b/>
          <w:color w:val="auto"/>
        </w:rPr>
        <w:t>Level 1</w:t>
      </w:r>
      <w:r w:rsidRPr="00CA089C">
        <w:rPr>
          <w:color w:val="auto"/>
        </w:rPr>
        <w:t xml:space="preserve"> basis; and</w:t>
      </w:r>
    </w:p>
    <w:p w:rsidR="00433AA3" w:rsidRPr="00CA089C" w:rsidRDefault="00433AA3" w:rsidP="00433AA3">
      <w:pPr>
        <w:pStyle w:val="numberedpara"/>
        <w:numPr>
          <w:ilvl w:val="1"/>
          <w:numId w:val="38"/>
        </w:numPr>
        <w:jc w:val="both"/>
        <w:rPr>
          <w:color w:val="auto"/>
        </w:rPr>
      </w:pPr>
      <w:r w:rsidRPr="00CA089C">
        <w:rPr>
          <w:color w:val="auto"/>
        </w:rPr>
        <w:t xml:space="preserve">a </w:t>
      </w:r>
      <w:r w:rsidRPr="00CA089C">
        <w:rPr>
          <w:b/>
          <w:color w:val="auto"/>
        </w:rPr>
        <w:t>group</w:t>
      </w:r>
      <w:r w:rsidRPr="00CA089C">
        <w:rPr>
          <w:color w:val="auto"/>
        </w:rPr>
        <w:t xml:space="preserve"> of which an </w:t>
      </w:r>
      <w:smartTag w:uri="urn:schemas-microsoft-com:office:smarttags" w:element="stockticker">
        <w:r w:rsidRPr="00CA089C">
          <w:rPr>
            <w:color w:val="auto"/>
          </w:rPr>
          <w:t>ADI</w:t>
        </w:r>
      </w:smartTag>
      <w:r w:rsidRPr="00CA089C">
        <w:rPr>
          <w:color w:val="auto"/>
        </w:rPr>
        <w:t xml:space="preserve"> is a member on a </w:t>
      </w:r>
      <w:r w:rsidRPr="00CA089C">
        <w:rPr>
          <w:b/>
          <w:color w:val="auto"/>
        </w:rPr>
        <w:t>Level 2</w:t>
      </w:r>
      <w:r w:rsidRPr="00CA089C">
        <w:rPr>
          <w:color w:val="auto"/>
        </w:rPr>
        <w:t xml:space="preserve"> basis.</w:t>
      </w:r>
    </w:p>
    <w:p w:rsidR="00433AA3" w:rsidRPr="00CA089C" w:rsidRDefault="00433AA3" w:rsidP="00433AA3">
      <w:pPr>
        <w:pStyle w:val="BodyText2"/>
        <w:numPr>
          <w:ilvl w:val="0"/>
          <w:numId w:val="38"/>
        </w:numPr>
        <w:spacing w:line="240" w:lineRule="auto"/>
        <w:jc w:val="both"/>
        <w:rPr>
          <w:sz w:val="24"/>
          <w:szCs w:val="24"/>
        </w:rPr>
      </w:pPr>
      <w:r w:rsidRPr="00CA089C">
        <w:rPr>
          <w:sz w:val="24"/>
          <w:szCs w:val="24"/>
        </w:rPr>
        <w:t>If an ADI to which the Prudential Standard applies is:</w:t>
      </w:r>
    </w:p>
    <w:p w:rsidR="00433AA3" w:rsidRPr="00CA089C" w:rsidRDefault="00433AA3" w:rsidP="00433AA3">
      <w:pPr>
        <w:pStyle w:val="Default"/>
        <w:numPr>
          <w:ilvl w:val="1"/>
          <w:numId w:val="38"/>
        </w:numPr>
        <w:spacing w:after="240"/>
        <w:jc w:val="both"/>
        <w:rPr>
          <w:rFonts w:ascii="Times New Roman" w:hAnsi="Times New Roman" w:cs="Times New Roman"/>
          <w:color w:val="auto"/>
        </w:rPr>
      </w:pPr>
      <w:r w:rsidRPr="00CA089C">
        <w:rPr>
          <w:rFonts w:ascii="Times New Roman" w:hAnsi="Times New Roman" w:cs="Times New Roman"/>
          <w:color w:val="auto"/>
        </w:rPr>
        <w:t xml:space="preserve">the holding company for a group, the ADI must ensure that the requirements in this Prudential Standard are met on a Level 2 basis, where applicable; or </w:t>
      </w:r>
    </w:p>
    <w:p w:rsidR="00433AA3" w:rsidRPr="00CA089C" w:rsidRDefault="00433AA3" w:rsidP="00433AA3">
      <w:pPr>
        <w:pStyle w:val="Default"/>
        <w:numPr>
          <w:ilvl w:val="1"/>
          <w:numId w:val="38"/>
        </w:numPr>
        <w:spacing w:after="240"/>
        <w:jc w:val="both"/>
        <w:rPr>
          <w:rFonts w:ascii="Times New Roman" w:hAnsi="Times New Roman" w:cs="Times New Roman"/>
          <w:color w:val="auto"/>
        </w:rPr>
      </w:pPr>
      <w:r w:rsidRPr="00CA089C">
        <w:rPr>
          <w:rFonts w:ascii="Times New Roman" w:hAnsi="Times New Roman" w:cs="Times New Roman"/>
          <w:color w:val="auto"/>
        </w:rPr>
        <w:t xml:space="preserve">a subsidiary of an </w:t>
      </w:r>
      <w:r w:rsidRPr="00CA089C">
        <w:rPr>
          <w:rFonts w:ascii="Times New Roman" w:hAnsi="Times New Roman" w:cs="Times New Roman"/>
          <w:b/>
          <w:color w:val="auto"/>
        </w:rPr>
        <w:t>authorised non-operating holding company</w:t>
      </w:r>
      <w:r w:rsidRPr="00CA089C">
        <w:rPr>
          <w:rFonts w:ascii="Times New Roman" w:hAnsi="Times New Roman" w:cs="Times New Roman"/>
          <w:color w:val="auto"/>
        </w:rPr>
        <w:t xml:space="preserve"> (</w:t>
      </w:r>
      <w:r w:rsidRPr="00CA089C">
        <w:rPr>
          <w:rFonts w:ascii="Times New Roman" w:hAnsi="Times New Roman" w:cs="Times New Roman"/>
          <w:b/>
          <w:bCs/>
          <w:color w:val="auto"/>
        </w:rPr>
        <w:t>authorised</w:t>
      </w:r>
      <w:r w:rsidRPr="00CA089C">
        <w:rPr>
          <w:rFonts w:ascii="Times New Roman" w:hAnsi="Times New Roman" w:cs="Times New Roman"/>
          <w:bCs/>
          <w:color w:val="auto"/>
        </w:rPr>
        <w:t xml:space="preserve"> </w:t>
      </w:r>
      <w:r w:rsidRPr="00CA089C">
        <w:rPr>
          <w:rFonts w:ascii="Times New Roman" w:hAnsi="Times New Roman" w:cs="Times New Roman"/>
          <w:b/>
          <w:bCs/>
          <w:color w:val="auto"/>
        </w:rPr>
        <w:t>NOHC</w:t>
      </w:r>
      <w:r w:rsidRPr="00CA089C">
        <w:rPr>
          <w:rFonts w:ascii="Times New Roman" w:hAnsi="Times New Roman" w:cs="Times New Roman"/>
          <w:bCs/>
          <w:color w:val="auto"/>
        </w:rPr>
        <w:t>),</w:t>
      </w:r>
      <w:r w:rsidRPr="00CA089C">
        <w:rPr>
          <w:rFonts w:ascii="Times New Roman" w:hAnsi="Times New Roman" w:cs="Times New Roman"/>
          <w:b/>
          <w:bCs/>
          <w:color w:val="auto"/>
        </w:rPr>
        <w:t xml:space="preserve"> </w:t>
      </w:r>
      <w:r w:rsidRPr="00CA089C">
        <w:rPr>
          <w:rFonts w:ascii="Times New Roman" w:hAnsi="Times New Roman" w:cs="Times New Roman"/>
          <w:color w:val="auto"/>
        </w:rPr>
        <w:t>the authorised NOHC must ensure that the requirements in this Prudential Standard are met on a Level 2 basis, where applicable.</w:t>
      </w:r>
    </w:p>
    <w:p w:rsidR="00433AA3" w:rsidRPr="00CA089C" w:rsidRDefault="00433AA3" w:rsidP="00466CAD">
      <w:pPr>
        <w:pStyle w:val="Heading2"/>
        <w:spacing w:before="120" w:after="240"/>
        <w:rPr>
          <w:i w:val="0"/>
          <w:sz w:val="24"/>
          <w:szCs w:val="24"/>
        </w:rPr>
      </w:pPr>
      <w:bookmarkStart w:id="17" w:name="_Toc338670616"/>
      <w:bookmarkStart w:id="18" w:name="_Toc176749306"/>
      <w:bookmarkStart w:id="19" w:name="_Toc177286356"/>
      <w:r w:rsidRPr="00CA089C">
        <w:rPr>
          <w:i w:val="0"/>
          <w:sz w:val="24"/>
          <w:szCs w:val="24"/>
        </w:rPr>
        <w:t>Interpretation</w:t>
      </w:r>
      <w:bookmarkEnd w:id="17"/>
    </w:p>
    <w:p w:rsidR="00433AA3" w:rsidRPr="00CA089C" w:rsidRDefault="00433AA3" w:rsidP="00433AA3">
      <w:pPr>
        <w:pStyle w:val="numberedpara"/>
        <w:numPr>
          <w:ilvl w:val="0"/>
          <w:numId w:val="38"/>
        </w:numPr>
        <w:jc w:val="both"/>
        <w:rPr>
          <w:color w:val="auto"/>
        </w:rPr>
      </w:pPr>
      <w:r w:rsidRPr="00CA089C">
        <w:rPr>
          <w:color w:val="auto"/>
        </w:rPr>
        <w:t xml:space="preserve">Terms that are defined in </w:t>
      </w:r>
      <w:r w:rsidRPr="00CA089C">
        <w:rPr>
          <w:i/>
          <w:color w:val="auto"/>
        </w:rPr>
        <w:t>Prudential Standard APS 001 Definitions</w:t>
      </w:r>
      <w:r w:rsidRPr="00CA089C">
        <w:rPr>
          <w:color w:val="auto"/>
        </w:rPr>
        <w:t xml:space="preserve"> appear in bold the first time they are used in this Prudential Standard</w:t>
      </w:r>
      <w:r w:rsidRPr="00CA089C">
        <w:rPr>
          <w:i/>
          <w:color w:val="auto"/>
        </w:rPr>
        <w:t>.</w:t>
      </w:r>
      <w:r w:rsidRPr="00CA089C">
        <w:rPr>
          <w:color w:val="auto"/>
        </w:rPr>
        <w:t xml:space="preserve"> </w:t>
      </w:r>
    </w:p>
    <w:p w:rsidR="00433AA3" w:rsidRPr="00CA089C" w:rsidRDefault="00433AA3" w:rsidP="00466CAD">
      <w:pPr>
        <w:pStyle w:val="Heading2"/>
        <w:spacing w:before="120" w:after="240"/>
        <w:rPr>
          <w:i w:val="0"/>
          <w:sz w:val="24"/>
          <w:szCs w:val="24"/>
        </w:rPr>
      </w:pPr>
      <w:bookmarkStart w:id="20" w:name="_Toc338670617"/>
      <w:r w:rsidRPr="00CA089C">
        <w:rPr>
          <w:i w:val="0"/>
          <w:sz w:val="24"/>
          <w:szCs w:val="24"/>
        </w:rPr>
        <w:t>Scope</w:t>
      </w:r>
      <w:bookmarkEnd w:id="18"/>
      <w:bookmarkEnd w:id="19"/>
      <w:bookmarkEnd w:id="20"/>
    </w:p>
    <w:p w:rsidR="00433AA3" w:rsidRPr="00CA089C" w:rsidRDefault="00433AA3" w:rsidP="00433AA3">
      <w:pPr>
        <w:pStyle w:val="numberedpara"/>
        <w:numPr>
          <w:ilvl w:val="0"/>
          <w:numId w:val="38"/>
        </w:numPr>
        <w:jc w:val="both"/>
        <w:rPr>
          <w:color w:val="auto"/>
        </w:rPr>
      </w:pPr>
      <w:bookmarkStart w:id="21" w:name="_Ref179260356"/>
      <w:r w:rsidRPr="00CA089C">
        <w:rPr>
          <w:color w:val="auto"/>
        </w:rPr>
        <w:t>For the purposes of this Prudential Standard, an ADI’s banking book is comprised of the following items (banking book items):</w:t>
      </w:r>
      <w:bookmarkEnd w:id="21"/>
      <w:r w:rsidRPr="00CA089C">
        <w:rPr>
          <w:color w:val="auto"/>
        </w:rPr>
        <w:t xml:space="preserve"> </w:t>
      </w:r>
    </w:p>
    <w:p w:rsidR="00433AA3" w:rsidRPr="00CA089C" w:rsidRDefault="00433AA3" w:rsidP="00433AA3">
      <w:pPr>
        <w:pStyle w:val="alphabullet"/>
        <w:numPr>
          <w:ilvl w:val="0"/>
          <w:numId w:val="40"/>
        </w:numPr>
        <w:tabs>
          <w:tab w:val="clear" w:pos="993"/>
        </w:tabs>
        <w:jc w:val="both"/>
        <w:rPr>
          <w:color w:val="auto"/>
        </w:rPr>
      </w:pPr>
      <w:r w:rsidRPr="00CA089C">
        <w:rPr>
          <w:color w:val="auto"/>
        </w:rPr>
        <w:t>all on-balance sheet items with the exception of:</w:t>
      </w:r>
    </w:p>
    <w:p w:rsidR="00433AA3" w:rsidRPr="00CA089C" w:rsidRDefault="00433AA3" w:rsidP="00433AA3">
      <w:pPr>
        <w:numPr>
          <w:ilvl w:val="0"/>
          <w:numId w:val="30"/>
        </w:numPr>
        <w:spacing w:after="240"/>
        <w:jc w:val="both"/>
      </w:pPr>
      <w:r w:rsidRPr="00CA089C">
        <w:t xml:space="preserve">items </w:t>
      </w:r>
      <w:r w:rsidRPr="00CA089C">
        <w:rPr>
          <w:snapToGrid w:val="0"/>
        </w:rPr>
        <w:t xml:space="preserve">that </w:t>
      </w:r>
      <w:r w:rsidRPr="00CA089C">
        <w:t xml:space="preserve">are part of the ADI’s trading book. </w:t>
      </w:r>
      <w:r w:rsidRPr="00CA089C">
        <w:rPr>
          <w:rStyle w:val="FootnoteReference"/>
          <w:vertAlign w:val="baseline"/>
        </w:rPr>
        <w:t>An ADI’s on</w:t>
      </w:r>
      <w:r w:rsidRPr="00CA089C">
        <w:t>-balance sheet</w:t>
      </w:r>
      <w:r w:rsidRPr="00CA089C">
        <w:rPr>
          <w:rStyle w:val="FootnoteReference"/>
        </w:rPr>
        <w:t xml:space="preserve"> </w:t>
      </w:r>
      <w:r w:rsidRPr="00CA089C">
        <w:rPr>
          <w:rStyle w:val="FootnoteReference"/>
          <w:vertAlign w:val="baseline"/>
        </w:rPr>
        <w:t>and off-balance sheet positions may be allocated to the banking or trading books according to the ADI’s trading book policy statement (refer</w:t>
      </w:r>
      <w:r w:rsidRPr="00CA089C">
        <w:t xml:space="preserve"> to Attachment A to </w:t>
      </w:r>
      <w:r w:rsidRPr="00CA089C">
        <w:rPr>
          <w:i/>
        </w:rPr>
        <w:t xml:space="preserve">Prudential Standard APS 116 Capital Adequacy: Market Risk </w:t>
      </w:r>
      <w:r w:rsidRPr="00CA089C">
        <w:t>(</w:t>
      </w:r>
      <w:r w:rsidRPr="00CA089C">
        <w:rPr>
          <w:b/>
        </w:rPr>
        <w:t>APS 116</w:t>
      </w:r>
      <w:r w:rsidRPr="00CA089C">
        <w:t>))</w:t>
      </w:r>
      <w:r w:rsidR="00466CAD" w:rsidRPr="00CA089C">
        <w:t xml:space="preserve">. </w:t>
      </w:r>
      <w:r w:rsidRPr="00CA089C">
        <w:rPr>
          <w:rStyle w:val="FootnoteReference"/>
        </w:rPr>
        <w:t xml:space="preserve"> </w:t>
      </w:r>
      <w:r w:rsidRPr="00CA089C">
        <w:t xml:space="preserve">APS 116 provides details for the purpose of calculating </w:t>
      </w:r>
      <w:r w:rsidRPr="00CA089C">
        <w:rPr>
          <w:rStyle w:val="FootnoteReference"/>
          <w:vertAlign w:val="baseline"/>
        </w:rPr>
        <w:t>capital to be held against the interest rate risk in an ADI’s trading book</w:t>
      </w:r>
      <w:r w:rsidRPr="00CA089C">
        <w:t>;</w:t>
      </w:r>
    </w:p>
    <w:p w:rsidR="00433AA3" w:rsidRPr="00CA089C" w:rsidRDefault="00433AA3" w:rsidP="00433AA3">
      <w:pPr>
        <w:numPr>
          <w:ilvl w:val="0"/>
          <w:numId w:val="30"/>
        </w:numPr>
        <w:spacing w:after="240"/>
        <w:jc w:val="both"/>
      </w:pPr>
      <w:r w:rsidRPr="00CA089C">
        <w:lastRenderedPageBreak/>
        <w:t xml:space="preserve">items that are deducted from the </w:t>
      </w:r>
      <w:smartTag w:uri="urn:schemas-microsoft-com:office:smarttags" w:element="stockticker">
        <w:r w:rsidRPr="00CA089C">
          <w:t>ADI</w:t>
        </w:r>
      </w:smartTag>
      <w:r w:rsidRPr="00CA089C">
        <w:t xml:space="preserve">’s </w:t>
      </w:r>
      <w:r w:rsidRPr="00CA089C">
        <w:rPr>
          <w:b/>
        </w:rPr>
        <w:t>Common Equity Tier 1 Capital</w:t>
      </w:r>
      <w:r w:rsidRPr="00CA089C">
        <w:t xml:space="preserve"> under </w:t>
      </w:r>
      <w:r w:rsidRPr="00CA089C">
        <w:rPr>
          <w:i/>
        </w:rPr>
        <w:t xml:space="preserve">Prudential Standard </w:t>
      </w:r>
      <w:smartTag w:uri="urn:schemas-microsoft-com:office:smarttags" w:element="stockticker">
        <w:r w:rsidRPr="00CA089C">
          <w:rPr>
            <w:i/>
          </w:rPr>
          <w:t>APS</w:t>
        </w:r>
      </w:smartTag>
      <w:r w:rsidRPr="00CA089C">
        <w:rPr>
          <w:i/>
        </w:rPr>
        <w:t xml:space="preserve"> 111</w:t>
      </w:r>
      <w:r w:rsidRPr="00CA089C">
        <w:t xml:space="preserve"> </w:t>
      </w:r>
      <w:r w:rsidRPr="00CA089C">
        <w:rPr>
          <w:i/>
        </w:rPr>
        <w:t>Capital Adequacy: Measurement of Capital</w:t>
      </w:r>
      <w:r w:rsidRPr="00CA089C">
        <w:t xml:space="preserve"> (</w:t>
      </w:r>
      <w:smartTag w:uri="urn:schemas-microsoft-com:office:smarttags" w:element="stockticker">
        <w:r w:rsidRPr="00CA089C">
          <w:rPr>
            <w:b/>
          </w:rPr>
          <w:t>APS</w:t>
        </w:r>
      </w:smartTag>
      <w:r w:rsidRPr="00CA089C">
        <w:rPr>
          <w:b/>
        </w:rPr>
        <w:t xml:space="preserve"> 111</w:t>
      </w:r>
      <w:r w:rsidRPr="00CA089C">
        <w:t>);</w:t>
      </w:r>
    </w:p>
    <w:p w:rsidR="00433AA3" w:rsidRPr="00CA089C" w:rsidRDefault="00433AA3" w:rsidP="00433AA3">
      <w:pPr>
        <w:numPr>
          <w:ilvl w:val="0"/>
          <w:numId w:val="30"/>
        </w:numPr>
        <w:spacing w:after="240"/>
        <w:jc w:val="both"/>
      </w:pPr>
      <w:r w:rsidRPr="00CA089C">
        <w:t xml:space="preserve">items included in the </w:t>
      </w:r>
      <w:smartTag w:uri="urn:schemas-microsoft-com:office:smarttags" w:element="stockticker">
        <w:r w:rsidRPr="00CA089C">
          <w:t>ADI</w:t>
        </w:r>
      </w:smartTag>
      <w:r w:rsidRPr="00CA089C">
        <w:t>’s Common Equity Tier 1 Capital</w:t>
      </w:r>
      <w:r w:rsidRPr="00CA089C">
        <w:rPr>
          <w:b/>
        </w:rPr>
        <w:t xml:space="preserve"> </w:t>
      </w:r>
      <w:r w:rsidRPr="00CA089C">
        <w:t xml:space="preserve">(refer to </w:t>
      </w:r>
      <w:smartTag w:uri="urn:schemas-microsoft-com:office:smarttags" w:element="stockticker">
        <w:r w:rsidRPr="00CA089C">
          <w:t>APS</w:t>
        </w:r>
      </w:smartTag>
      <w:r w:rsidRPr="00CA089C">
        <w:t xml:space="preserve"> 111); and</w:t>
      </w:r>
    </w:p>
    <w:p w:rsidR="00433AA3" w:rsidRPr="00CA089C" w:rsidRDefault="00433AA3" w:rsidP="00433AA3">
      <w:pPr>
        <w:pStyle w:val="alphabullet"/>
        <w:numPr>
          <w:ilvl w:val="0"/>
          <w:numId w:val="40"/>
        </w:numPr>
        <w:tabs>
          <w:tab w:val="clear" w:pos="993"/>
        </w:tabs>
        <w:jc w:val="both"/>
        <w:rPr>
          <w:color w:val="auto"/>
        </w:rPr>
      </w:pPr>
      <w:r w:rsidRPr="00CA089C">
        <w:rPr>
          <w:color w:val="auto"/>
        </w:rPr>
        <w:t xml:space="preserve">all off-balance sheet items that alter the ADI’s exposure to interest rate risk, other than positions that are part of the ADI’s trading book. This includes derivatives transacted with other entities within the group of which an ADI is a member (and not part of the ADI’s </w:t>
      </w:r>
      <w:r w:rsidRPr="00CA089C">
        <w:rPr>
          <w:b/>
          <w:color w:val="auto"/>
        </w:rPr>
        <w:t>Extended Licensed Entity</w:t>
      </w:r>
      <w:r w:rsidRPr="00CA089C">
        <w:rPr>
          <w:color w:val="auto"/>
        </w:rPr>
        <w:t xml:space="preserve">), for the purpose of determining interest rate risk Regulatory Capital on a Level 1 basis, or with other entities within the group of companies of which an ADI is a member that do not form part of the group, for determining such capital on a Level 2 basis. </w:t>
      </w:r>
    </w:p>
    <w:p w:rsidR="00433AA3" w:rsidRPr="00CA089C" w:rsidRDefault="00433AA3" w:rsidP="00466CAD">
      <w:pPr>
        <w:pStyle w:val="Heading2"/>
        <w:spacing w:before="120" w:after="240"/>
        <w:rPr>
          <w:i w:val="0"/>
          <w:sz w:val="24"/>
          <w:szCs w:val="24"/>
        </w:rPr>
      </w:pPr>
      <w:bookmarkStart w:id="22" w:name="_Toc176749307"/>
      <w:bookmarkStart w:id="23" w:name="_Toc177286357"/>
      <w:bookmarkStart w:id="24" w:name="_Toc338670618"/>
      <w:r w:rsidRPr="00CA089C">
        <w:rPr>
          <w:i w:val="0"/>
          <w:sz w:val="24"/>
          <w:szCs w:val="24"/>
        </w:rPr>
        <w:t>Definitions</w:t>
      </w:r>
      <w:bookmarkEnd w:id="22"/>
      <w:bookmarkEnd w:id="23"/>
      <w:bookmarkEnd w:id="24"/>
    </w:p>
    <w:p w:rsidR="00433AA3" w:rsidRPr="00CA089C" w:rsidRDefault="00433AA3" w:rsidP="00433AA3">
      <w:pPr>
        <w:pStyle w:val="numberedpara"/>
        <w:numPr>
          <w:ilvl w:val="0"/>
          <w:numId w:val="38"/>
        </w:numPr>
        <w:jc w:val="both"/>
        <w:rPr>
          <w:color w:val="auto"/>
        </w:rPr>
      </w:pPr>
      <w:bookmarkStart w:id="25" w:name="_Ref179261608"/>
      <w:r w:rsidRPr="00CA089C">
        <w:rPr>
          <w:color w:val="auto"/>
        </w:rPr>
        <w:t>The following definitions are used in this Prudential Standard:</w:t>
      </w:r>
      <w:bookmarkEnd w:id="25"/>
    </w:p>
    <w:p w:rsidR="00433AA3" w:rsidRPr="00CA089C" w:rsidRDefault="00433AA3" w:rsidP="00433AA3">
      <w:pPr>
        <w:pStyle w:val="numberedpara"/>
        <w:numPr>
          <w:ilvl w:val="1"/>
          <w:numId w:val="38"/>
        </w:numPr>
        <w:jc w:val="both"/>
        <w:rPr>
          <w:color w:val="auto"/>
        </w:rPr>
      </w:pPr>
      <w:r w:rsidRPr="00CA089C">
        <w:rPr>
          <w:color w:val="auto"/>
        </w:rPr>
        <w:t>basis risk</w:t>
      </w:r>
      <w:r w:rsidRPr="00CA089C">
        <w:rPr>
          <w:b/>
          <w:color w:val="auto"/>
        </w:rPr>
        <w:t xml:space="preserve"> </w:t>
      </w:r>
      <w:r w:rsidRPr="00CA089C">
        <w:rPr>
          <w:color w:val="auto"/>
        </w:rPr>
        <w:t>-</w:t>
      </w:r>
      <w:r w:rsidRPr="00CA089C">
        <w:rPr>
          <w:b/>
          <w:color w:val="auto"/>
        </w:rPr>
        <w:t xml:space="preserve"> </w:t>
      </w:r>
      <w:r w:rsidRPr="00CA089C">
        <w:rPr>
          <w:color w:val="auto"/>
        </w:rPr>
        <w:t xml:space="preserve">the risk of loss in earnings or economic value arising from differences between the actual and expected interest margins on banking </w:t>
      </w:r>
      <w:bookmarkStart w:id="26" w:name="OLE_LINK3"/>
      <w:r w:rsidRPr="00CA089C">
        <w:rPr>
          <w:color w:val="auto"/>
        </w:rPr>
        <w:t xml:space="preserve">book items, where ‘margin’ means the difference between the interest rate on the items and the implied cost of funds for those items; </w:t>
      </w:r>
    </w:p>
    <w:p w:rsidR="00433AA3" w:rsidRPr="00CA089C" w:rsidRDefault="00433AA3" w:rsidP="00433AA3">
      <w:pPr>
        <w:pStyle w:val="numberedpara"/>
        <w:numPr>
          <w:ilvl w:val="1"/>
          <w:numId w:val="38"/>
        </w:numPr>
        <w:jc w:val="both"/>
        <w:rPr>
          <w:color w:val="auto"/>
        </w:rPr>
      </w:pPr>
      <w:r w:rsidRPr="00CA089C">
        <w:rPr>
          <w:color w:val="auto"/>
        </w:rPr>
        <w:t xml:space="preserve">earnings at risk - the potential impact of interest rate changes on the net interest income and non-interest income (and expense) earned on the </w:t>
      </w:r>
      <w:smartTag w:uri="urn:schemas-microsoft-com:office:smarttags" w:element="stockticker">
        <w:r w:rsidRPr="00CA089C">
          <w:rPr>
            <w:color w:val="auto"/>
          </w:rPr>
          <w:t>ADI</w:t>
        </w:r>
      </w:smartTag>
      <w:r w:rsidRPr="00CA089C">
        <w:rPr>
          <w:color w:val="auto"/>
        </w:rPr>
        <w:t>’s banking book;</w:t>
      </w:r>
    </w:p>
    <w:p w:rsidR="00433AA3" w:rsidRPr="00CA089C" w:rsidRDefault="00433AA3" w:rsidP="00433AA3">
      <w:pPr>
        <w:pStyle w:val="numberedpara"/>
        <w:numPr>
          <w:ilvl w:val="1"/>
          <w:numId w:val="38"/>
        </w:numPr>
        <w:jc w:val="both"/>
        <w:rPr>
          <w:color w:val="auto"/>
        </w:rPr>
      </w:pPr>
      <w:r w:rsidRPr="00CA089C">
        <w:rPr>
          <w:color w:val="auto"/>
        </w:rPr>
        <w:t xml:space="preserve">economic value sensitivity - the potential impact of interest rate changes on the present value of all future </w:t>
      </w:r>
      <w:proofErr w:type="spellStart"/>
      <w:r w:rsidRPr="00CA089C">
        <w:rPr>
          <w:color w:val="auto"/>
        </w:rPr>
        <w:t>cashflows</w:t>
      </w:r>
      <w:proofErr w:type="spellEnd"/>
      <w:r w:rsidRPr="00CA089C">
        <w:rPr>
          <w:color w:val="auto"/>
        </w:rPr>
        <w:t xml:space="preserve"> arising from the </w:t>
      </w:r>
      <w:smartTag w:uri="urn:schemas-microsoft-com:office:smarttags" w:element="stockticker">
        <w:r w:rsidRPr="00CA089C">
          <w:rPr>
            <w:color w:val="auto"/>
          </w:rPr>
          <w:t>ADI</w:t>
        </w:r>
      </w:smartTag>
      <w:r w:rsidRPr="00CA089C">
        <w:rPr>
          <w:color w:val="auto"/>
        </w:rPr>
        <w:t xml:space="preserve">’s banking book items, including the economic value of non-interest </w:t>
      </w:r>
      <w:proofErr w:type="spellStart"/>
      <w:r w:rsidRPr="00CA089C">
        <w:rPr>
          <w:color w:val="auto"/>
        </w:rPr>
        <w:t>cashflows</w:t>
      </w:r>
      <w:proofErr w:type="spellEnd"/>
      <w:r w:rsidRPr="00CA089C">
        <w:rPr>
          <w:color w:val="auto"/>
        </w:rPr>
        <w:t xml:space="preserve">; </w:t>
      </w:r>
    </w:p>
    <w:p w:rsidR="00433AA3" w:rsidRPr="00CA089C" w:rsidRDefault="00433AA3" w:rsidP="00433AA3">
      <w:pPr>
        <w:pStyle w:val="numberedpara"/>
        <w:numPr>
          <w:ilvl w:val="1"/>
          <w:numId w:val="38"/>
        </w:numPr>
        <w:jc w:val="both"/>
        <w:rPr>
          <w:b/>
          <w:color w:val="auto"/>
        </w:rPr>
      </w:pPr>
      <w:bookmarkStart w:id="27" w:name="_Ref180901453"/>
      <w:r w:rsidRPr="00CA089C">
        <w:rPr>
          <w:color w:val="auto"/>
        </w:rPr>
        <w:t>IRRBB -</w:t>
      </w:r>
      <w:r w:rsidRPr="00CA089C">
        <w:rPr>
          <w:b/>
          <w:color w:val="auto"/>
        </w:rPr>
        <w:t xml:space="preserve"> </w:t>
      </w:r>
      <w:r w:rsidRPr="00CA089C">
        <w:rPr>
          <w:color w:val="auto"/>
        </w:rPr>
        <w:t xml:space="preserve">the risk of loss in earnings or in the economic value on banking book items as a consequence of movements in interest rates. For the purposes of this Prudential Standard, reference is made to the IRRBB components of repricing risk, yield curve risk, basis risk and </w:t>
      </w:r>
      <w:proofErr w:type="spellStart"/>
      <w:r w:rsidRPr="00CA089C">
        <w:rPr>
          <w:color w:val="auto"/>
        </w:rPr>
        <w:t>optionality</w:t>
      </w:r>
      <w:proofErr w:type="spellEnd"/>
      <w:r w:rsidRPr="00CA089C">
        <w:rPr>
          <w:color w:val="auto"/>
        </w:rPr>
        <w:t xml:space="preserve"> risk;</w:t>
      </w:r>
      <w:bookmarkEnd w:id="27"/>
    </w:p>
    <w:p w:rsidR="00433AA3" w:rsidRPr="00CA089C" w:rsidRDefault="00433AA3" w:rsidP="00433AA3">
      <w:pPr>
        <w:pStyle w:val="numberedpara"/>
        <w:numPr>
          <w:ilvl w:val="1"/>
          <w:numId w:val="38"/>
        </w:numPr>
        <w:jc w:val="both"/>
        <w:rPr>
          <w:color w:val="auto"/>
        </w:rPr>
      </w:pPr>
      <w:r w:rsidRPr="00CA089C">
        <w:rPr>
          <w:color w:val="auto"/>
        </w:rPr>
        <w:t>IRRBB capital requirement - the Regulatory Capital that an ADI is required to hold against its exposure to IRRBB in accordance with this Prudential Standard;</w:t>
      </w:r>
    </w:p>
    <w:p w:rsidR="00433AA3" w:rsidRPr="00CA089C" w:rsidRDefault="00433AA3" w:rsidP="00433AA3">
      <w:pPr>
        <w:pStyle w:val="numberedpara"/>
        <w:numPr>
          <w:ilvl w:val="1"/>
          <w:numId w:val="38"/>
        </w:numPr>
        <w:jc w:val="both"/>
        <w:rPr>
          <w:b/>
          <w:color w:val="auto"/>
        </w:rPr>
      </w:pPr>
      <w:r w:rsidRPr="00CA089C">
        <w:rPr>
          <w:color w:val="auto"/>
        </w:rPr>
        <w:t>IRRBB management framework</w:t>
      </w:r>
      <w:r w:rsidRPr="00CA089C">
        <w:rPr>
          <w:b/>
          <w:color w:val="auto"/>
        </w:rPr>
        <w:t xml:space="preserve"> </w:t>
      </w:r>
      <w:r w:rsidRPr="00CA089C">
        <w:rPr>
          <w:color w:val="auto"/>
        </w:rPr>
        <w:t>- the organisational structures, processes and systems used in identifying, assessing, measuring, monitoring, controlling and mitigating IRRBB;</w:t>
      </w:r>
    </w:p>
    <w:p w:rsidR="00433AA3" w:rsidRPr="00CA089C" w:rsidRDefault="00433AA3" w:rsidP="00433AA3">
      <w:pPr>
        <w:pStyle w:val="numberedpara"/>
        <w:numPr>
          <w:ilvl w:val="1"/>
          <w:numId w:val="38"/>
        </w:numPr>
        <w:jc w:val="both"/>
        <w:rPr>
          <w:b/>
          <w:color w:val="auto"/>
        </w:rPr>
      </w:pPr>
      <w:r w:rsidRPr="00CA089C">
        <w:rPr>
          <w:color w:val="auto"/>
        </w:rPr>
        <w:t>IRRBB measurement system - the systems and data of the IRRBB management framework used to measure IRRBB;</w:t>
      </w:r>
    </w:p>
    <w:bookmarkEnd w:id="26"/>
    <w:p w:rsidR="00433AA3" w:rsidRPr="00CA089C" w:rsidRDefault="00433AA3" w:rsidP="00433AA3">
      <w:pPr>
        <w:pStyle w:val="numberedpara"/>
        <w:numPr>
          <w:ilvl w:val="1"/>
          <w:numId w:val="38"/>
        </w:numPr>
        <w:jc w:val="both"/>
        <w:rPr>
          <w:color w:val="auto"/>
        </w:rPr>
      </w:pPr>
      <w:proofErr w:type="spellStart"/>
      <w:r w:rsidRPr="00CA089C">
        <w:rPr>
          <w:color w:val="auto"/>
        </w:rPr>
        <w:lastRenderedPageBreak/>
        <w:t>optionality</w:t>
      </w:r>
      <w:proofErr w:type="spellEnd"/>
      <w:r w:rsidRPr="00CA089C">
        <w:rPr>
          <w:color w:val="auto"/>
        </w:rPr>
        <w:t xml:space="preserve"> risk - the risk of loss in earnings or economic value due to the existence of stand-alone or embedded options</w:t>
      </w:r>
      <w:r w:rsidRPr="00CA089C">
        <w:rPr>
          <w:rStyle w:val="FootnoteReference"/>
          <w:color w:val="auto"/>
        </w:rPr>
        <w:footnoteReference w:id="1"/>
      </w:r>
      <w:r w:rsidRPr="00CA089C">
        <w:rPr>
          <w:color w:val="auto"/>
        </w:rPr>
        <w:t>, to the extent that the potential for those losses is not included in the measurement of repricing, yield curve or basis risks;</w:t>
      </w:r>
      <w:r w:rsidRPr="00CA089C">
        <w:rPr>
          <w:rStyle w:val="FootnoteReference"/>
          <w:color w:val="auto"/>
        </w:rPr>
        <w:footnoteReference w:id="2"/>
      </w:r>
    </w:p>
    <w:p w:rsidR="00433AA3" w:rsidRPr="00CA089C" w:rsidRDefault="00433AA3" w:rsidP="00433AA3">
      <w:pPr>
        <w:pStyle w:val="numberedpara"/>
        <w:numPr>
          <w:ilvl w:val="1"/>
          <w:numId w:val="38"/>
        </w:numPr>
        <w:jc w:val="both"/>
        <w:rPr>
          <w:color w:val="auto"/>
        </w:rPr>
      </w:pPr>
      <w:bookmarkStart w:id="28" w:name="_Ref179261619"/>
      <w:r w:rsidRPr="00CA089C">
        <w:rPr>
          <w:color w:val="auto"/>
        </w:rPr>
        <w:t>repricing risk</w:t>
      </w:r>
      <w:r w:rsidRPr="00CA089C">
        <w:rPr>
          <w:b/>
          <w:color w:val="auto"/>
        </w:rPr>
        <w:t xml:space="preserve"> </w:t>
      </w:r>
      <w:r w:rsidRPr="00CA089C">
        <w:rPr>
          <w:color w:val="auto"/>
        </w:rPr>
        <w:t>- the risk of loss in earnings or economic value caused by a change in the overall level of interest rates. This risk arises from mismatches in the repricing dates</w:t>
      </w:r>
      <w:r w:rsidRPr="00CA089C">
        <w:rPr>
          <w:rStyle w:val="FootnoteReference"/>
          <w:color w:val="auto"/>
        </w:rPr>
        <w:footnoteReference w:id="3"/>
      </w:r>
      <w:r w:rsidRPr="00CA089C">
        <w:rPr>
          <w:rStyle w:val="FootnoteReference"/>
          <w:color w:val="auto"/>
        </w:rPr>
        <w:t xml:space="preserve"> </w:t>
      </w:r>
      <w:r w:rsidRPr="00CA089C">
        <w:rPr>
          <w:color w:val="auto"/>
        </w:rPr>
        <w:t xml:space="preserve">of an </w:t>
      </w:r>
      <w:smartTag w:uri="urn:schemas-microsoft-com:office:smarttags" w:element="stockticker">
        <w:r w:rsidRPr="00CA089C">
          <w:rPr>
            <w:color w:val="auto"/>
          </w:rPr>
          <w:t>ADI</w:t>
        </w:r>
      </w:smartTag>
      <w:r w:rsidRPr="00CA089C">
        <w:rPr>
          <w:color w:val="auto"/>
        </w:rPr>
        <w:t>’s banking book items; and</w:t>
      </w:r>
      <w:bookmarkEnd w:id="28"/>
    </w:p>
    <w:p w:rsidR="00433AA3" w:rsidRPr="00CA089C" w:rsidRDefault="00433AA3" w:rsidP="00433AA3">
      <w:pPr>
        <w:pStyle w:val="numberedpara"/>
        <w:numPr>
          <w:ilvl w:val="1"/>
          <w:numId w:val="38"/>
        </w:numPr>
        <w:jc w:val="both"/>
        <w:rPr>
          <w:color w:val="auto"/>
        </w:rPr>
      </w:pPr>
      <w:bookmarkStart w:id="29" w:name="_Ref179261648"/>
      <w:r w:rsidRPr="00CA089C">
        <w:rPr>
          <w:color w:val="auto"/>
        </w:rPr>
        <w:t>yield curve risk - the risk of loss in earnings or economic value caused by a change in the relative levels of interest rates for different tenors (that is, a change in the slope or shape of the yield curve). Yield curve risk arises from repricing mismatches between assets and liabilities</w:t>
      </w:r>
      <w:r w:rsidRPr="00CA089C">
        <w:rPr>
          <w:rStyle w:val="FootnoteReference"/>
          <w:color w:val="auto"/>
        </w:rPr>
        <w:footnoteReference w:id="4"/>
      </w:r>
      <w:bookmarkEnd w:id="29"/>
      <w:r w:rsidRPr="00CA089C">
        <w:rPr>
          <w:color w:val="auto"/>
        </w:rPr>
        <w:t>.</w:t>
      </w:r>
    </w:p>
    <w:p w:rsidR="00433AA3" w:rsidRPr="00CA089C" w:rsidRDefault="00433AA3" w:rsidP="00466CAD">
      <w:pPr>
        <w:pStyle w:val="Heading2"/>
        <w:spacing w:before="120" w:after="240"/>
        <w:rPr>
          <w:i w:val="0"/>
          <w:sz w:val="24"/>
          <w:szCs w:val="24"/>
        </w:rPr>
      </w:pPr>
      <w:bookmarkStart w:id="30" w:name="_Toc176749308"/>
      <w:bookmarkStart w:id="31" w:name="_Toc177286358"/>
      <w:bookmarkStart w:id="32" w:name="_Toc338670619"/>
      <w:r w:rsidRPr="00CA089C">
        <w:rPr>
          <w:i w:val="0"/>
          <w:sz w:val="24"/>
          <w:szCs w:val="24"/>
        </w:rPr>
        <w:t>Key principles</w:t>
      </w:r>
      <w:bookmarkEnd w:id="30"/>
      <w:bookmarkEnd w:id="31"/>
      <w:bookmarkEnd w:id="32"/>
    </w:p>
    <w:p w:rsidR="00433AA3" w:rsidRPr="00CA089C" w:rsidRDefault="00433AA3" w:rsidP="00433AA3">
      <w:pPr>
        <w:pStyle w:val="numberedpara"/>
        <w:numPr>
          <w:ilvl w:val="0"/>
          <w:numId w:val="38"/>
        </w:numPr>
        <w:jc w:val="both"/>
        <w:rPr>
          <w:color w:val="auto"/>
        </w:rPr>
      </w:pPr>
      <w:r w:rsidRPr="00CA089C">
        <w:rPr>
          <w:color w:val="auto"/>
        </w:rPr>
        <w:t xml:space="preserve">An ADI that has received </w:t>
      </w:r>
      <w:r w:rsidRPr="00CA089C">
        <w:rPr>
          <w:b/>
          <w:color w:val="auto"/>
        </w:rPr>
        <w:t>model approval</w:t>
      </w:r>
      <w:r w:rsidRPr="00CA089C">
        <w:rPr>
          <w:color w:val="auto"/>
        </w:rPr>
        <w:t xml:space="preserve"> from APRA for IRRBB must:</w:t>
      </w:r>
    </w:p>
    <w:p w:rsidR="00433AA3" w:rsidRPr="00CA089C" w:rsidRDefault="00433AA3" w:rsidP="00433AA3">
      <w:pPr>
        <w:pStyle w:val="numberedpara"/>
        <w:numPr>
          <w:ilvl w:val="1"/>
          <w:numId w:val="38"/>
        </w:numPr>
        <w:jc w:val="both"/>
        <w:rPr>
          <w:color w:val="auto"/>
        </w:rPr>
      </w:pPr>
      <w:r w:rsidRPr="00CA089C">
        <w:rPr>
          <w:color w:val="auto"/>
        </w:rPr>
        <w:t>have in place a robust IRRBB framework and a conceptually sound IRRBB measurement system; and</w:t>
      </w:r>
    </w:p>
    <w:p w:rsidR="00433AA3" w:rsidRPr="00CA089C" w:rsidRDefault="00433AA3" w:rsidP="00433AA3">
      <w:pPr>
        <w:pStyle w:val="numberedpara"/>
        <w:numPr>
          <w:ilvl w:val="1"/>
          <w:numId w:val="38"/>
        </w:numPr>
        <w:jc w:val="both"/>
        <w:rPr>
          <w:color w:val="auto"/>
        </w:rPr>
      </w:pPr>
      <w:r w:rsidRPr="00CA089C">
        <w:rPr>
          <w:color w:val="auto"/>
        </w:rPr>
        <w:t xml:space="preserve">hold regulatory capital commensurate with its exposure to IRRBB. </w:t>
      </w:r>
    </w:p>
    <w:p w:rsidR="00433AA3" w:rsidRPr="00CA089C" w:rsidRDefault="00433AA3" w:rsidP="00466CAD">
      <w:pPr>
        <w:pStyle w:val="Heading2"/>
        <w:spacing w:before="120" w:after="240"/>
        <w:rPr>
          <w:i w:val="0"/>
          <w:sz w:val="24"/>
          <w:szCs w:val="24"/>
        </w:rPr>
      </w:pPr>
      <w:bookmarkStart w:id="33" w:name="_Toc176749311"/>
      <w:bookmarkStart w:id="34" w:name="_Toc177286359"/>
      <w:bookmarkStart w:id="35" w:name="_Toc338670620"/>
      <w:r w:rsidRPr="00CA089C">
        <w:rPr>
          <w:i w:val="0"/>
          <w:sz w:val="24"/>
          <w:szCs w:val="24"/>
        </w:rPr>
        <w:t>Approval process</w:t>
      </w:r>
      <w:bookmarkEnd w:id="33"/>
      <w:bookmarkEnd w:id="34"/>
      <w:bookmarkEnd w:id="35"/>
    </w:p>
    <w:p w:rsidR="00433AA3" w:rsidRPr="00CA089C" w:rsidRDefault="00433AA3" w:rsidP="00433AA3">
      <w:pPr>
        <w:pStyle w:val="numberedpara"/>
        <w:numPr>
          <w:ilvl w:val="0"/>
          <w:numId w:val="38"/>
        </w:numPr>
        <w:jc w:val="both"/>
        <w:rPr>
          <w:color w:val="auto"/>
        </w:rPr>
      </w:pPr>
      <w:bookmarkStart w:id="36" w:name="_Ref180901593"/>
      <w:r w:rsidRPr="00CA089C">
        <w:rPr>
          <w:color w:val="auto"/>
        </w:rPr>
        <w:t xml:space="preserve">An </w:t>
      </w:r>
      <w:smartTag w:uri="urn:schemas-microsoft-com:office:smarttags" w:element="stockticker">
        <w:r w:rsidRPr="00CA089C">
          <w:rPr>
            <w:color w:val="auto"/>
          </w:rPr>
          <w:t>ADI</w:t>
        </w:r>
      </w:smartTag>
      <w:r w:rsidRPr="00CA089C">
        <w:rPr>
          <w:color w:val="auto"/>
        </w:rPr>
        <w:t xml:space="preserve"> that has sought model approval from APRA to use an internal ratings-based approach to credit risk or an advanced measurement approach to operational risk must also apply for model approval to use an internal model approach to IRRBB for Regulatory Capital purposes.</w:t>
      </w:r>
    </w:p>
    <w:p w:rsidR="00433AA3" w:rsidRPr="00CA089C" w:rsidRDefault="00433AA3" w:rsidP="00433AA3">
      <w:pPr>
        <w:pStyle w:val="numberedpara"/>
        <w:numPr>
          <w:ilvl w:val="0"/>
          <w:numId w:val="38"/>
        </w:numPr>
        <w:jc w:val="both"/>
        <w:rPr>
          <w:color w:val="auto"/>
        </w:rPr>
      </w:pPr>
      <w:bookmarkStart w:id="37" w:name="_Ref179260225"/>
      <w:bookmarkStart w:id="38" w:name="_Ref147209348"/>
      <w:bookmarkEnd w:id="36"/>
      <w:r w:rsidRPr="00CA089C">
        <w:rPr>
          <w:color w:val="auto"/>
        </w:rPr>
        <w:t xml:space="preserve">Any model approval granted may specify how the internal model is to apply in relation to the </w:t>
      </w:r>
      <w:smartTag w:uri="urn:schemas-microsoft-com:office:smarttags" w:element="stockticker">
        <w:r w:rsidRPr="00CA089C">
          <w:rPr>
            <w:color w:val="auto"/>
          </w:rPr>
          <w:t>ADI</w:t>
        </w:r>
      </w:smartTag>
      <w:r w:rsidRPr="00CA089C">
        <w:rPr>
          <w:color w:val="auto"/>
        </w:rPr>
        <w:t xml:space="preserve">, including approvals under other paragraphs of this Prudential Standard. APRA’s prior written approval is required for any material changes to the internal model. Prior notification to APRA is required for material changes to other components of the IRRBB management framework. APRA may impose conditions on a model approval. </w:t>
      </w:r>
      <w:bookmarkEnd w:id="37"/>
    </w:p>
    <w:p w:rsidR="00433AA3" w:rsidRPr="00CA089C" w:rsidRDefault="00433AA3" w:rsidP="00433AA3">
      <w:pPr>
        <w:pStyle w:val="numberedpara"/>
        <w:numPr>
          <w:ilvl w:val="0"/>
          <w:numId w:val="38"/>
        </w:numPr>
        <w:jc w:val="both"/>
        <w:rPr>
          <w:color w:val="auto"/>
        </w:rPr>
      </w:pPr>
      <w:r w:rsidRPr="00CA089C">
        <w:rPr>
          <w:color w:val="auto"/>
        </w:rPr>
        <w:t xml:space="preserve">Once an </w:t>
      </w:r>
      <w:smartTag w:uri="urn:schemas-microsoft-com:office:smarttags" w:element="stockticker">
        <w:r w:rsidRPr="00CA089C">
          <w:rPr>
            <w:color w:val="auto"/>
          </w:rPr>
          <w:t>ADI</w:t>
        </w:r>
      </w:smartTag>
      <w:r w:rsidRPr="00CA089C">
        <w:rPr>
          <w:color w:val="auto"/>
        </w:rPr>
        <w:t xml:space="preserve"> has obtained model approval, it must continue to employ that internal model unless APRA revokes the approval. Revocation at the request of the </w:t>
      </w:r>
      <w:smartTag w:uri="urn:schemas-microsoft-com:office:smarttags" w:element="stockticker">
        <w:r w:rsidRPr="00CA089C">
          <w:rPr>
            <w:color w:val="auto"/>
          </w:rPr>
          <w:t>ADI</w:t>
        </w:r>
      </w:smartTag>
      <w:r w:rsidRPr="00CA089C">
        <w:rPr>
          <w:color w:val="auto"/>
        </w:rPr>
        <w:t xml:space="preserve"> may only occur in exceptional circumstances.</w:t>
      </w:r>
    </w:p>
    <w:p w:rsidR="00433AA3" w:rsidRPr="00CA089C" w:rsidRDefault="00433AA3" w:rsidP="00433AA3">
      <w:pPr>
        <w:pStyle w:val="numberedpara"/>
        <w:numPr>
          <w:ilvl w:val="0"/>
          <w:numId w:val="38"/>
        </w:numPr>
        <w:jc w:val="both"/>
        <w:rPr>
          <w:color w:val="auto"/>
        </w:rPr>
      </w:pPr>
      <w:bookmarkStart w:id="39" w:name="_Ref147209612"/>
      <w:bookmarkEnd w:id="38"/>
      <w:r w:rsidRPr="00CA089C">
        <w:rPr>
          <w:color w:val="auto"/>
        </w:rPr>
        <w:lastRenderedPageBreak/>
        <w:t>APRA may, at any time in writing to the ADI, vary or revoke a model approval, or impose additional conditions on the approval if it determines that:</w:t>
      </w:r>
      <w:bookmarkEnd w:id="39"/>
    </w:p>
    <w:p w:rsidR="00433AA3" w:rsidRPr="00CA089C" w:rsidRDefault="00433AA3" w:rsidP="00433AA3">
      <w:pPr>
        <w:pStyle w:val="numberedpara"/>
        <w:numPr>
          <w:ilvl w:val="0"/>
          <w:numId w:val="37"/>
        </w:numPr>
        <w:jc w:val="both"/>
        <w:rPr>
          <w:color w:val="auto"/>
        </w:rPr>
      </w:pPr>
      <w:r w:rsidRPr="00CA089C">
        <w:rPr>
          <w:color w:val="auto"/>
        </w:rPr>
        <w:t xml:space="preserve">the </w:t>
      </w:r>
      <w:smartTag w:uri="urn:schemas-microsoft-com:office:smarttags" w:element="stockticker">
        <w:r w:rsidRPr="00CA089C">
          <w:rPr>
            <w:color w:val="auto"/>
          </w:rPr>
          <w:t>ADI</w:t>
        </w:r>
      </w:smartTag>
      <w:r w:rsidRPr="00CA089C">
        <w:rPr>
          <w:color w:val="auto"/>
        </w:rPr>
        <w:t xml:space="preserve"> does not comply with this Prudential Standard; or</w:t>
      </w:r>
    </w:p>
    <w:p w:rsidR="00433AA3" w:rsidRPr="00CA089C" w:rsidRDefault="00433AA3" w:rsidP="00433AA3">
      <w:pPr>
        <w:pStyle w:val="numberedpara"/>
        <w:numPr>
          <w:ilvl w:val="0"/>
          <w:numId w:val="37"/>
        </w:numPr>
        <w:jc w:val="both"/>
        <w:rPr>
          <w:color w:val="auto"/>
        </w:rPr>
      </w:pPr>
      <w:r w:rsidRPr="00CA089C">
        <w:rPr>
          <w:color w:val="auto"/>
        </w:rPr>
        <w:t xml:space="preserve">it is appropriate, having regard to the particular circumstances of the </w:t>
      </w:r>
      <w:smartTag w:uri="urn:schemas-microsoft-com:office:smarttags" w:element="stockticker">
        <w:r w:rsidRPr="00CA089C">
          <w:rPr>
            <w:color w:val="auto"/>
          </w:rPr>
          <w:t>ADI</w:t>
        </w:r>
      </w:smartTag>
      <w:r w:rsidRPr="00CA089C">
        <w:rPr>
          <w:color w:val="auto"/>
        </w:rPr>
        <w:t>, to impose the conditions or make the variation or revocation.</w:t>
      </w:r>
    </w:p>
    <w:p w:rsidR="00433AA3" w:rsidRPr="00CA089C" w:rsidRDefault="00433AA3" w:rsidP="00433AA3">
      <w:pPr>
        <w:pStyle w:val="numberedpara"/>
        <w:numPr>
          <w:ilvl w:val="0"/>
          <w:numId w:val="38"/>
        </w:numPr>
        <w:jc w:val="both"/>
        <w:rPr>
          <w:color w:val="auto"/>
        </w:rPr>
      </w:pPr>
      <w:r w:rsidRPr="00CA089C">
        <w:rPr>
          <w:color w:val="auto"/>
        </w:rPr>
        <w:t xml:space="preserve">Where an </w:t>
      </w:r>
      <w:smartTag w:uri="urn:schemas-microsoft-com:office:smarttags" w:element="stockticker">
        <w:r w:rsidRPr="00CA089C">
          <w:rPr>
            <w:color w:val="auto"/>
          </w:rPr>
          <w:t>ADI</w:t>
        </w:r>
      </w:smartTag>
      <w:r w:rsidRPr="00CA089C">
        <w:rPr>
          <w:color w:val="auto"/>
        </w:rPr>
        <w:t xml:space="preserve">’s model approval has been revoked or the </w:t>
      </w:r>
      <w:smartTag w:uri="urn:schemas-microsoft-com:office:smarttags" w:element="stockticker">
        <w:r w:rsidRPr="00CA089C">
          <w:rPr>
            <w:color w:val="auto"/>
          </w:rPr>
          <w:t>ADI</w:t>
        </w:r>
      </w:smartTag>
      <w:r w:rsidRPr="00CA089C">
        <w:rPr>
          <w:color w:val="auto"/>
        </w:rPr>
        <w:t xml:space="preserve"> does not receive model approval from APRA for determining its IRRBB capital requirement, the </w:t>
      </w:r>
      <w:smartTag w:uri="urn:schemas-microsoft-com:office:smarttags" w:element="stockticker">
        <w:r w:rsidRPr="00CA089C">
          <w:rPr>
            <w:color w:val="auto"/>
          </w:rPr>
          <w:t>ADI</w:t>
        </w:r>
      </w:smartTag>
      <w:r w:rsidRPr="00CA089C">
        <w:rPr>
          <w:color w:val="auto"/>
        </w:rPr>
        <w:t xml:space="preserve"> must determine that requirement based on an alternative approach that APRA specifies</w:t>
      </w:r>
      <w:r w:rsidR="00466CAD" w:rsidRPr="00CA089C">
        <w:rPr>
          <w:color w:val="auto"/>
        </w:rPr>
        <w:t>,</w:t>
      </w:r>
      <w:r w:rsidRPr="00CA089C">
        <w:rPr>
          <w:color w:val="auto"/>
        </w:rPr>
        <w:t xml:space="preserve"> in writing, taking into account the nature of the </w:t>
      </w:r>
      <w:smartTag w:uri="urn:schemas-microsoft-com:office:smarttags" w:element="stockticker">
        <w:r w:rsidRPr="00CA089C">
          <w:rPr>
            <w:color w:val="auto"/>
          </w:rPr>
          <w:t>ADI</w:t>
        </w:r>
      </w:smartTag>
      <w:r w:rsidRPr="00CA089C">
        <w:rPr>
          <w:color w:val="auto"/>
        </w:rPr>
        <w:t>’s interest rate risk</w:t>
      </w:r>
      <w:r w:rsidRPr="00CA089C">
        <w:rPr>
          <w:i/>
          <w:color w:val="auto"/>
        </w:rPr>
        <w:t>.</w:t>
      </w:r>
    </w:p>
    <w:p w:rsidR="00433AA3" w:rsidRPr="00CA089C" w:rsidRDefault="00433AA3" w:rsidP="00433AA3">
      <w:pPr>
        <w:pStyle w:val="numberedpara"/>
        <w:numPr>
          <w:ilvl w:val="0"/>
          <w:numId w:val="38"/>
        </w:numPr>
        <w:jc w:val="both"/>
        <w:rPr>
          <w:color w:val="auto"/>
        </w:rPr>
      </w:pPr>
      <w:r w:rsidRPr="00CA089C">
        <w:rPr>
          <w:color w:val="auto"/>
        </w:rPr>
        <w:t xml:space="preserve">An </w:t>
      </w:r>
      <w:smartTag w:uri="urn:schemas-microsoft-com:office:smarttags" w:element="stockticker">
        <w:r w:rsidRPr="00CA089C">
          <w:rPr>
            <w:color w:val="auto"/>
          </w:rPr>
          <w:t>ADI</w:t>
        </w:r>
      </w:smartTag>
      <w:r w:rsidRPr="00CA089C">
        <w:rPr>
          <w:color w:val="auto"/>
        </w:rPr>
        <w:t xml:space="preserve"> that has received model approval may rely on its own internal estimate based on the approved model of IRRBB for determining its IRRBB capital requirement. That estimate must be fundamentally sound and consistent with the scope of IRRBB defined in paragraph </w:t>
      </w:r>
      <w:fldSimple w:instr=" REF _Ref180901453 \r \h  \* MERGEFORMAT ">
        <w:r w:rsidR="00366CB2" w:rsidRPr="00CA089C">
          <w:rPr>
            <w:color w:val="auto"/>
          </w:rPr>
          <w:t>7(d)</w:t>
        </w:r>
      </w:fldSimple>
      <w:r w:rsidRPr="00CA089C">
        <w:rPr>
          <w:color w:val="auto"/>
        </w:rPr>
        <w:t xml:space="preserve"> of this Prudential Standard.</w:t>
      </w:r>
    </w:p>
    <w:p w:rsidR="00433AA3" w:rsidRPr="00CA089C" w:rsidRDefault="00433AA3" w:rsidP="00433AA3">
      <w:pPr>
        <w:pStyle w:val="numberedpara"/>
        <w:numPr>
          <w:ilvl w:val="0"/>
          <w:numId w:val="38"/>
        </w:numPr>
        <w:jc w:val="both"/>
        <w:rPr>
          <w:color w:val="auto"/>
        </w:rPr>
      </w:pPr>
      <w:r w:rsidRPr="00CA089C">
        <w:rPr>
          <w:color w:val="auto"/>
        </w:rPr>
        <w:t xml:space="preserve">APRA may, in writing, require an </w:t>
      </w:r>
      <w:smartTag w:uri="urn:schemas-microsoft-com:office:smarttags" w:element="stockticker">
        <w:r w:rsidRPr="00CA089C">
          <w:rPr>
            <w:color w:val="auto"/>
          </w:rPr>
          <w:t>ADI</w:t>
        </w:r>
      </w:smartTag>
      <w:r w:rsidRPr="00CA089C">
        <w:rPr>
          <w:color w:val="auto"/>
        </w:rPr>
        <w:t xml:space="preserve"> with model approval to reduce its level of IRRBB or increase its capital if APRA considers that the </w:t>
      </w:r>
      <w:smartTag w:uri="urn:schemas-microsoft-com:office:smarttags" w:element="stockticker">
        <w:r w:rsidRPr="00CA089C">
          <w:rPr>
            <w:color w:val="auto"/>
          </w:rPr>
          <w:t>ADI</w:t>
        </w:r>
      </w:smartTag>
      <w:r w:rsidRPr="00CA089C">
        <w:rPr>
          <w:color w:val="auto"/>
        </w:rPr>
        <w:t>’s</w:t>
      </w:r>
      <w:r w:rsidRPr="00CA089C">
        <w:rPr>
          <w:b/>
          <w:color w:val="auto"/>
        </w:rPr>
        <w:t xml:space="preserve"> </w:t>
      </w:r>
      <w:r w:rsidRPr="00CA089C">
        <w:rPr>
          <w:color w:val="auto"/>
        </w:rPr>
        <w:t xml:space="preserve">capital for IRRBB is not commensurate with the </w:t>
      </w:r>
      <w:smartTag w:uri="urn:schemas-microsoft-com:office:smarttags" w:element="stockticker">
        <w:r w:rsidRPr="00CA089C">
          <w:rPr>
            <w:color w:val="auto"/>
          </w:rPr>
          <w:t>ADI</w:t>
        </w:r>
      </w:smartTag>
      <w:r w:rsidRPr="00CA089C">
        <w:rPr>
          <w:color w:val="auto"/>
        </w:rPr>
        <w:t>’s risk profile.</w:t>
      </w:r>
      <w:bookmarkStart w:id="40" w:name="deductions"/>
      <w:bookmarkEnd w:id="40"/>
    </w:p>
    <w:p w:rsidR="00433AA3" w:rsidRPr="00CA089C" w:rsidRDefault="00433AA3" w:rsidP="00466CAD">
      <w:pPr>
        <w:pStyle w:val="Heading2"/>
        <w:spacing w:before="120" w:after="240"/>
        <w:rPr>
          <w:i w:val="0"/>
          <w:sz w:val="24"/>
          <w:szCs w:val="24"/>
        </w:rPr>
      </w:pPr>
      <w:bookmarkStart w:id="41" w:name="_Toc338670621"/>
      <w:bookmarkStart w:id="42" w:name="_Toc176749312"/>
      <w:bookmarkStart w:id="43" w:name="_Toc177286360"/>
      <w:bookmarkStart w:id="44" w:name="_Ref147220940"/>
      <w:r w:rsidRPr="00CA089C">
        <w:rPr>
          <w:i w:val="0"/>
          <w:sz w:val="24"/>
          <w:szCs w:val="24"/>
        </w:rPr>
        <w:t>Adoption of the internal model approach</w:t>
      </w:r>
      <w:bookmarkEnd w:id="41"/>
      <w:r w:rsidRPr="00CA089C">
        <w:rPr>
          <w:i w:val="0"/>
          <w:sz w:val="24"/>
          <w:szCs w:val="24"/>
        </w:rPr>
        <w:t xml:space="preserve"> </w:t>
      </w:r>
      <w:bookmarkEnd w:id="42"/>
      <w:bookmarkEnd w:id="43"/>
    </w:p>
    <w:p w:rsidR="00433AA3" w:rsidRPr="00CA089C" w:rsidRDefault="00433AA3" w:rsidP="00433AA3">
      <w:pPr>
        <w:pStyle w:val="numberedpara"/>
        <w:numPr>
          <w:ilvl w:val="0"/>
          <w:numId w:val="38"/>
        </w:numPr>
        <w:jc w:val="both"/>
        <w:rPr>
          <w:color w:val="auto"/>
        </w:rPr>
      </w:pPr>
      <w:bookmarkStart w:id="45" w:name="_Ref165087917"/>
      <w:r w:rsidRPr="00CA089C">
        <w:rPr>
          <w:color w:val="auto"/>
        </w:rPr>
        <w:t xml:space="preserve">APRA will generally require an </w:t>
      </w:r>
      <w:smartTag w:uri="urn:schemas-microsoft-com:office:smarttags" w:element="stockticker">
        <w:r w:rsidRPr="00CA089C">
          <w:rPr>
            <w:color w:val="auto"/>
          </w:rPr>
          <w:t>ADI</w:t>
        </w:r>
      </w:smartTag>
      <w:r w:rsidRPr="00CA089C">
        <w:rPr>
          <w:color w:val="auto"/>
        </w:rPr>
        <w:t xml:space="preserve"> that has model approval to apply this model across all relevant business activities of the </w:t>
      </w:r>
      <w:smartTag w:uri="urn:schemas-microsoft-com:office:smarttags" w:element="stockticker">
        <w:r w:rsidRPr="00CA089C">
          <w:rPr>
            <w:color w:val="auto"/>
          </w:rPr>
          <w:t>ADI</w:t>
        </w:r>
      </w:smartTag>
      <w:r w:rsidRPr="00CA089C">
        <w:rPr>
          <w:color w:val="auto"/>
        </w:rPr>
        <w:t xml:space="preserve">. APRA recognises, however, that for many ADIs it may not be practical to implement an internal model across all business activities. This may be the case, for instance, where an </w:t>
      </w:r>
      <w:smartTag w:uri="urn:schemas-microsoft-com:office:smarttags" w:element="stockticker">
        <w:r w:rsidRPr="00CA089C">
          <w:rPr>
            <w:color w:val="auto"/>
          </w:rPr>
          <w:t>ADI</w:t>
        </w:r>
      </w:smartTag>
      <w:r w:rsidRPr="00CA089C">
        <w:rPr>
          <w:color w:val="auto"/>
        </w:rPr>
        <w:t xml:space="preserve"> undertakes a new business activity, has acquired a new business through merger or acquisition or has certain immaterial business activities (refer to paragraph </w:t>
      </w:r>
      <w:fldSimple w:instr=" REF _Ref147209160 \r \h  \* MERGEFORMAT ">
        <w:r w:rsidR="00366CB2" w:rsidRPr="00CA089C">
          <w:rPr>
            <w:color w:val="auto"/>
          </w:rPr>
          <w:t>21</w:t>
        </w:r>
      </w:fldSimple>
      <w:r w:rsidRPr="00CA089C">
        <w:rPr>
          <w:color w:val="auto"/>
        </w:rPr>
        <w:t xml:space="preserve"> of this Prudential Standard). In such circumstances, APRA’s approval of the model may permit the </w:t>
      </w:r>
      <w:smartTag w:uri="urn:schemas-microsoft-com:office:smarttags" w:element="stockticker">
        <w:r w:rsidRPr="00CA089C">
          <w:rPr>
            <w:color w:val="auto"/>
          </w:rPr>
          <w:t>ADI</w:t>
        </w:r>
      </w:smartTag>
      <w:r w:rsidRPr="00CA089C">
        <w:rPr>
          <w:color w:val="auto"/>
        </w:rPr>
        <w:t xml:space="preserve"> to use a combination of the internal model approach and an alternative APRA-agreed approach for regulatory capital purposes. This approach is referred to as ‘partial use’.</w:t>
      </w:r>
      <w:bookmarkEnd w:id="45"/>
    </w:p>
    <w:p w:rsidR="00433AA3" w:rsidRPr="00CA089C" w:rsidRDefault="00433AA3" w:rsidP="00433AA3">
      <w:pPr>
        <w:pStyle w:val="numberedpara"/>
        <w:numPr>
          <w:ilvl w:val="0"/>
          <w:numId w:val="38"/>
        </w:numPr>
        <w:jc w:val="both"/>
        <w:rPr>
          <w:color w:val="auto"/>
        </w:rPr>
      </w:pPr>
      <w:r w:rsidRPr="00CA089C">
        <w:rPr>
          <w:color w:val="auto"/>
        </w:rPr>
        <w:t>An ADI must provide APRA with appropriate written information, both at the time of the initial application for use of the internal model approach and subsequent to the ADI obtaining model approval, on the business activities for which the ADI proposes not to use its internal model approach.</w:t>
      </w:r>
    </w:p>
    <w:p w:rsidR="00433AA3" w:rsidRPr="00CA089C" w:rsidRDefault="00433AA3" w:rsidP="00433AA3">
      <w:pPr>
        <w:pStyle w:val="numberedpara"/>
        <w:numPr>
          <w:ilvl w:val="0"/>
          <w:numId w:val="38"/>
        </w:numPr>
        <w:jc w:val="both"/>
        <w:rPr>
          <w:color w:val="auto"/>
        </w:rPr>
      </w:pPr>
      <w:r w:rsidRPr="00CA089C">
        <w:rPr>
          <w:color w:val="auto"/>
        </w:rPr>
        <w:t>Approval for partial use of an internal model approach will, at a minimum, require that:</w:t>
      </w:r>
    </w:p>
    <w:p w:rsidR="00433AA3" w:rsidRPr="00CA089C" w:rsidRDefault="00433AA3" w:rsidP="00433AA3">
      <w:pPr>
        <w:pStyle w:val="Indent1"/>
        <w:numPr>
          <w:ilvl w:val="0"/>
          <w:numId w:val="31"/>
        </w:numPr>
        <w:spacing w:before="0" w:line="240" w:lineRule="atLeast"/>
        <w:jc w:val="both"/>
        <w:rPr>
          <w:sz w:val="24"/>
          <w:szCs w:val="24"/>
        </w:rPr>
      </w:pPr>
      <w:r w:rsidRPr="00CA089C">
        <w:rPr>
          <w:sz w:val="24"/>
          <w:szCs w:val="24"/>
        </w:rPr>
        <w:t>all sources of IRRBB across the ADI are captured within its total amount of IRRBB capital requirement; and</w:t>
      </w:r>
    </w:p>
    <w:p w:rsidR="00433AA3" w:rsidRPr="00CA089C" w:rsidRDefault="00433AA3" w:rsidP="00433AA3">
      <w:pPr>
        <w:pStyle w:val="Indent1"/>
        <w:numPr>
          <w:ilvl w:val="0"/>
          <w:numId w:val="31"/>
        </w:numPr>
        <w:spacing w:before="0" w:line="240" w:lineRule="atLeast"/>
        <w:jc w:val="both"/>
        <w:rPr>
          <w:sz w:val="24"/>
          <w:szCs w:val="24"/>
        </w:rPr>
      </w:pPr>
      <w:r w:rsidRPr="00CA089C">
        <w:rPr>
          <w:sz w:val="24"/>
          <w:szCs w:val="24"/>
        </w:rPr>
        <w:t>a substantial majority of an ADI’s IRRBB is captured by its measurement system.</w:t>
      </w:r>
    </w:p>
    <w:p w:rsidR="00433AA3" w:rsidRPr="00CA089C" w:rsidRDefault="00433AA3" w:rsidP="00433AA3">
      <w:pPr>
        <w:pStyle w:val="Indent1"/>
        <w:spacing w:before="0" w:line="240" w:lineRule="auto"/>
        <w:ind w:left="567"/>
        <w:jc w:val="both"/>
        <w:rPr>
          <w:sz w:val="24"/>
          <w:szCs w:val="24"/>
        </w:rPr>
      </w:pPr>
      <w:r w:rsidRPr="00CA089C">
        <w:rPr>
          <w:sz w:val="24"/>
          <w:szCs w:val="24"/>
        </w:rPr>
        <w:lastRenderedPageBreak/>
        <w:t>In the case of partial use of an internal model, diversification benefits for any part of the ADI’s operations that is excluded from the IRRBB measurement system will not be recognised.</w:t>
      </w:r>
    </w:p>
    <w:p w:rsidR="00433AA3" w:rsidRPr="00CA089C" w:rsidRDefault="00433AA3" w:rsidP="00433AA3">
      <w:pPr>
        <w:pStyle w:val="numberedpara"/>
        <w:numPr>
          <w:ilvl w:val="0"/>
          <w:numId w:val="38"/>
        </w:numPr>
        <w:jc w:val="both"/>
        <w:rPr>
          <w:color w:val="auto"/>
        </w:rPr>
      </w:pPr>
      <w:bookmarkStart w:id="46" w:name="_Ref147209097"/>
      <w:r w:rsidRPr="00CA089C">
        <w:rPr>
          <w:color w:val="auto"/>
        </w:rPr>
        <w:t>APRA may approve partial use of an ADI’s internal model approach on a short-term basis. In this case, the ADI must adopt a phased roll-out of the internal model approach across all material business activities of the ADI. A phased roll-out may include (but need not be limited to) adoption of the internal model approach, in accordance with a specified timetable, across business activities within a particular legal entity or legal entities within the Level 2 group.</w:t>
      </w:r>
      <w:bookmarkEnd w:id="46"/>
    </w:p>
    <w:p w:rsidR="00433AA3" w:rsidRPr="00CA089C" w:rsidRDefault="00433AA3" w:rsidP="00433AA3">
      <w:pPr>
        <w:pStyle w:val="numberedpara"/>
        <w:numPr>
          <w:ilvl w:val="0"/>
          <w:numId w:val="38"/>
        </w:numPr>
        <w:jc w:val="both"/>
        <w:rPr>
          <w:color w:val="auto"/>
        </w:rPr>
      </w:pPr>
      <w:bookmarkStart w:id="47" w:name="_Ref147209101"/>
      <w:r w:rsidRPr="00CA089C">
        <w:rPr>
          <w:color w:val="auto"/>
        </w:rPr>
        <w:t xml:space="preserve">An ADI that has received approval to adopt a phased roll-out of the internal model approach must have a written APRA-approved implementation plan in place that specifies the extent and timing of roll-out of the internal model approach across all material business activities. </w:t>
      </w:r>
      <w:bookmarkEnd w:id="47"/>
    </w:p>
    <w:p w:rsidR="00433AA3" w:rsidRPr="00CA089C" w:rsidRDefault="00433AA3" w:rsidP="00433AA3">
      <w:pPr>
        <w:pStyle w:val="numberedpara"/>
        <w:numPr>
          <w:ilvl w:val="0"/>
          <w:numId w:val="38"/>
        </w:numPr>
        <w:jc w:val="both"/>
        <w:rPr>
          <w:color w:val="auto"/>
        </w:rPr>
      </w:pPr>
      <w:bookmarkStart w:id="48" w:name="_Ref147209160"/>
      <w:r w:rsidRPr="00CA089C">
        <w:rPr>
          <w:color w:val="auto"/>
        </w:rPr>
        <w:t>Permanent partial use of an internal model approach will be approved only in exceptional circumstances and where the ADI is able to demonstrate to APRA that those business activities to which the internal model does not apply are immaterial in terms of size and perceived risk profile. The calculated IRRBB capital requirement for such business activities, if considered necessary by APRA, may be subject to additional capital.</w:t>
      </w:r>
      <w:bookmarkEnd w:id="48"/>
    </w:p>
    <w:p w:rsidR="00433AA3" w:rsidRPr="00CA089C" w:rsidRDefault="00433AA3" w:rsidP="00466CAD">
      <w:pPr>
        <w:pStyle w:val="Heading2"/>
        <w:spacing w:before="120" w:after="240"/>
        <w:rPr>
          <w:i w:val="0"/>
          <w:sz w:val="24"/>
          <w:szCs w:val="24"/>
        </w:rPr>
      </w:pPr>
      <w:bookmarkStart w:id="49" w:name="_Toc177286361"/>
      <w:bookmarkStart w:id="50" w:name="_Toc338670622"/>
      <w:r w:rsidRPr="00CA089C">
        <w:rPr>
          <w:i w:val="0"/>
          <w:sz w:val="24"/>
          <w:szCs w:val="24"/>
        </w:rPr>
        <w:t>Interest rate risk in the banking book management framework</w:t>
      </w:r>
      <w:bookmarkEnd w:id="49"/>
      <w:bookmarkEnd w:id="50"/>
    </w:p>
    <w:p w:rsidR="00433AA3" w:rsidRPr="00CA089C" w:rsidRDefault="00433AA3" w:rsidP="00433AA3">
      <w:pPr>
        <w:pStyle w:val="numberedpara"/>
        <w:numPr>
          <w:ilvl w:val="0"/>
          <w:numId w:val="38"/>
        </w:numPr>
        <w:jc w:val="both"/>
        <w:rPr>
          <w:color w:val="auto"/>
        </w:rPr>
      </w:pPr>
      <w:r w:rsidRPr="00CA089C">
        <w:rPr>
          <w:color w:val="auto"/>
        </w:rPr>
        <w:t xml:space="preserve">An </w:t>
      </w:r>
      <w:smartTag w:uri="urn:schemas-microsoft-com:office:smarttags" w:element="stockticker">
        <w:r w:rsidRPr="00CA089C">
          <w:rPr>
            <w:color w:val="auto"/>
          </w:rPr>
          <w:t>ADI</w:t>
        </w:r>
      </w:smartTag>
      <w:r w:rsidRPr="00CA089C">
        <w:rPr>
          <w:color w:val="auto"/>
        </w:rPr>
        <w:t xml:space="preserve"> with internal model approval must have in place an IRRBB management framework that is sufficiently robust to facilitate quantitative estimates of its IRRBB capital requirement</w:t>
      </w:r>
      <w:r w:rsidRPr="00CA089C">
        <w:rPr>
          <w:b/>
          <w:color w:val="auto"/>
        </w:rPr>
        <w:t xml:space="preserve"> </w:t>
      </w:r>
      <w:r w:rsidRPr="00CA089C">
        <w:rPr>
          <w:color w:val="auto"/>
        </w:rPr>
        <w:t xml:space="preserve">that are sound, relevant and verifiable. APRA must be satisfied that the </w:t>
      </w:r>
      <w:smartTag w:uri="urn:schemas-microsoft-com:office:smarttags" w:element="stockticker">
        <w:r w:rsidRPr="00CA089C">
          <w:rPr>
            <w:color w:val="auto"/>
          </w:rPr>
          <w:t>ADI</w:t>
        </w:r>
      </w:smartTag>
      <w:r w:rsidRPr="00CA089C">
        <w:rPr>
          <w:color w:val="auto"/>
        </w:rPr>
        <w:t xml:space="preserve">’s IRRBB management framework is suitably rigorous and consistent with the complexity of its business. Where industry risk modelling practices evolve and improve over time, the </w:t>
      </w:r>
      <w:smartTag w:uri="urn:schemas-microsoft-com:office:smarttags" w:element="stockticker">
        <w:r w:rsidRPr="00CA089C">
          <w:rPr>
            <w:color w:val="auto"/>
          </w:rPr>
          <w:t>ADI</w:t>
        </w:r>
      </w:smartTag>
      <w:r w:rsidRPr="00CA089C">
        <w:rPr>
          <w:color w:val="auto"/>
        </w:rPr>
        <w:t xml:space="preserve"> must consider these developments in assessing its own practices. Furthermore, the IRRBB measurement system must play an integral role in the </w:t>
      </w:r>
      <w:smartTag w:uri="urn:schemas-microsoft-com:office:smarttags" w:element="stockticker">
        <w:r w:rsidRPr="00CA089C">
          <w:rPr>
            <w:color w:val="auto"/>
          </w:rPr>
          <w:t>ADI</w:t>
        </w:r>
      </w:smartTag>
      <w:r w:rsidRPr="00CA089C">
        <w:rPr>
          <w:color w:val="auto"/>
        </w:rPr>
        <w:t xml:space="preserve">’s risk management and decision-making processes and meet the requirements detailed in Attachment A. An </w:t>
      </w:r>
      <w:smartTag w:uri="urn:schemas-microsoft-com:office:smarttags" w:element="stockticker">
        <w:r w:rsidRPr="00CA089C">
          <w:rPr>
            <w:color w:val="auto"/>
          </w:rPr>
          <w:t>ADI</w:t>
        </w:r>
      </w:smartTag>
      <w:r w:rsidRPr="00CA089C">
        <w:rPr>
          <w:color w:val="auto"/>
        </w:rPr>
        <w:t xml:space="preserve"> must also comply with the requirements relating to the Board of directors (</w:t>
      </w:r>
      <w:r w:rsidRPr="00CA089C">
        <w:rPr>
          <w:b/>
          <w:color w:val="auto"/>
        </w:rPr>
        <w:t>Board</w:t>
      </w:r>
      <w:r w:rsidRPr="00CA089C">
        <w:rPr>
          <w:color w:val="auto"/>
        </w:rPr>
        <w:t>) and senior management responsibilities in that Attachment.</w:t>
      </w:r>
    </w:p>
    <w:p w:rsidR="00433AA3" w:rsidRPr="00CA089C" w:rsidRDefault="00433AA3" w:rsidP="00466CAD">
      <w:pPr>
        <w:pStyle w:val="Heading2"/>
        <w:spacing w:before="120" w:after="240"/>
        <w:rPr>
          <w:i w:val="0"/>
          <w:sz w:val="24"/>
          <w:szCs w:val="24"/>
        </w:rPr>
      </w:pPr>
      <w:bookmarkStart w:id="51" w:name="_Toc177286362"/>
      <w:bookmarkStart w:id="52" w:name="_Toc338670623"/>
      <w:r w:rsidRPr="00CA089C">
        <w:rPr>
          <w:i w:val="0"/>
          <w:sz w:val="24"/>
          <w:szCs w:val="24"/>
        </w:rPr>
        <w:t>Interest rate risk in the banking book</w:t>
      </w:r>
      <w:bookmarkEnd w:id="51"/>
      <w:r w:rsidRPr="00CA089C">
        <w:rPr>
          <w:i w:val="0"/>
          <w:sz w:val="24"/>
          <w:szCs w:val="24"/>
        </w:rPr>
        <w:t xml:space="preserve"> measurement system</w:t>
      </w:r>
      <w:bookmarkEnd w:id="52"/>
    </w:p>
    <w:p w:rsidR="00433AA3" w:rsidRPr="00CA089C" w:rsidRDefault="00433AA3" w:rsidP="00433AA3">
      <w:pPr>
        <w:pStyle w:val="numberedpara"/>
        <w:numPr>
          <w:ilvl w:val="0"/>
          <w:numId w:val="38"/>
        </w:numPr>
        <w:jc w:val="both"/>
        <w:rPr>
          <w:color w:val="auto"/>
        </w:rPr>
      </w:pPr>
      <w:r w:rsidRPr="00CA089C">
        <w:rPr>
          <w:color w:val="auto"/>
        </w:rPr>
        <w:t>An ADI’s IRRBB measurement system must:</w:t>
      </w:r>
    </w:p>
    <w:p w:rsidR="00433AA3" w:rsidRPr="00CA089C" w:rsidRDefault="00433AA3" w:rsidP="00433AA3">
      <w:pPr>
        <w:pStyle w:val="numberedpara"/>
        <w:numPr>
          <w:ilvl w:val="1"/>
          <w:numId w:val="38"/>
        </w:numPr>
        <w:jc w:val="both"/>
        <w:rPr>
          <w:color w:val="auto"/>
        </w:rPr>
      </w:pPr>
      <w:r w:rsidRPr="00CA089C">
        <w:rPr>
          <w:color w:val="auto"/>
        </w:rPr>
        <w:t>be conceptually sound, comprehensive, consistently implemented, transparent and capable of independent review and validation;</w:t>
      </w:r>
    </w:p>
    <w:p w:rsidR="00433AA3" w:rsidRPr="00CA089C" w:rsidRDefault="00433AA3" w:rsidP="00433AA3">
      <w:pPr>
        <w:pStyle w:val="numberedpara"/>
        <w:numPr>
          <w:ilvl w:val="1"/>
          <w:numId w:val="38"/>
        </w:numPr>
        <w:jc w:val="both"/>
        <w:rPr>
          <w:color w:val="auto"/>
        </w:rPr>
      </w:pPr>
      <w:r w:rsidRPr="00CA089C">
        <w:rPr>
          <w:color w:val="auto"/>
        </w:rPr>
        <w:t>be sufficiently comprehensive to capture all material sources of IRRBB across the ADI, including those events that can lead to rare and severe losses; and</w:t>
      </w:r>
    </w:p>
    <w:p w:rsidR="00433AA3" w:rsidRPr="00CA089C" w:rsidRDefault="00433AA3" w:rsidP="00433AA3">
      <w:pPr>
        <w:pStyle w:val="numberedpara"/>
        <w:numPr>
          <w:ilvl w:val="1"/>
          <w:numId w:val="38"/>
        </w:numPr>
        <w:jc w:val="both"/>
        <w:rPr>
          <w:color w:val="auto"/>
        </w:rPr>
      </w:pPr>
      <w:r w:rsidRPr="00CA089C">
        <w:rPr>
          <w:color w:val="auto"/>
        </w:rPr>
        <w:t>monitor the ADI’s IRRBB risk profile in terms of earnings at risk and economic value sensitivity.</w:t>
      </w:r>
    </w:p>
    <w:p w:rsidR="00433AA3" w:rsidRPr="00CA089C" w:rsidRDefault="00433AA3" w:rsidP="00433AA3">
      <w:pPr>
        <w:pStyle w:val="numberedpara"/>
        <w:numPr>
          <w:ilvl w:val="0"/>
          <w:numId w:val="38"/>
        </w:numPr>
        <w:jc w:val="both"/>
        <w:rPr>
          <w:color w:val="auto"/>
        </w:rPr>
      </w:pPr>
      <w:r w:rsidRPr="00CA089C">
        <w:rPr>
          <w:color w:val="auto"/>
        </w:rPr>
        <w:lastRenderedPageBreak/>
        <w:t xml:space="preserve">The IRRBB capital requirement under the internal model approach must cover repricing and yield curve risks and, unless APRA approves an exemption in writing (refer to paragraphs </w:t>
      </w:r>
      <w:fldSimple w:instr=" REF _Ref177790341 \r \h  \* MERGEFORMAT ">
        <w:r w:rsidR="00366CB2" w:rsidRPr="00CA089C">
          <w:rPr>
            <w:color w:val="auto"/>
          </w:rPr>
          <w:t>25</w:t>
        </w:r>
      </w:fldSimple>
      <w:r w:rsidRPr="00CA089C">
        <w:rPr>
          <w:color w:val="auto"/>
        </w:rPr>
        <w:t xml:space="preserve"> and </w:t>
      </w:r>
      <w:fldSimple w:instr=" REF _Ref177790351 \r \h  \* MERGEFORMAT ">
        <w:r w:rsidR="00366CB2" w:rsidRPr="00CA089C">
          <w:rPr>
            <w:color w:val="auto"/>
          </w:rPr>
          <w:t>26</w:t>
        </w:r>
      </w:fldSimple>
      <w:r w:rsidRPr="00CA089C">
        <w:rPr>
          <w:color w:val="auto"/>
        </w:rPr>
        <w:t xml:space="preserve"> of this Prudential Standard), basis risk and </w:t>
      </w:r>
      <w:proofErr w:type="spellStart"/>
      <w:r w:rsidRPr="00CA089C">
        <w:rPr>
          <w:color w:val="auto"/>
        </w:rPr>
        <w:t>optionality</w:t>
      </w:r>
      <w:proofErr w:type="spellEnd"/>
      <w:r w:rsidRPr="00CA089C">
        <w:rPr>
          <w:color w:val="auto"/>
        </w:rPr>
        <w:t xml:space="preserve"> risk.</w:t>
      </w:r>
    </w:p>
    <w:p w:rsidR="00433AA3" w:rsidRPr="00CA089C" w:rsidRDefault="00433AA3" w:rsidP="00433AA3">
      <w:pPr>
        <w:pStyle w:val="numberedpara"/>
        <w:numPr>
          <w:ilvl w:val="0"/>
          <w:numId w:val="38"/>
        </w:numPr>
        <w:jc w:val="both"/>
        <w:rPr>
          <w:color w:val="auto"/>
        </w:rPr>
      </w:pPr>
      <w:bookmarkStart w:id="53" w:name="_Ref177790341"/>
      <w:bookmarkStart w:id="54" w:name="_Ref165087864"/>
      <w:r w:rsidRPr="00CA089C">
        <w:rPr>
          <w:color w:val="auto"/>
        </w:rPr>
        <w:t xml:space="preserve">Where an </w:t>
      </w:r>
      <w:smartTag w:uri="urn:schemas-microsoft-com:office:smarttags" w:element="stockticker">
        <w:r w:rsidRPr="00CA089C">
          <w:rPr>
            <w:color w:val="auto"/>
          </w:rPr>
          <w:t>ADI</w:t>
        </w:r>
      </w:smartTag>
      <w:r w:rsidRPr="00CA089C">
        <w:rPr>
          <w:color w:val="auto"/>
        </w:rPr>
        <w:t xml:space="preserve"> is able to demonstrate to APRA that the potential loss from its exposure to basis and/or </w:t>
      </w:r>
      <w:proofErr w:type="spellStart"/>
      <w:r w:rsidRPr="00CA089C">
        <w:rPr>
          <w:color w:val="auto"/>
        </w:rPr>
        <w:t>optionality</w:t>
      </w:r>
      <w:proofErr w:type="spellEnd"/>
      <w:r w:rsidRPr="00CA089C">
        <w:rPr>
          <w:color w:val="auto"/>
        </w:rPr>
        <w:t xml:space="preserve"> risks is not significant when compared to the potential loss arising from repricing and yield curve risks, APRA may approve (at the time of approving the </w:t>
      </w:r>
      <w:smartTag w:uri="urn:schemas-microsoft-com:office:smarttags" w:element="stockticker">
        <w:r w:rsidRPr="00CA089C">
          <w:rPr>
            <w:color w:val="auto"/>
          </w:rPr>
          <w:t>ADI</w:t>
        </w:r>
      </w:smartTag>
      <w:r w:rsidRPr="00CA089C">
        <w:rPr>
          <w:color w:val="auto"/>
        </w:rPr>
        <w:t xml:space="preserve">’s proposed internal model, or subsequently in writing) the exclusion of basis and/or </w:t>
      </w:r>
      <w:proofErr w:type="spellStart"/>
      <w:r w:rsidRPr="00CA089C">
        <w:rPr>
          <w:color w:val="auto"/>
        </w:rPr>
        <w:t>optionality</w:t>
      </w:r>
      <w:proofErr w:type="spellEnd"/>
      <w:r w:rsidRPr="00CA089C">
        <w:rPr>
          <w:color w:val="auto"/>
        </w:rPr>
        <w:t xml:space="preserve"> risks, as relevant, from the </w:t>
      </w:r>
      <w:smartTag w:uri="urn:schemas-microsoft-com:office:smarttags" w:element="stockticker">
        <w:r w:rsidRPr="00CA089C">
          <w:rPr>
            <w:color w:val="auto"/>
          </w:rPr>
          <w:t>ADI</w:t>
        </w:r>
      </w:smartTag>
      <w:r w:rsidRPr="00CA089C">
        <w:rPr>
          <w:color w:val="auto"/>
        </w:rPr>
        <w:t>’s IRRBB regulatory capital.</w:t>
      </w:r>
      <w:bookmarkEnd w:id="53"/>
      <w:r w:rsidRPr="00CA089C">
        <w:rPr>
          <w:color w:val="auto"/>
        </w:rPr>
        <w:t xml:space="preserve"> </w:t>
      </w:r>
      <w:bookmarkEnd w:id="54"/>
    </w:p>
    <w:p w:rsidR="00433AA3" w:rsidRPr="00CA089C" w:rsidRDefault="00433AA3" w:rsidP="00433AA3">
      <w:pPr>
        <w:pStyle w:val="numberedpara"/>
        <w:numPr>
          <w:ilvl w:val="0"/>
          <w:numId w:val="38"/>
        </w:numPr>
        <w:jc w:val="both"/>
        <w:rPr>
          <w:color w:val="auto"/>
        </w:rPr>
      </w:pPr>
      <w:bookmarkStart w:id="55" w:name="_Ref177790351"/>
      <w:bookmarkStart w:id="56" w:name="_Ref165088068"/>
      <w:r w:rsidRPr="00CA089C">
        <w:rPr>
          <w:color w:val="auto"/>
        </w:rPr>
        <w:t xml:space="preserve">An ADI with approval from APRA to exclude basis and/or </w:t>
      </w:r>
      <w:proofErr w:type="spellStart"/>
      <w:r w:rsidRPr="00CA089C">
        <w:rPr>
          <w:color w:val="auto"/>
        </w:rPr>
        <w:t>optionality</w:t>
      </w:r>
      <w:proofErr w:type="spellEnd"/>
      <w:r w:rsidRPr="00CA089C">
        <w:rPr>
          <w:color w:val="auto"/>
        </w:rPr>
        <w:t xml:space="preserve"> risks from its IRRBB regulatory capital must, at a minimum:</w:t>
      </w:r>
      <w:bookmarkEnd w:id="55"/>
      <w:bookmarkEnd w:id="56"/>
    </w:p>
    <w:p w:rsidR="00433AA3" w:rsidRPr="00CA089C" w:rsidRDefault="00433AA3" w:rsidP="00433AA3">
      <w:pPr>
        <w:pStyle w:val="Indent1"/>
        <w:numPr>
          <w:ilvl w:val="0"/>
          <w:numId w:val="33"/>
        </w:numPr>
        <w:spacing w:before="0" w:line="240" w:lineRule="auto"/>
        <w:jc w:val="both"/>
        <w:rPr>
          <w:sz w:val="24"/>
          <w:szCs w:val="24"/>
        </w:rPr>
      </w:pPr>
      <w:r w:rsidRPr="00CA089C">
        <w:rPr>
          <w:sz w:val="24"/>
          <w:szCs w:val="24"/>
        </w:rPr>
        <w:t xml:space="preserve">review the level of its exposure to basis and/or </w:t>
      </w:r>
      <w:proofErr w:type="spellStart"/>
      <w:r w:rsidRPr="00CA089C">
        <w:rPr>
          <w:sz w:val="24"/>
          <w:szCs w:val="24"/>
        </w:rPr>
        <w:t>optionality</w:t>
      </w:r>
      <w:proofErr w:type="spellEnd"/>
      <w:r w:rsidRPr="00CA089C">
        <w:rPr>
          <w:sz w:val="24"/>
          <w:szCs w:val="24"/>
        </w:rPr>
        <w:t xml:space="preserve"> risks, as relevant, at least annually and provide the results of that review to APRA; and</w:t>
      </w:r>
    </w:p>
    <w:p w:rsidR="00433AA3" w:rsidRPr="00CA089C" w:rsidRDefault="00433AA3" w:rsidP="00433AA3">
      <w:pPr>
        <w:pStyle w:val="Indent1"/>
        <w:numPr>
          <w:ilvl w:val="0"/>
          <w:numId w:val="33"/>
        </w:numPr>
        <w:spacing w:before="0" w:line="240" w:lineRule="auto"/>
        <w:jc w:val="both"/>
        <w:rPr>
          <w:sz w:val="24"/>
          <w:szCs w:val="24"/>
        </w:rPr>
      </w:pPr>
      <w:r w:rsidRPr="00CA089C">
        <w:rPr>
          <w:sz w:val="24"/>
          <w:szCs w:val="24"/>
        </w:rPr>
        <w:t xml:space="preserve">assess the impact of new products and changes to existing products, on its exposure to basis and/or </w:t>
      </w:r>
      <w:proofErr w:type="spellStart"/>
      <w:r w:rsidRPr="00CA089C">
        <w:rPr>
          <w:sz w:val="24"/>
          <w:szCs w:val="24"/>
        </w:rPr>
        <w:t>optionality</w:t>
      </w:r>
      <w:proofErr w:type="spellEnd"/>
      <w:r w:rsidRPr="00CA089C">
        <w:rPr>
          <w:sz w:val="24"/>
          <w:szCs w:val="24"/>
        </w:rPr>
        <w:t xml:space="preserve"> risks, as relevant, and report the details of that assessment to APRA where a significant change in its total exposure to basis risk and/or </w:t>
      </w:r>
      <w:proofErr w:type="spellStart"/>
      <w:r w:rsidRPr="00CA089C">
        <w:rPr>
          <w:sz w:val="24"/>
          <w:szCs w:val="24"/>
        </w:rPr>
        <w:t>optionality</w:t>
      </w:r>
      <w:proofErr w:type="spellEnd"/>
      <w:r w:rsidRPr="00CA089C">
        <w:rPr>
          <w:sz w:val="24"/>
          <w:szCs w:val="24"/>
        </w:rPr>
        <w:t xml:space="preserve"> risk is indicated.</w:t>
      </w:r>
    </w:p>
    <w:p w:rsidR="00433AA3" w:rsidRPr="00CA089C" w:rsidRDefault="00433AA3" w:rsidP="00433AA3">
      <w:pPr>
        <w:pStyle w:val="numberedpara"/>
        <w:numPr>
          <w:ilvl w:val="0"/>
          <w:numId w:val="38"/>
        </w:numPr>
        <w:jc w:val="both"/>
        <w:rPr>
          <w:color w:val="auto"/>
        </w:rPr>
      </w:pPr>
      <w:r w:rsidRPr="00CA089C">
        <w:rPr>
          <w:color w:val="auto"/>
        </w:rPr>
        <w:t xml:space="preserve">For the purpose of determining the IRRBB capital requirement under the internal model approach, an </w:t>
      </w:r>
      <w:smartTag w:uri="urn:schemas-microsoft-com:office:smarttags" w:element="stockticker">
        <w:r w:rsidRPr="00CA089C">
          <w:rPr>
            <w:color w:val="auto"/>
          </w:rPr>
          <w:t>ADI</w:t>
        </w:r>
      </w:smartTag>
      <w:r w:rsidRPr="00CA089C">
        <w:rPr>
          <w:color w:val="auto"/>
        </w:rPr>
        <w:t xml:space="preserve"> must use the economic value sensitivity approach to measure repricing and yield curve risks. For basis and </w:t>
      </w:r>
      <w:proofErr w:type="spellStart"/>
      <w:r w:rsidRPr="00CA089C">
        <w:rPr>
          <w:color w:val="auto"/>
        </w:rPr>
        <w:t>optionality</w:t>
      </w:r>
      <w:proofErr w:type="spellEnd"/>
      <w:r w:rsidRPr="00CA089C">
        <w:rPr>
          <w:color w:val="auto"/>
        </w:rPr>
        <w:t xml:space="preserve"> risks, APRA recognises that ADIs’ measurement approaches are evolving. Accordingly, where an </w:t>
      </w:r>
      <w:smartTag w:uri="urn:schemas-microsoft-com:office:smarttags" w:element="stockticker">
        <w:r w:rsidRPr="00CA089C">
          <w:rPr>
            <w:color w:val="auto"/>
          </w:rPr>
          <w:t>ADI</w:t>
        </w:r>
      </w:smartTag>
      <w:r w:rsidRPr="00CA089C">
        <w:rPr>
          <w:color w:val="auto"/>
        </w:rPr>
        <w:t xml:space="preserve"> is required to hold regulatory capital for these risks, no particular measurement technique is prescribed (although APRA may do so under paragraph </w:t>
      </w:r>
      <w:fldSimple w:instr=" REF _Ref122245905 \r \h  \* MERGEFORMAT ">
        <w:r w:rsidR="00366CB2" w:rsidRPr="00CA089C">
          <w:rPr>
            <w:color w:val="auto"/>
          </w:rPr>
          <w:t>19</w:t>
        </w:r>
      </w:fldSimple>
      <w:r w:rsidRPr="00CA089C">
        <w:rPr>
          <w:color w:val="auto"/>
        </w:rPr>
        <w:t xml:space="preserve"> of Attachment B in certain cases).</w:t>
      </w:r>
    </w:p>
    <w:bookmarkEnd w:id="44"/>
    <w:p w:rsidR="00433AA3" w:rsidRPr="00CA089C" w:rsidRDefault="00433AA3" w:rsidP="00433AA3">
      <w:pPr>
        <w:pStyle w:val="numberedpara"/>
        <w:numPr>
          <w:ilvl w:val="0"/>
          <w:numId w:val="38"/>
        </w:numPr>
        <w:jc w:val="both"/>
        <w:rPr>
          <w:color w:val="auto"/>
        </w:rPr>
      </w:pPr>
      <w:r w:rsidRPr="00CA089C">
        <w:rPr>
          <w:color w:val="auto"/>
        </w:rPr>
        <w:t xml:space="preserve">An </w:t>
      </w:r>
      <w:smartTag w:uri="urn:schemas-microsoft-com:office:smarttags" w:element="stockticker">
        <w:r w:rsidRPr="00CA089C">
          <w:rPr>
            <w:color w:val="auto"/>
          </w:rPr>
          <w:t>ADI</w:t>
        </w:r>
      </w:smartTag>
      <w:r w:rsidRPr="00CA089C">
        <w:rPr>
          <w:color w:val="auto"/>
        </w:rPr>
        <w:t xml:space="preserve">’s IRRBB measurement system must take into account the impact that past interest rate movements may have on its future earnings. In particular, the </w:t>
      </w:r>
      <w:smartTag w:uri="urn:schemas-microsoft-com:office:smarttags" w:element="stockticker">
        <w:r w:rsidRPr="00CA089C">
          <w:rPr>
            <w:color w:val="auto"/>
          </w:rPr>
          <w:t>ADI</w:t>
        </w:r>
      </w:smartTag>
      <w:r w:rsidRPr="00CA089C">
        <w:rPr>
          <w:color w:val="auto"/>
        </w:rPr>
        <w:t xml:space="preserve"> must give consideration to embedded gains or losses</w:t>
      </w:r>
      <w:r w:rsidRPr="00CA089C">
        <w:rPr>
          <w:rStyle w:val="FootnoteReference"/>
          <w:color w:val="auto"/>
        </w:rPr>
        <w:footnoteReference w:id="5"/>
      </w:r>
      <w:r w:rsidRPr="00CA089C">
        <w:rPr>
          <w:color w:val="auto"/>
        </w:rPr>
        <w:t xml:space="preserve"> in banking book items that are not accounted for on a marked-to-market basis. The IRRBB regulatory capital must include the effect of embedded gains or losses.</w:t>
      </w:r>
    </w:p>
    <w:p w:rsidR="00433AA3" w:rsidRPr="00CA089C" w:rsidRDefault="00433AA3" w:rsidP="00433AA3">
      <w:pPr>
        <w:pStyle w:val="numberedpara"/>
        <w:numPr>
          <w:ilvl w:val="0"/>
          <w:numId w:val="38"/>
        </w:numPr>
        <w:jc w:val="both"/>
        <w:rPr>
          <w:color w:val="auto"/>
        </w:rPr>
      </w:pPr>
      <w:r w:rsidRPr="00CA089C">
        <w:rPr>
          <w:color w:val="auto"/>
        </w:rPr>
        <w:t xml:space="preserve">As part of the model approval process, an </w:t>
      </w:r>
      <w:smartTag w:uri="urn:schemas-microsoft-com:office:smarttags" w:element="stockticker">
        <w:r w:rsidRPr="00CA089C">
          <w:rPr>
            <w:color w:val="auto"/>
          </w:rPr>
          <w:t>ADI</w:t>
        </w:r>
      </w:smartTag>
      <w:r w:rsidRPr="00CA089C">
        <w:rPr>
          <w:color w:val="auto"/>
        </w:rPr>
        <w:t xml:space="preserve"> must be able to demonstrate the appropriateness of the IRRBB capital requirement as determined by its internal model and commensurate with its IRRBB profile. An ADI must justify to APRA any changes in the calculated capital requirement as part of its ongoing use of an internal model.</w:t>
      </w:r>
      <w:r w:rsidRPr="00CA089C" w:rsidDel="0010042E">
        <w:rPr>
          <w:color w:val="auto"/>
        </w:rPr>
        <w:t xml:space="preserve"> </w:t>
      </w:r>
    </w:p>
    <w:p w:rsidR="00433AA3" w:rsidRPr="00CA089C" w:rsidRDefault="00433AA3" w:rsidP="00433AA3">
      <w:pPr>
        <w:pStyle w:val="numberedpara"/>
        <w:numPr>
          <w:ilvl w:val="0"/>
          <w:numId w:val="38"/>
        </w:numPr>
        <w:jc w:val="both"/>
        <w:rPr>
          <w:color w:val="auto"/>
        </w:rPr>
      </w:pPr>
      <w:bookmarkStart w:id="57" w:name="_Ref179261053"/>
      <w:bookmarkStart w:id="58" w:name="_Ref165090147"/>
      <w:r w:rsidRPr="00CA089C">
        <w:rPr>
          <w:color w:val="auto"/>
        </w:rPr>
        <w:t xml:space="preserve">An </w:t>
      </w:r>
      <w:smartTag w:uri="urn:schemas-microsoft-com:office:smarttags" w:element="stockticker">
        <w:r w:rsidRPr="00CA089C">
          <w:rPr>
            <w:color w:val="auto"/>
          </w:rPr>
          <w:t>ADI</w:t>
        </w:r>
      </w:smartTag>
      <w:r w:rsidRPr="00CA089C">
        <w:rPr>
          <w:color w:val="auto"/>
        </w:rPr>
        <w:t xml:space="preserve"> must be able to demonstrate that its IRRBB capital requirement, as determined by its internal model, meets a soundness standard based on a 99 per cent confidence level and a one-year holding period (the soundness standard). This soundness standard provides significant flexibility for an </w:t>
      </w:r>
      <w:smartTag w:uri="urn:schemas-microsoft-com:office:smarttags" w:element="stockticker">
        <w:r w:rsidRPr="00CA089C">
          <w:rPr>
            <w:color w:val="auto"/>
          </w:rPr>
          <w:t>ADI</w:t>
        </w:r>
      </w:smartTag>
      <w:r w:rsidRPr="00CA089C">
        <w:rPr>
          <w:color w:val="auto"/>
        </w:rPr>
        <w:t xml:space="preserve"> to develop </w:t>
      </w:r>
      <w:r w:rsidRPr="00CA089C">
        <w:rPr>
          <w:color w:val="auto"/>
        </w:rPr>
        <w:lastRenderedPageBreak/>
        <w:t>an IRRBB measurement system that best suits the nature and complexity of its activities.</w:t>
      </w:r>
      <w:bookmarkEnd w:id="57"/>
      <w:bookmarkEnd w:id="58"/>
    </w:p>
    <w:p w:rsidR="00433AA3" w:rsidRPr="00CA089C" w:rsidRDefault="00433AA3" w:rsidP="00433AA3">
      <w:pPr>
        <w:pStyle w:val="numberedpara"/>
        <w:numPr>
          <w:ilvl w:val="0"/>
          <w:numId w:val="38"/>
        </w:numPr>
        <w:jc w:val="both"/>
        <w:rPr>
          <w:color w:val="auto"/>
        </w:rPr>
      </w:pPr>
      <w:bookmarkStart w:id="59" w:name="_Ref147221464"/>
      <w:r w:rsidRPr="00CA089C">
        <w:rPr>
          <w:color w:val="auto"/>
        </w:rPr>
        <w:t xml:space="preserve">To estimate repricing and yield curve risks, an </w:t>
      </w:r>
      <w:smartTag w:uri="urn:schemas-microsoft-com:office:smarttags" w:element="stockticker">
        <w:r w:rsidRPr="00CA089C">
          <w:rPr>
            <w:color w:val="auto"/>
          </w:rPr>
          <w:t>ADI</w:t>
        </w:r>
      </w:smartTag>
      <w:r w:rsidRPr="00CA089C">
        <w:rPr>
          <w:color w:val="auto"/>
        </w:rPr>
        <w:t xml:space="preserve"> must make repricing</w:t>
      </w:r>
      <w:r w:rsidRPr="00CA089C">
        <w:rPr>
          <w:b/>
          <w:color w:val="auto"/>
        </w:rPr>
        <w:t xml:space="preserve"> </w:t>
      </w:r>
      <w:r w:rsidRPr="00CA089C">
        <w:rPr>
          <w:color w:val="auto"/>
        </w:rPr>
        <w:t xml:space="preserve">assumptions regarding the repricing of banking book items that do not have a contractually defined repricing date or where there is potential for significant variation between contractual and actual repricing dates due to, for example, embedded </w:t>
      </w:r>
      <w:proofErr w:type="spellStart"/>
      <w:r w:rsidRPr="00CA089C">
        <w:rPr>
          <w:color w:val="auto"/>
        </w:rPr>
        <w:t>optionality</w:t>
      </w:r>
      <w:proofErr w:type="spellEnd"/>
      <w:r w:rsidRPr="00CA089C">
        <w:rPr>
          <w:color w:val="auto"/>
        </w:rPr>
        <w:t xml:space="preserve"> in banking book products. These repricing assumptions must:</w:t>
      </w:r>
    </w:p>
    <w:p w:rsidR="00433AA3" w:rsidRPr="00CA089C" w:rsidRDefault="00433AA3" w:rsidP="00433AA3">
      <w:pPr>
        <w:pStyle w:val="numberedpara"/>
        <w:numPr>
          <w:ilvl w:val="1"/>
          <w:numId w:val="38"/>
        </w:numPr>
        <w:jc w:val="both"/>
        <w:rPr>
          <w:color w:val="auto"/>
        </w:rPr>
      </w:pPr>
      <w:r w:rsidRPr="00CA089C">
        <w:rPr>
          <w:color w:val="auto"/>
        </w:rPr>
        <w:t>specify one or more repricing dates and the principal amounts assumed to reprice on each of those dates</w:t>
      </w:r>
      <w:bookmarkStart w:id="60" w:name="_Ref95018360"/>
      <w:bookmarkEnd w:id="59"/>
      <w:r w:rsidRPr="00CA089C">
        <w:rPr>
          <w:color w:val="auto"/>
        </w:rPr>
        <w:t>; and</w:t>
      </w:r>
    </w:p>
    <w:p w:rsidR="00433AA3" w:rsidRPr="00CA089C" w:rsidRDefault="00433AA3" w:rsidP="00433AA3">
      <w:pPr>
        <w:pStyle w:val="numberedpara"/>
        <w:numPr>
          <w:ilvl w:val="1"/>
          <w:numId w:val="38"/>
        </w:numPr>
        <w:jc w:val="both"/>
        <w:rPr>
          <w:color w:val="auto"/>
        </w:rPr>
      </w:pPr>
      <w:r w:rsidRPr="00CA089C">
        <w:rPr>
          <w:color w:val="auto"/>
        </w:rPr>
        <w:t xml:space="preserve">be clearly documented and supported by appropriate analysis. </w:t>
      </w:r>
      <w:bookmarkStart w:id="61" w:name="OLE_LINK2"/>
      <w:bookmarkEnd w:id="60"/>
    </w:p>
    <w:p w:rsidR="00433AA3" w:rsidRPr="00CA089C" w:rsidRDefault="00433AA3" w:rsidP="00433AA3">
      <w:pPr>
        <w:pStyle w:val="numberedpara"/>
        <w:ind w:left="567"/>
        <w:jc w:val="both"/>
        <w:rPr>
          <w:color w:val="auto"/>
        </w:rPr>
      </w:pPr>
      <w:r w:rsidRPr="00CA089C">
        <w:rPr>
          <w:color w:val="auto"/>
        </w:rPr>
        <w:t xml:space="preserve">APRA will review the appropriateness of an </w:t>
      </w:r>
      <w:smartTag w:uri="urn:schemas-microsoft-com:office:smarttags" w:element="stockticker">
        <w:r w:rsidRPr="00CA089C">
          <w:rPr>
            <w:color w:val="auto"/>
          </w:rPr>
          <w:t>ADI</w:t>
        </w:r>
      </w:smartTag>
      <w:r w:rsidRPr="00CA089C">
        <w:rPr>
          <w:color w:val="auto"/>
        </w:rPr>
        <w:t>’s repricing assumptions and may, in writing, determine that an ADI must use different assumptions for the purpose of determining its IRRBB capital requirement.</w:t>
      </w:r>
      <w:bookmarkEnd w:id="61"/>
    </w:p>
    <w:p w:rsidR="00433AA3" w:rsidRPr="00CA089C" w:rsidRDefault="00433AA3" w:rsidP="00433AA3">
      <w:pPr>
        <w:pStyle w:val="numberedpara"/>
        <w:numPr>
          <w:ilvl w:val="0"/>
          <w:numId w:val="38"/>
        </w:numPr>
        <w:jc w:val="both"/>
        <w:rPr>
          <w:color w:val="auto"/>
        </w:rPr>
      </w:pPr>
      <w:bookmarkStart w:id="62" w:name="_Ref147216066"/>
      <w:r w:rsidRPr="00CA089C">
        <w:rPr>
          <w:color w:val="auto"/>
        </w:rPr>
        <w:t xml:space="preserve">An </w:t>
      </w:r>
      <w:smartTag w:uri="urn:schemas-microsoft-com:office:smarttags" w:element="stockticker">
        <w:r w:rsidRPr="00CA089C">
          <w:rPr>
            <w:color w:val="auto"/>
          </w:rPr>
          <w:t>ADI</w:t>
        </w:r>
      </w:smartTag>
      <w:r w:rsidRPr="00CA089C">
        <w:rPr>
          <w:color w:val="auto"/>
        </w:rPr>
        <w:t>’s IRRBB capital requirement must be calculated on at least a quarterly basis to ensure it adequately reflects its risk profile.</w:t>
      </w:r>
      <w:bookmarkEnd w:id="62"/>
    </w:p>
    <w:p w:rsidR="00433AA3" w:rsidRPr="00CA089C" w:rsidRDefault="00433AA3" w:rsidP="00433AA3">
      <w:pPr>
        <w:pStyle w:val="numberedpara"/>
        <w:numPr>
          <w:ilvl w:val="0"/>
          <w:numId w:val="38"/>
        </w:numPr>
        <w:jc w:val="both"/>
        <w:rPr>
          <w:color w:val="auto"/>
        </w:rPr>
      </w:pPr>
      <w:r w:rsidRPr="00CA089C">
        <w:rPr>
          <w:color w:val="auto"/>
        </w:rPr>
        <w:t xml:space="preserve">An </w:t>
      </w:r>
      <w:smartTag w:uri="urn:schemas-microsoft-com:office:smarttags" w:element="stockticker">
        <w:r w:rsidRPr="00CA089C">
          <w:rPr>
            <w:color w:val="auto"/>
          </w:rPr>
          <w:t>ADI</w:t>
        </w:r>
      </w:smartTag>
      <w:r w:rsidRPr="00CA089C">
        <w:rPr>
          <w:color w:val="auto"/>
        </w:rPr>
        <w:t xml:space="preserve"> with model approval must meet the quantitative standards for measuring the capital requirement for IRRBB as detailed in Attachment B.</w:t>
      </w:r>
    </w:p>
    <w:p w:rsidR="00433AA3" w:rsidRPr="00CA089C" w:rsidRDefault="00433AA3" w:rsidP="00433AA3">
      <w:pPr>
        <w:pStyle w:val="Heading2"/>
        <w:sectPr w:rsidR="00433AA3" w:rsidRPr="00CA089C" w:rsidSect="00545526">
          <w:headerReference w:type="default" r:id="rId11"/>
          <w:footerReference w:type="default" r:id="rId12"/>
          <w:pgSz w:w="11906" w:h="16838"/>
          <w:pgMar w:top="1440" w:right="1800" w:bottom="1440" w:left="1800" w:header="720" w:footer="720" w:gutter="0"/>
          <w:pgNumType w:start="1"/>
          <w:cols w:space="720"/>
        </w:sectPr>
      </w:pPr>
      <w:bookmarkStart w:id="63" w:name="_Toc176749313"/>
      <w:bookmarkStart w:id="64" w:name="_Toc177286363"/>
    </w:p>
    <w:p w:rsidR="00433AA3" w:rsidRPr="00CA089C" w:rsidRDefault="00433AA3" w:rsidP="001B1B9D">
      <w:pPr>
        <w:pStyle w:val="Heading2"/>
        <w:spacing w:before="120" w:after="360"/>
        <w:rPr>
          <w:i w:val="0"/>
          <w:sz w:val="32"/>
          <w:szCs w:val="32"/>
        </w:rPr>
      </w:pPr>
      <w:bookmarkStart w:id="65" w:name="_Toc338670624"/>
      <w:r w:rsidRPr="00CA089C">
        <w:rPr>
          <w:i w:val="0"/>
          <w:sz w:val="32"/>
          <w:szCs w:val="32"/>
        </w:rPr>
        <w:lastRenderedPageBreak/>
        <w:t>Attachment A</w:t>
      </w:r>
      <w:bookmarkEnd w:id="63"/>
      <w:bookmarkEnd w:id="64"/>
      <w:bookmarkEnd w:id="65"/>
    </w:p>
    <w:p w:rsidR="00433AA3" w:rsidRPr="00CA089C" w:rsidRDefault="00433AA3" w:rsidP="001B1B9D">
      <w:pPr>
        <w:pStyle w:val="Heading2"/>
        <w:spacing w:before="120" w:after="360"/>
        <w:rPr>
          <w:i w:val="0"/>
          <w:sz w:val="32"/>
          <w:szCs w:val="32"/>
        </w:rPr>
      </w:pPr>
      <w:bookmarkStart w:id="66" w:name="_Toc176749314"/>
      <w:bookmarkStart w:id="67" w:name="_Toc177286364"/>
      <w:bookmarkStart w:id="68" w:name="_Toc332023356"/>
      <w:bookmarkStart w:id="69" w:name="_Toc338670625"/>
      <w:r w:rsidRPr="00CA089C">
        <w:rPr>
          <w:i w:val="0"/>
          <w:sz w:val="32"/>
          <w:szCs w:val="32"/>
        </w:rPr>
        <w:t>Governance and the interest rate risk in the banking book management framework</w:t>
      </w:r>
      <w:bookmarkEnd w:id="66"/>
      <w:bookmarkEnd w:id="67"/>
      <w:bookmarkEnd w:id="68"/>
      <w:bookmarkEnd w:id="69"/>
    </w:p>
    <w:p w:rsidR="00433AA3" w:rsidRPr="00CA089C" w:rsidRDefault="00433AA3" w:rsidP="00466CAD">
      <w:pPr>
        <w:pStyle w:val="Heading2"/>
        <w:spacing w:before="120" w:after="240"/>
        <w:rPr>
          <w:i w:val="0"/>
          <w:sz w:val="24"/>
          <w:szCs w:val="24"/>
        </w:rPr>
      </w:pPr>
      <w:bookmarkStart w:id="70" w:name="_Toc176749315"/>
      <w:bookmarkStart w:id="71" w:name="_Toc177286365"/>
      <w:bookmarkStart w:id="72" w:name="_Ref118871697"/>
      <w:r w:rsidRPr="00CA089C">
        <w:rPr>
          <w:i w:val="0"/>
          <w:sz w:val="24"/>
          <w:szCs w:val="24"/>
        </w:rPr>
        <w:t>Responsibilities of the Board of directors and senior management</w:t>
      </w:r>
      <w:bookmarkEnd w:id="70"/>
      <w:bookmarkEnd w:id="71"/>
    </w:p>
    <w:p w:rsidR="00433AA3" w:rsidRPr="00CA089C" w:rsidRDefault="00433AA3" w:rsidP="00433AA3">
      <w:pPr>
        <w:pStyle w:val="alphabullet"/>
        <w:numPr>
          <w:ilvl w:val="0"/>
          <w:numId w:val="35"/>
        </w:numPr>
        <w:jc w:val="both"/>
        <w:rPr>
          <w:color w:val="auto"/>
        </w:rPr>
      </w:pPr>
      <w:r w:rsidRPr="00CA089C">
        <w:rPr>
          <w:color w:val="auto"/>
        </w:rPr>
        <w:t xml:space="preserve">An </w:t>
      </w:r>
      <w:smartTag w:uri="urn:schemas-microsoft-com:office:smarttags" w:element="stockticker">
        <w:r w:rsidRPr="00CA089C">
          <w:rPr>
            <w:color w:val="auto"/>
          </w:rPr>
          <w:t>ADI</w:t>
        </w:r>
      </w:smartTag>
      <w:r w:rsidRPr="00CA089C">
        <w:rPr>
          <w:color w:val="auto"/>
        </w:rPr>
        <w:t xml:space="preserve">’s Board is responsible for the overall IRRBB profile of the </w:t>
      </w:r>
      <w:smartTag w:uri="urn:schemas-microsoft-com:office:smarttags" w:element="stockticker">
        <w:r w:rsidRPr="00CA089C">
          <w:rPr>
            <w:color w:val="auto"/>
          </w:rPr>
          <w:t>ADI</w:t>
        </w:r>
      </w:smartTag>
      <w:r w:rsidRPr="00CA089C">
        <w:rPr>
          <w:color w:val="auto"/>
        </w:rPr>
        <w:t xml:space="preserve"> and its IRRBB management framework. Accordingly, the Board must make clear its appetite for this risk, including IRRBB exposure limits. The Board or a Board committee must be actively involved in the oversight of the </w:t>
      </w:r>
      <w:smartTag w:uri="urn:schemas-microsoft-com:office:smarttags" w:element="stockticker">
        <w:r w:rsidRPr="00CA089C">
          <w:rPr>
            <w:color w:val="auto"/>
          </w:rPr>
          <w:t>ADI</w:t>
        </w:r>
      </w:smartTag>
      <w:r w:rsidRPr="00CA089C">
        <w:rPr>
          <w:color w:val="auto"/>
        </w:rPr>
        <w:t>’s approach to managing and measuring IRRBB.</w:t>
      </w:r>
    </w:p>
    <w:p w:rsidR="00433AA3" w:rsidRPr="00CA089C" w:rsidRDefault="00433AA3" w:rsidP="00433AA3">
      <w:pPr>
        <w:pStyle w:val="alphabullet"/>
        <w:numPr>
          <w:ilvl w:val="0"/>
          <w:numId w:val="35"/>
        </w:numPr>
        <w:jc w:val="both"/>
        <w:rPr>
          <w:color w:val="auto"/>
        </w:rPr>
      </w:pPr>
      <w:r w:rsidRPr="00CA089C">
        <w:rPr>
          <w:color w:val="auto"/>
        </w:rPr>
        <w:t xml:space="preserve">An </w:t>
      </w:r>
      <w:smartTag w:uri="urn:schemas-microsoft-com:office:smarttags" w:element="stockticker">
        <w:r w:rsidRPr="00CA089C">
          <w:rPr>
            <w:color w:val="auto"/>
          </w:rPr>
          <w:t>ADI</w:t>
        </w:r>
      </w:smartTag>
      <w:r w:rsidRPr="00CA089C">
        <w:rPr>
          <w:color w:val="auto"/>
        </w:rPr>
        <w:t xml:space="preserve">’s IRRBB management framework must be approved by the Board, or a Board committee. In the latter case, the committee must have clearly defined responsibilities, thresholds for reporting to the Board and performance obligations. The approved framework must clearly articulate respective responsibilities and reporting relationships. </w:t>
      </w:r>
    </w:p>
    <w:p w:rsidR="00433AA3" w:rsidRPr="00CA089C" w:rsidRDefault="00433AA3" w:rsidP="00433AA3">
      <w:pPr>
        <w:pStyle w:val="Indent1"/>
        <w:numPr>
          <w:ilvl w:val="0"/>
          <w:numId w:val="35"/>
        </w:numPr>
        <w:spacing w:before="0" w:line="240" w:lineRule="auto"/>
        <w:jc w:val="both"/>
        <w:rPr>
          <w:sz w:val="24"/>
          <w:szCs w:val="24"/>
        </w:rPr>
      </w:pPr>
      <w:r w:rsidRPr="00CA089C">
        <w:rPr>
          <w:sz w:val="24"/>
          <w:szCs w:val="24"/>
        </w:rPr>
        <w:t xml:space="preserve">To ensure the continued effectiveness of the IRRBB management framework, </w:t>
      </w:r>
      <w:bookmarkStart w:id="73" w:name="_Ref136152784"/>
      <w:r w:rsidRPr="00CA089C">
        <w:rPr>
          <w:sz w:val="24"/>
          <w:szCs w:val="24"/>
        </w:rPr>
        <w:t xml:space="preserve">the Board, or Board committee, must ensure the framework is subject to periodic validation and review (refer to paragraphs </w:t>
      </w:r>
      <w:fldSimple w:instr=" REF _Ref165089843 \r \h  \* MERGEFORMAT ">
        <w:r w:rsidR="00366CB2" w:rsidRPr="00CA089C">
          <w:rPr>
            <w:sz w:val="24"/>
            <w:szCs w:val="24"/>
          </w:rPr>
          <w:t>18</w:t>
        </w:r>
      </w:fldSimple>
      <w:r w:rsidRPr="00CA089C">
        <w:rPr>
          <w:sz w:val="24"/>
          <w:szCs w:val="24"/>
        </w:rPr>
        <w:t xml:space="preserve"> and </w:t>
      </w:r>
      <w:fldSimple w:instr=" REF _Ref165089848 \r \h  \* MERGEFORMAT ">
        <w:r w:rsidR="00366CB2" w:rsidRPr="00CA089C">
          <w:rPr>
            <w:sz w:val="24"/>
            <w:szCs w:val="24"/>
          </w:rPr>
          <w:t>19</w:t>
        </w:r>
      </w:fldSimple>
      <w:r w:rsidRPr="00CA089C">
        <w:rPr>
          <w:sz w:val="24"/>
          <w:szCs w:val="24"/>
        </w:rPr>
        <w:t xml:space="preserve"> of this Attachment) by a suitable independent party. </w:t>
      </w:r>
      <w:bookmarkEnd w:id="73"/>
    </w:p>
    <w:p w:rsidR="00433AA3" w:rsidRPr="00CA089C" w:rsidRDefault="00433AA3" w:rsidP="00433AA3">
      <w:pPr>
        <w:pStyle w:val="Indent1"/>
        <w:numPr>
          <w:ilvl w:val="0"/>
          <w:numId w:val="35"/>
        </w:numPr>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’s Board, or Board committee, must review IRRBB management reports (refer to paragraphs </w:t>
      </w:r>
      <w:fldSimple w:instr=" REF _Ref147218525 \r \h  \* MERGEFORMAT ">
        <w:r w:rsidR="00366CB2" w:rsidRPr="00CA089C">
          <w:rPr>
            <w:sz w:val="24"/>
            <w:szCs w:val="24"/>
          </w:rPr>
          <w:t>13</w:t>
        </w:r>
      </w:fldSimple>
      <w:r w:rsidRPr="00CA089C">
        <w:rPr>
          <w:sz w:val="24"/>
          <w:szCs w:val="24"/>
        </w:rPr>
        <w:t xml:space="preserve"> to </w:t>
      </w:r>
      <w:fldSimple w:instr=" REF _Ref122239037 \r \h  \* MERGEFORMAT ">
        <w:r w:rsidR="00366CB2" w:rsidRPr="00CA089C">
          <w:rPr>
            <w:sz w:val="24"/>
            <w:szCs w:val="24"/>
          </w:rPr>
          <w:t>15</w:t>
        </w:r>
      </w:fldSimple>
      <w:r w:rsidRPr="00CA089C">
        <w:rPr>
          <w:sz w:val="24"/>
          <w:szCs w:val="24"/>
        </w:rPr>
        <w:t xml:space="preserve"> of this Attachment) on a regular basis and satisfy itself that this risk is appropriately managed.</w:t>
      </w:r>
    </w:p>
    <w:p w:rsidR="00433AA3" w:rsidRPr="00CA089C" w:rsidRDefault="00433AA3" w:rsidP="00433AA3">
      <w:pPr>
        <w:pStyle w:val="Indent1"/>
        <w:numPr>
          <w:ilvl w:val="0"/>
          <w:numId w:val="35"/>
        </w:numPr>
        <w:spacing w:before="0" w:line="240" w:lineRule="auto"/>
        <w:jc w:val="both"/>
        <w:rPr>
          <w:sz w:val="24"/>
          <w:szCs w:val="24"/>
        </w:rPr>
      </w:pPr>
      <w:bookmarkStart w:id="74" w:name="_Ref122239611"/>
      <w:bookmarkStart w:id="75" w:name="_Ref136152791"/>
      <w:r w:rsidRPr="00CA089C">
        <w:rPr>
          <w:sz w:val="24"/>
          <w:szCs w:val="24"/>
        </w:rPr>
        <w:t xml:space="preserve">Senior management must have a thorough understanding of the </w:t>
      </w:r>
      <w:smartTag w:uri="urn:schemas-microsoft-com:office:smarttags" w:element="stockticker">
        <w:r w:rsidRPr="00CA089C">
          <w:rPr>
            <w:sz w:val="24"/>
            <w:szCs w:val="24"/>
          </w:rPr>
          <w:t>ADI</w:t>
        </w:r>
      </w:smartTag>
      <w:r w:rsidRPr="00CA089C">
        <w:rPr>
          <w:sz w:val="24"/>
          <w:szCs w:val="24"/>
        </w:rPr>
        <w:t xml:space="preserve">’s IRRBB management framework (to the extent that it relates to risk areas within their responsibilities), be actively involved in its implementation and ensure its effective operation over time. To facilitate this, the </w:t>
      </w:r>
      <w:smartTag w:uri="urn:schemas-microsoft-com:office:smarttags" w:element="stockticker">
        <w:r w:rsidRPr="00CA089C">
          <w:rPr>
            <w:sz w:val="24"/>
            <w:szCs w:val="24"/>
          </w:rPr>
          <w:t>ADI</w:t>
        </w:r>
      </w:smartTag>
      <w:r w:rsidRPr="00CA089C">
        <w:rPr>
          <w:sz w:val="24"/>
          <w:szCs w:val="24"/>
        </w:rPr>
        <w:t xml:space="preserve"> must have in place an executive committee, with appropriate representation from across the </w:t>
      </w:r>
      <w:smartTag w:uri="urn:schemas-microsoft-com:office:smarttags" w:element="stockticker">
        <w:r w:rsidRPr="00CA089C">
          <w:rPr>
            <w:sz w:val="24"/>
            <w:szCs w:val="24"/>
          </w:rPr>
          <w:t>ADI</w:t>
        </w:r>
      </w:smartTag>
      <w:r w:rsidRPr="00CA089C">
        <w:rPr>
          <w:sz w:val="24"/>
          <w:szCs w:val="24"/>
        </w:rPr>
        <w:t>, which focuses on the management and measurement of IRRBB. The executive committee must hold regular meetings to discuss matters including the performance of the framework, areas requiring improvement and the status of efforts to address previously identified deficiencies.</w:t>
      </w:r>
      <w:bookmarkEnd w:id="74"/>
      <w:bookmarkEnd w:id="75"/>
    </w:p>
    <w:p w:rsidR="00433AA3" w:rsidRPr="00CA089C" w:rsidRDefault="00433AA3" w:rsidP="00433AA3">
      <w:pPr>
        <w:pStyle w:val="Indent1"/>
        <w:numPr>
          <w:ilvl w:val="0"/>
          <w:numId w:val="35"/>
        </w:numPr>
        <w:spacing w:before="0" w:line="240" w:lineRule="auto"/>
        <w:jc w:val="both"/>
        <w:rPr>
          <w:sz w:val="24"/>
          <w:szCs w:val="24"/>
        </w:rPr>
      </w:pPr>
      <w:bookmarkStart w:id="76" w:name="_Ref122239716"/>
      <w:r w:rsidRPr="00CA089C">
        <w:rPr>
          <w:sz w:val="24"/>
          <w:szCs w:val="24"/>
        </w:rPr>
        <w:t xml:space="preserve">The </w:t>
      </w:r>
      <w:smartTag w:uri="urn:schemas-microsoft-com:office:smarttags" w:element="stockticker">
        <w:r w:rsidRPr="00CA089C">
          <w:rPr>
            <w:sz w:val="24"/>
            <w:szCs w:val="24"/>
          </w:rPr>
          <w:t>ADI</w:t>
        </w:r>
      </w:smartTag>
      <w:r w:rsidRPr="00CA089C">
        <w:rPr>
          <w:sz w:val="24"/>
          <w:szCs w:val="24"/>
        </w:rPr>
        <w:t xml:space="preserve"> must have an independent IRRBB management function that complies with the requirements in this Attachment. This function must have a suitable independent reporting line, providing access to the executive committee referred to in paragraph </w:t>
      </w:r>
      <w:fldSimple w:instr=" REF _Ref122239611 \r \h  \* MERGEFORMAT ">
        <w:r w:rsidR="00366CB2" w:rsidRPr="00CA089C">
          <w:rPr>
            <w:sz w:val="24"/>
            <w:szCs w:val="24"/>
          </w:rPr>
          <w:t>5</w:t>
        </w:r>
      </w:fldSimple>
      <w:r w:rsidRPr="00CA089C">
        <w:rPr>
          <w:sz w:val="24"/>
          <w:szCs w:val="24"/>
        </w:rPr>
        <w:t xml:space="preserve"> of this Attachment.</w:t>
      </w:r>
      <w:bookmarkEnd w:id="76"/>
    </w:p>
    <w:p w:rsidR="00433AA3" w:rsidRPr="00CA089C" w:rsidRDefault="00433AA3" w:rsidP="00433AA3">
      <w:pPr>
        <w:pStyle w:val="Indent1"/>
        <w:numPr>
          <w:ilvl w:val="0"/>
          <w:numId w:val="35"/>
        </w:numPr>
        <w:spacing w:before="0" w:line="240" w:lineRule="auto"/>
        <w:jc w:val="both"/>
        <w:rPr>
          <w:sz w:val="24"/>
          <w:szCs w:val="24"/>
        </w:rPr>
      </w:pPr>
      <w:r w:rsidRPr="00CA089C">
        <w:rPr>
          <w:sz w:val="24"/>
          <w:szCs w:val="24"/>
        </w:rPr>
        <w:t xml:space="preserve">Senior management must, in conjunction with the IRRBB management function referred to in paragraph </w:t>
      </w:r>
      <w:fldSimple w:instr=" REF _Ref122239716 \r \h  \* MERGEFORMAT ">
        <w:r w:rsidR="00366CB2" w:rsidRPr="00CA089C">
          <w:rPr>
            <w:sz w:val="24"/>
            <w:szCs w:val="24"/>
          </w:rPr>
          <w:t>6</w:t>
        </w:r>
      </w:fldSimple>
      <w:r w:rsidRPr="00CA089C">
        <w:rPr>
          <w:sz w:val="24"/>
          <w:szCs w:val="24"/>
        </w:rPr>
        <w:t xml:space="preserve"> of this Attachment, develop appropriate policies relating to the risk management framework. Management is responsible for translating these policies into specific procedures and processes to facilitate implementation and verification within the </w:t>
      </w:r>
      <w:smartTag w:uri="urn:schemas-microsoft-com:office:smarttags" w:element="stockticker">
        <w:r w:rsidRPr="00CA089C">
          <w:rPr>
            <w:sz w:val="24"/>
            <w:szCs w:val="24"/>
          </w:rPr>
          <w:t>ADI</w:t>
        </w:r>
      </w:smartTag>
      <w:r w:rsidRPr="00CA089C">
        <w:rPr>
          <w:sz w:val="24"/>
          <w:szCs w:val="24"/>
        </w:rPr>
        <w:t xml:space="preserve">’s business operations. Senior management must provide notice to the Board, or Board committee, of material </w:t>
      </w:r>
      <w:r w:rsidRPr="00CA089C">
        <w:rPr>
          <w:sz w:val="24"/>
          <w:szCs w:val="24"/>
        </w:rPr>
        <w:lastRenderedPageBreak/>
        <w:t>changes or exceptions from established policies that could have an impact on the operation of the IRRBB management framework, including the IRRBB capital requirement.</w:t>
      </w:r>
    </w:p>
    <w:p w:rsidR="00433AA3" w:rsidRPr="00CA089C" w:rsidRDefault="00433AA3" w:rsidP="00466CAD">
      <w:pPr>
        <w:pStyle w:val="Heading2"/>
        <w:spacing w:before="120" w:after="240"/>
        <w:rPr>
          <w:i w:val="0"/>
          <w:sz w:val="24"/>
          <w:szCs w:val="24"/>
        </w:rPr>
      </w:pPr>
      <w:bookmarkStart w:id="77" w:name="_Toc176749316"/>
      <w:bookmarkStart w:id="78" w:name="_Toc177286366"/>
      <w:r w:rsidRPr="00CA089C">
        <w:rPr>
          <w:i w:val="0"/>
          <w:sz w:val="24"/>
          <w:szCs w:val="24"/>
        </w:rPr>
        <w:t>Sufficient resources</w:t>
      </w:r>
      <w:bookmarkEnd w:id="77"/>
      <w:bookmarkEnd w:id="78"/>
    </w:p>
    <w:p w:rsidR="00433AA3" w:rsidRPr="00CA089C" w:rsidRDefault="00433AA3" w:rsidP="00433AA3">
      <w:pPr>
        <w:pStyle w:val="Indent1"/>
        <w:numPr>
          <w:ilvl w:val="0"/>
          <w:numId w:val="35"/>
        </w:numPr>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have sufficient numbers of personnel skilled in the management and measurement of IRRBB to ensure that its IRRBB management framework continues to operate effectively.</w:t>
      </w:r>
    </w:p>
    <w:p w:rsidR="00433AA3" w:rsidRPr="00CA089C" w:rsidRDefault="00433AA3" w:rsidP="00466CAD">
      <w:pPr>
        <w:pStyle w:val="Heading2"/>
        <w:spacing w:before="120" w:after="240"/>
        <w:rPr>
          <w:i w:val="0"/>
          <w:sz w:val="24"/>
          <w:szCs w:val="24"/>
        </w:rPr>
      </w:pPr>
      <w:bookmarkStart w:id="79" w:name="_Toc176749317"/>
      <w:bookmarkStart w:id="80" w:name="_Toc177286367"/>
      <w:r w:rsidRPr="00CA089C">
        <w:rPr>
          <w:i w:val="0"/>
          <w:sz w:val="24"/>
          <w:szCs w:val="24"/>
        </w:rPr>
        <w:t>Interest rate risk in the banking book risk management function</w:t>
      </w:r>
      <w:bookmarkEnd w:id="79"/>
      <w:bookmarkEnd w:id="80"/>
    </w:p>
    <w:p w:rsidR="00433AA3" w:rsidRPr="00CA089C" w:rsidRDefault="00433AA3" w:rsidP="00433AA3">
      <w:pPr>
        <w:pStyle w:val="Indent1"/>
        <w:numPr>
          <w:ilvl w:val="0"/>
          <w:numId w:val="35"/>
        </w:numPr>
        <w:spacing w:before="0" w:line="240" w:lineRule="auto"/>
        <w:jc w:val="both"/>
        <w:rPr>
          <w:sz w:val="24"/>
          <w:szCs w:val="24"/>
        </w:rPr>
      </w:pPr>
      <w:bookmarkStart w:id="81" w:name="_Ref179260922"/>
      <w:bookmarkStart w:id="82" w:name="_Ref122239544"/>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have an independent specialist IRRBB management function (function) that complies with the requirements set out in this Attachment. This function must:</w:t>
      </w:r>
      <w:bookmarkEnd w:id="81"/>
    </w:p>
    <w:p w:rsidR="00433AA3" w:rsidRPr="00CA089C" w:rsidRDefault="00433AA3" w:rsidP="00433AA3">
      <w:pPr>
        <w:pStyle w:val="alphabullet"/>
        <w:numPr>
          <w:ilvl w:val="0"/>
          <w:numId w:val="41"/>
        </w:numPr>
        <w:tabs>
          <w:tab w:val="clear" w:pos="993"/>
          <w:tab w:val="left" w:pos="1134"/>
        </w:tabs>
        <w:jc w:val="both"/>
        <w:rPr>
          <w:color w:val="auto"/>
        </w:rPr>
      </w:pPr>
      <w:r w:rsidRPr="00CA089C">
        <w:rPr>
          <w:color w:val="auto"/>
        </w:rPr>
        <w:t xml:space="preserve">have reporting lines and responsibilities that are independent of the activities that contribute to the </w:t>
      </w:r>
      <w:smartTag w:uri="urn:schemas-microsoft-com:office:smarttags" w:element="stockticker">
        <w:r w:rsidRPr="00CA089C">
          <w:rPr>
            <w:color w:val="auto"/>
          </w:rPr>
          <w:t>ADI</w:t>
        </w:r>
      </w:smartTag>
      <w:r w:rsidRPr="00CA089C">
        <w:rPr>
          <w:color w:val="auto"/>
        </w:rPr>
        <w:t>’s IRRBB profile;</w:t>
      </w:r>
    </w:p>
    <w:p w:rsidR="00433AA3" w:rsidRPr="00CA089C" w:rsidRDefault="00433AA3" w:rsidP="00433AA3">
      <w:pPr>
        <w:pStyle w:val="alphabullet"/>
        <w:numPr>
          <w:ilvl w:val="0"/>
          <w:numId w:val="41"/>
        </w:numPr>
        <w:tabs>
          <w:tab w:val="clear" w:pos="993"/>
          <w:tab w:val="left" w:pos="1134"/>
        </w:tabs>
        <w:jc w:val="both"/>
        <w:rPr>
          <w:color w:val="auto"/>
        </w:rPr>
      </w:pPr>
      <w:r w:rsidRPr="00CA089C">
        <w:rPr>
          <w:color w:val="auto"/>
        </w:rPr>
        <w:t xml:space="preserve">have all roles and responsibilities of people and functions involved in the management of IRRBB clearly defined and documented; </w:t>
      </w:r>
    </w:p>
    <w:p w:rsidR="00433AA3" w:rsidRPr="00CA089C" w:rsidRDefault="00433AA3" w:rsidP="00433AA3">
      <w:pPr>
        <w:pStyle w:val="alphabullet"/>
        <w:numPr>
          <w:ilvl w:val="0"/>
          <w:numId w:val="41"/>
        </w:numPr>
        <w:tabs>
          <w:tab w:val="clear" w:pos="993"/>
          <w:tab w:val="left" w:pos="1134"/>
        </w:tabs>
        <w:jc w:val="both"/>
        <w:rPr>
          <w:color w:val="auto"/>
        </w:rPr>
      </w:pPr>
      <w:bookmarkStart w:id="83" w:name="_Ref122239557"/>
      <w:r w:rsidRPr="00CA089C">
        <w:rPr>
          <w:color w:val="auto"/>
        </w:rPr>
        <w:t xml:space="preserve">have responsibility for the design and maintenance of an </w:t>
      </w:r>
      <w:smartTag w:uri="urn:schemas-microsoft-com:office:smarttags" w:element="stockticker">
        <w:r w:rsidRPr="00CA089C">
          <w:rPr>
            <w:color w:val="auto"/>
          </w:rPr>
          <w:t>ADI</w:t>
        </w:r>
      </w:smartTag>
      <w:r w:rsidRPr="00CA089C">
        <w:rPr>
          <w:color w:val="auto"/>
        </w:rPr>
        <w:t>’s IRRBB management framework, and for ensuring its implementation; and</w:t>
      </w:r>
      <w:bookmarkEnd w:id="83"/>
    </w:p>
    <w:p w:rsidR="00433AA3" w:rsidRPr="00CA089C" w:rsidRDefault="00433AA3" w:rsidP="00433AA3">
      <w:pPr>
        <w:pStyle w:val="alphabullet"/>
        <w:numPr>
          <w:ilvl w:val="0"/>
          <w:numId w:val="41"/>
        </w:numPr>
        <w:tabs>
          <w:tab w:val="clear" w:pos="993"/>
          <w:tab w:val="left" w:pos="1134"/>
        </w:tabs>
        <w:jc w:val="both"/>
        <w:rPr>
          <w:color w:val="auto"/>
        </w:rPr>
      </w:pPr>
      <w:r w:rsidRPr="00CA089C">
        <w:rPr>
          <w:color w:val="auto"/>
        </w:rPr>
        <w:t xml:space="preserve">continuously monitor the ADI’s compliance with the framework and produce and analyse regular reports on the output of the internal model. </w:t>
      </w:r>
    </w:p>
    <w:p w:rsidR="00433AA3" w:rsidRPr="00CA089C" w:rsidRDefault="00433AA3" w:rsidP="00466CAD">
      <w:pPr>
        <w:pStyle w:val="Heading2"/>
        <w:spacing w:before="120" w:after="240"/>
        <w:rPr>
          <w:i w:val="0"/>
          <w:sz w:val="24"/>
          <w:szCs w:val="24"/>
        </w:rPr>
      </w:pPr>
      <w:bookmarkStart w:id="84" w:name="_Toc177286368"/>
      <w:bookmarkEnd w:id="82"/>
      <w:r w:rsidRPr="00CA089C">
        <w:rPr>
          <w:i w:val="0"/>
          <w:sz w:val="24"/>
          <w:szCs w:val="24"/>
        </w:rPr>
        <w:t>Documentation of interest rate risk in the banking book framework</w:t>
      </w:r>
      <w:bookmarkEnd w:id="84"/>
      <w:r w:rsidRPr="00CA089C">
        <w:rPr>
          <w:i w:val="0"/>
          <w:sz w:val="24"/>
          <w:szCs w:val="24"/>
        </w:rPr>
        <w:t xml:space="preserve"> </w:t>
      </w:r>
    </w:p>
    <w:p w:rsidR="00433AA3" w:rsidRPr="00CA089C" w:rsidRDefault="00433AA3" w:rsidP="00433AA3">
      <w:pPr>
        <w:pStyle w:val="Indent1"/>
        <w:numPr>
          <w:ilvl w:val="0"/>
          <w:numId w:val="35"/>
        </w:numPr>
        <w:tabs>
          <w:tab w:val="num" w:pos="928"/>
        </w:tabs>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’s IRRBB management framework must be clearly documented. </w:t>
      </w:r>
    </w:p>
    <w:p w:rsidR="00433AA3" w:rsidRPr="00CA089C" w:rsidRDefault="00433AA3" w:rsidP="00433AA3">
      <w:pPr>
        <w:pStyle w:val="Indent1"/>
        <w:numPr>
          <w:ilvl w:val="0"/>
          <w:numId w:val="35"/>
        </w:numPr>
        <w:tabs>
          <w:tab w:val="num" w:pos="928"/>
        </w:tabs>
        <w:spacing w:before="0" w:line="240" w:lineRule="auto"/>
        <w:jc w:val="both"/>
        <w:rPr>
          <w:sz w:val="24"/>
          <w:szCs w:val="24"/>
        </w:rPr>
      </w:pPr>
      <w:r w:rsidRPr="00CA089C">
        <w:rPr>
          <w:sz w:val="24"/>
          <w:szCs w:val="24"/>
        </w:rPr>
        <w:t xml:space="preserve">Documentation relating to the IRRBB measurement system must be comprehensive and provide a level of detail sufficient to ensure that an </w:t>
      </w:r>
      <w:smartTag w:uri="urn:schemas-microsoft-com:office:smarttags" w:element="stockticker">
        <w:r w:rsidRPr="00CA089C">
          <w:rPr>
            <w:sz w:val="24"/>
            <w:szCs w:val="24"/>
          </w:rPr>
          <w:t>ADI</w:t>
        </w:r>
      </w:smartTag>
      <w:r w:rsidRPr="00CA089C">
        <w:rPr>
          <w:sz w:val="24"/>
          <w:szCs w:val="24"/>
        </w:rPr>
        <w:t>’s approach to determining its IRRBB capital requirement is transparent and capable of independent review and validation.</w:t>
      </w:r>
    </w:p>
    <w:p w:rsidR="00433AA3" w:rsidRPr="00CA089C" w:rsidRDefault="00433AA3" w:rsidP="00433AA3">
      <w:pPr>
        <w:pStyle w:val="Indent1"/>
        <w:numPr>
          <w:ilvl w:val="0"/>
          <w:numId w:val="35"/>
        </w:numPr>
        <w:tabs>
          <w:tab w:val="num" w:pos="928"/>
        </w:tabs>
        <w:spacing w:before="0" w:line="240" w:lineRule="auto"/>
        <w:jc w:val="both"/>
        <w:rPr>
          <w:sz w:val="24"/>
          <w:szCs w:val="24"/>
        </w:rPr>
      </w:pPr>
      <w:r w:rsidRPr="00CA089C">
        <w:rPr>
          <w:sz w:val="24"/>
          <w:szCs w:val="24"/>
        </w:rPr>
        <w:t>An ADI’s technical documentation relating to its IRRBB measurement system must include the following information:</w:t>
      </w:r>
    </w:p>
    <w:p w:rsidR="00433AA3" w:rsidRPr="00CA089C" w:rsidRDefault="00433AA3" w:rsidP="00433AA3">
      <w:pPr>
        <w:pStyle w:val="alphabullet"/>
        <w:numPr>
          <w:ilvl w:val="0"/>
          <w:numId w:val="42"/>
        </w:numPr>
        <w:tabs>
          <w:tab w:val="clear" w:pos="993"/>
          <w:tab w:val="left" w:pos="1134"/>
        </w:tabs>
        <w:jc w:val="both"/>
        <w:rPr>
          <w:color w:val="auto"/>
        </w:rPr>
      </w:pPr>
      <w:r w:rsidRPr="00CA089C">
        <w:rPr>
          <w:color w:val="auto"/>
        </w:rPr>
        <w:t>the rationale for all assumptions and specifications underpinning the IRRBB measurement system;</w:t>
      </w:r>
    </w:p>
    <w:p w:rsidR="00433AA3" w:rsidRPr="00CA089C" w:rsidRDefault="00433AA3" w:rsidP="00433AA3">
      <w:pPr>
        <w:pStyle w:val="alphabullet"/>
        <w:numPr>
          <w:ilvl w:val="0"/>
          <w:numId w:val="42"/>
        </w:numPr>
        <w:tabs>
          <w:tab w:val="clear" w:pos="993"/>
          <w:tab w:val="left" w:pos="1134"/>
        </w:tabs>
        <w:jc w:val="both"/>
        <w:rPr>
          <w:color w:val="auto"/>
        </w:rPr>
      </w:pPr>
      <w:r w:rsidRPr="00CA089C">
        <w:rPr>
          <w:color w:val="auto"/>
        </w:rPr>
        <w:t>the analytics and relevant theory behind all calculations;</w:t>
      </w:r>
    </w:p>
    <w:p w:rsidR="00433AA3" w:rsidRPr="00CA089C" w:rsidRDefault="00433AA3" w:rsidP="00433AA3">
      <w:pPr>
        <w:pStyle w:val="alphabullet"/>
        <w:numPr>
          <w:ilvl w:val="0"/>
          <w:numId w:val="42"/>
        </w:numPr>
        <w:tabs>
          <w:tab w:val="clear" w:pos="993"/>
          <w:tab w:val="left" w:pos="1134"/>
        </w:tabs>
        <w:jc w:val="both"/>
        <w:rPr>
          <w:color w:val="auto"/>
        </w:rPr>
      </w:pPr>
      <w:r w:rsidRPr="00CA089C">
        <w:rPr>
          <w:color w:val="auto"/>
        </w:rPr>
        <w:t xml:space="preserve">details of interest rate model parameters and assumptions, and any other assumptions made, whether implicitly within the model or explicitly as inputs to it, when modelling each component of IRRBB, including the </w:t>
      </w:r>
      <w:smartTag w:uri="urn:schemas-microsoft-com:office:smarttags" w:element="stockticker">
        <w:r w:rsidRPr="00CA089C">
          <w:rPr>
            <w:color w:val="auto"/>
          </w:rPr>
          <w:t>ADI</w:t>
        </w:r>
      </w:smartTag>
      <w:r w:rsidRPr="00CA089C">
        <w:rPr>
          <w:color w:val="auto"/>
        </w:rPr>
        <w:t>’s justification for their use and the processes undertaken for checking and validating those assumptions;</w:t>
      </w:r>
    </w:p>
    <w:p w:rsidR="00433AA3" w:rsidRPr="00CA089C" w:rsidRDefault="00433AA3" w:rsidP="00433AA3">
      <w:pPr>
        <w:pStyle w:val="alphabullet"/>
        <w:numPr>
          <w:ilvl w:val="0"/>
          <w:numId w:val="42"/>
        </w:numPr>
        <w:tabs>
          <w:tab w:val="clear" w:pos="993"/>
          <w:tab w:val="left" w:pos="1134"/>
        </w:tabs>
        <w:jc w:val="both"/>
        <w:rPr>
          <w:color w:val="auto"/>
        </w:rPr>
      </w:pPr>
      <w:r w:rsidRPr="00CA089C">
        <w:rPr>
          <w:color w:val="auto"/>
        </w:rPr>
        <w:lastRenderedPageBreak/>
        <w:t xml:space="preserve">an explanation of how the </w:t>
      </w:r>
      <w:smartTag w:uri="urn:schemas-microsoft-com:office:smarttags" w:element="stockticker">
        <w:r w:rsidRPr="00CA089C">
          <w:rPr>
            <w:color w:val="auto"/>
          </w:rPr>
          <w:t>ADI</w:t>
        </w:r>
      </w:smartTag>
      <w:r w:rsidRPr="00CA089C">
        <w:rPr>
          <w:color w:val="auto"/>
        </w:rPr>
        <w:t xml:space="preserve"> ensures that the required soundness standard (refer to paragraph </w:t>
      </w:r>
      <w:fldSimple w:instr=" REF _Ref179261053 \r \h  \* MERGEFORMAT ">
        <w:r w:rsidR="00366CB2" w:rsidRPr="00CA089C">
          <w:rPr>
            <w:color w:val="auto"/>
          </w:rPr>
          <w:t>30</w:t>
        </w:r>
      </w:fldSimple>
      <w:r w:rsidRPr="00CA089C">
        <w:rPr>
          <w:color w:val="auto"/>
        </w:rPr>
        <w:t xml:space="preserve"> of this Prudential Standard) is achieved; and</w:t>
      </w:r>
    </w:p>
    <w:p w:rsidR="00433AA3" w:rsidRPr="00CA089C" w:rsidRDefault="00433AA3" w:rsidP="00433AA3">
      <w:pPr>
        <w:pStyle w:val="alphabullet"/>
        <w:numPr>
          <w:ilvl w:val="0"/>
          <w:numId w:val="42"/>
        </w:numPr>
        <w:tabs>
          <w:tab w:val="clear" w:pos="993"/>
          <w:tab w:val="left" w:pos="1134"/>
        </w:tabs>
        <w:jc w:val="both"/>
        <w:rPr>
          <w:color w:val="auto"/>
        </w:rPr>
      </w:pPr>
      <w:r w:rsidRPr="00CA089C">
        <w:rPr>
          <w:color w:val="auto"/>
        </w:rPr>
        <w:t>details of dependence structures used in the measurement system, including evidence supporting their use.</w:t>
      </w:r>
    </w:p>
    <w:p w:rsidR="00433AA3" w:rsidRPr="00CA089C" w:rsidRDefault="00433AA3" w:rsidP="00466CAD">
      <w:pPr>
        <w:pStyle w:val="Heading2"/>
        <w:spacing w:before="120" w:after="240"/>
        <w:rPr>
          <w:i w:val="0"/>
          <w:sz w:val="24"/>
          <w:szCs w:val="24"/>
        </w:rPr>
      </w:pPr>
      <w:bookmarkStart w:id="85" w:name="_Toc176749319"/>
      <w:bookmarkStart w:id="86" w:name="_Toc177286369"/>
      <w:r w:rsidRPr="00CA089C">
        <w:rPr>
          <w:i w:val="0"/>
          <w:sz w:val="24"/>
          <w:szCs w:val="24"/>
        </w:rPr>
        <w:t>Internal reporting of interest rate risk in the banking book exposures</w:t>
      </w:r>
      <w:bookmarkEnd w:id="85"/>
      <w:bookmarkEnd w:id="86"/>
    </w:p>
    <w:p w:rsidR="00433AA3" w:rsidRPr="00CA089C" w:rsidRDefault="00433AA3" w:rsidP="00433AA3">
      <w:pPr>
        <w:pStyle w:val="Indent1"/>
        <w:numPr>
          <w:ilvl w:val="0"/>
          <w:numId w:val="35"/>
        </w:numPr>
        <w:spacing w:before="0" w:line="240" w:lineRule="auto"/>
        <w:jc w:val="both"/>
        <w:rPr>
          <w:sz w:val="24"/>
          <w:szCs w:val="24"/>
        </w:rPr>
      </w:pPr>
      <w:bookmarkStart w:id="87" w:name="_Ref122239018"/>
      <w:bookmarkStart w:id="88" w:name="_Ref147218525"/>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implement a process to regularly monitor its IRRBB profile. To support the proactive management of this risk</w:t>
      </w:r>
      <w:bookmarkEnd w:id="87"/>
      <w:r w:rsidRPr="00CA089C">
        <w:rPr>
          <w:sz w:val="24"/>
          <w:szCs w:val="24"/>
        </w:rPr>
        <w:t>, there must be regular reporting of relevant information to the Board, or Board committee, and senior management.</w:t>
      </w:r>
      <w:bookmarkEnd w:id="88"/>
    </w:p>
    <w:p w:rsidR="00433AA3" w:rsidRPr="00CA089C" w:rsidRDefault="00433AA3" w:rsidP="00433AA3">
      <w:pPr>
        <w:pStyle w:val="Indent1"/>
        <w:numPr>
          <w:ilvl w:val="0"/>
          <w:numId w:val="35"/>
        </w:numPr>
        <w:tabs>
          <w:tab w:val="num" w:pos="928"/>
        </w:tabs>
        <w:spacing w:before="0" w:line="240" w:lineRule="auto"/>
        <w:jc w:val="both"/>
        <w:rPr>
          <w:sz w:val="24"/>
          <w:szCs w:val="24"/>
        </w:rPr>
      </w:pPr>
      <w:r w:rsidRPr="00CA089C">
        <w:rPr>
          <w:sz w:val="24"/>
          <w:szCs w:val="24"/>
        </w:rPr>
        <w:t xml:space="preserve">In developing an appropriate reporting framework, an </w:t>
      </w:r>
      <w:smartTag w:uri="urn:schemas-microsoft-com:office:smarttags" w:element="stockticker">
        <w:r w:rsidRPr="00CA089C">
          <w:rPr>
            <w:sz w:val="24"/>
            <w:szCs w:val="24"/>
          </w:rPr>
          <w:t>ADI</w:t>
        </w:r>
      </w:smartTag>
      <w:r w:rsidRPr="00CA089C">
        <w:rPr>
          <w:sz w:val="24"/>
          <w:szCs w:val="24"/>
        </w:rPr>
        <w:t xml:space="preserve"> must consider the nature of its IRRBB exposure and the strategy adopted for managing and measuring it. Management reports must be produced and reviewed regularly and include information on the output of the </w:t>
      </w:r>
      <w:smartTag w:uri="urn:schemas-microsoft-com:office:smarttags" w:element="stockticker">
        <w:r w:rsidRPr="00CA089C">
          <w:rPr>
            <w:sz w:val="24"/>
            <w:szCs w:val="24"/>
          </w:rPr>
          <w:t>ADI</w:t>
        </w:r>
      </w:smartTag>
      <w:r w:rsidRPr="00CA089C">
        <w:rPr>
          <w:sz w:val="24"/>
          <w:szCs w:val="24"/>
        </w:rPr>
        <w:t xml:space="preserve">’s internal model, limit utilisation and the performance of risk management strategies. The reviews must be conducted by a level of management with sufficient seniority and authority to enforce, where necessary, mitigation of the </w:t>
      </w:r>
      <w:smartTag w:uri="urn:schemas-microsoft-com:office:smarttags" w:element="stockticker">
        <w:r w:rsidRPr="00CA089C">
          <w:rPr>
            <w:sz w:val="24"/>
            <w:szCs w:val="24"/>
          </w:rPr>
          <w:t>ADI</w:t>
        </w:r>
      </w:smartTag>
      <w:r w:rsidRPr="00CA089C">
        <w:rPr>
          <w:sz w:val="24"/>
          <w:szCs w:val="24"/>
        </w:rPr>
        <w:t>’s exposure to IRRBB.</w:t>
      </w:r>
    </w:p>
    <w:p w:rsidR="00433AA3" w:rsidRPr="00CA089C" w:rsidRDefault="00433AA3" w:rsidP="00433AA3">
      <w:pPr>
        <w:pStyle w:val="Indent1"/>
        <w:numPr>
          <w:ilvl w:val="0"/>
          <w:numId w:val="35"/>
        </w:numPr>
        <w:tabs>
          <w:tab w:val="num" w:pos="928"/>
        </w:tabs>
        <w:spacing w:before="0" w:line="240" w:lineRule="auto"/>
        <w:jc w:val="both"/>
        <w:rPr>
          <w:sz w:val="24"/>
          <w:szCs w:val="24"/>
        </w:rPr>
      </w:pPr>
      <w:bookmarkStart w:id="89" w:name="_Ref122239037"/>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have in place a process for ensuring that the </w:t>
      </w:r>
      <w:smartTag w:uri="urn:schemas-microsoft-com:office:smarttags" w:element="stockticker">
        <w:r w:rsidRPr="00CA089C">
          <w:rPr>
            <w:sz w:val="24"/>
            <w:szCs w:val="24"/>
          </w:rPr>
          <w:t>ADI</w:t>
        </w:r>
      </w:smartTag>
      <w:r w:rsidRPr="00CA089C">
        <w:rPr>
          <w:sz w:val="24"/>
          <w:szCs w:val="24"/>
        </w:rPr>
        <w:t>’s Board, or Board committee, and senior management are able to respond appropriately to the information contained in IRRBB management reports. This process must include escalation procedures for key IRRBB issues to facilitate appropriate action between formal reporting cycles.</w:t>
      </w:r>
      <w:bookmarkEnd w:id="89"/>
    </w:p>
    <w:p w:rsidR="00433AA3" w:rsidRPr="00CA089C" w:rsidRDefault="00433AA3" w:rsidP="00466CAD">
      <w:pPr>
        <w:pStyle w:val="Heading2"/>
        <w:spacing w:before="120" w:after="240"/>
        <w:rPr>
          <w:i w:val="0"/>
          <w:sz w:val="24"/>
          <w:szCs w:val="24"/>
        </w:rPr>
      </w:pPr>
      <w:bookmarkStart w:id="90" w:name="_Toc176749320"/>
      <w:bookmarkStart w:id="91" w:name="_Toc177286370"/>
      <w:bookmarkEnd w:id="72"/>
      <w:r w:rsidRPr="00CA089C">
        <w:rPr>
          <w:i w:val="0"/>
          <w:sz w:val="24"/>
          <w:szCs w:val="24"/>
        </w:rPr>
        <w:t>Integration of the interest rate in the banking book measurement system into day-to-day risk management</w:t>
      </w:r>
      <w:bookmarkEnd w:id="90"/>
      <w:bookmarkEnd w:id="91"/>
    </w:p>
    <w:p w:rsidR="00433AA3" w:rsidRPr="00CA089C" w:rsidRDefault="00433AA3" w:rsidP="00433AA3">
      <w:pPr>
        <w:pStyle w:val="Indent1"/>
        <w:numPr>
          <w:ilvl w:val="0"/>
          <w:numId w:val="35"/>
        </w:numPr>
        <w:tabs>
          <w:tab w:val="num" w:pos="928"/>
        </w:tabs>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’s IRRBB measurement system must be closely integrated into the ADI’s risk management processes. This requires that the inputs and outputs of the </w:t>
      </w:r>
      <w:smartTag w:uri="urn:schemas-microsoft-com:office:smarttags" w:element="stockticker">
        <w:r w:rsidRPr="00CA089C">
          <w:rPr>
            <w:sz w:val="24"/>
            <w:szCs w:val="24"/>
          </w:rPr>
          <w:t>ADI</w:t>
        </w:r>
      </w:smartTag>
      <w:r w:rsidRPr="00CA089C">
        <w:rPr>
          <w:sz w:val="24"/>
          <w:szCs w:val="24"/>
        </w:rPr>
        <w:t xml:space="preserve">’s measurement system, as relevant, play an integral role in the ADI’s decision-making, corporate governance, risk management and internal capital allocation processes. </w:t>
      </w:r>
    </w:p>
    <w:p w:rsidR="00433AA3" w:rsidRPr="00CA089C" w:rsidRDefault="00433AA3" w:rsidP="00433AA3">
      <w:pPr>
        <w:pStyle w:val="Indent1"/>
        <w:numPr>
          <w:ilvl w:val="0"/>
          <w:numId w:val="35"/>
        </w:numPr>
        <w:tabs>
          <w:tab w:val="num" w:pos="928"/>
        </w:tabs>
        <w:spacing w:before="0" w:line="240" w:lineRule="auto"/>
        <w:jc w:val="both"/>
        <w:rPr>
          <w:sz w:val="24"/>
          <w:szCs w:val="24"/>
        </w:rPr>
      </w:pPr>
      <w:r w:rsidRPr="00CA089C">
        <w:rPr>
          <w:sz w:val="24"/>
          <w:szCs w:val="24"/>
        </w:rPr>
        <w:t xml:space="preserve">IRRBB exposure limits must be related to the </w:t>
      </w:r>
      <w:smartTag w:uri="urn:schemas-microsoft-com:office:smarttags" w:element="stockticker">
        <w:r w:rsidRPr="00CA089C">
          <w:rPr>
            <w:sz w:val="24"/>
            <w:szCs w:val="24"/>
          </w:rPr>
          <w:t>ADI</w:t>
        </w:r>
      </w:smartTag>
      <w:r w:rsidRPr="00CA089C">
        <w:rPr>
          <w:sz w:val="24"/>
          <w:szCs w:val="24"/>
        </w:rPr>
        <w:t>’s internal model in a manner that is consistent over time and well understood by senior management.</w:t>
      </w:r>
    </w:p>
    <w:p w:rsidR="00433AA3" w:rsidRPr="00CA089C" w:rsidRDefault="00433AA3" w:rsidP="00466CAD">
      <w:pPr>
        <w:pStyle w:val="Heading2"/>
        <w:spacing w:before="120" w:after="240"/>
        <w:rPr>
          <w:i w:val="0"/>
          <w:sz w:val="24"/>
          <w:szCs w:val="24"/>
        </w:rPr>
      </w:pPr>
      <w:bookmarkStart w:id="92" w:name="_Toc176749321"/>
      <w:bookmarkStart w:id="93" w:name="_Toc177286371"/>
      <w:r w:rsidRPr="00CA089C">
        <w:rPr>
          <w:i w:val="0"/>
          <w:sz w:val="24"/>
          <w:szCs w:val="24"/>
        </w:rPr>
        <w:t>Independent review of the interest rate risk in the banking book management framework and measurement system</w:t>
      </w:r>
      <w:bookmarkEnd w:id="92"/>
      <w:bookmarkEnd w:id="93"/>
    </w:p>
    <w:p w:rsidR="00433AA3" w:rsidRPr="00CA089C" w:rsidRDefault="00433AA3" w:rsidP="00433AA3">
      <w:pPr>
        <w:pStyle w:val="Indent1"/>
        <w:numPr>
          <w:ilvl w:val="0"/>
          <w:numId w:val="35"/>
        </w:numPr>
        <w:tabs>
          <w:tab w:val="num" w:pos="928"/>
        </w:tabs>
        <w:spacing w:before="0" w:line="240" w:lineRule="auto"/>
        <w:jc w:val="both"/>
        <w:rPr>
          <w:sz w:val="24"/>
          <w:szCs w:val="24"/>
        </w:rPr>
      </w:pPr>
      <w:bookmarkStart w:id="94" w:name="_Ref136152506"/>
      <w:bookmarkStart w:id="95" w:name="_Ref165089843"/>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’s IRRBB management framework (including the IRRBB measurement system) must be subject to effective and comprehensive independent review both initially (that is, at the time the model approval is sought) and then on an ongoing basis, to ensure the continued integrity of the framework. Such reviews must be conducted by functionally independent, appropriately trained and competent personnel</w:t>
      </w:r>
      <w:bookmarkEnd w:id="94"/>
      <w:r w:rsidRPr="00CA089C">
        <w:rPr>
          <w:sz w:val="24"/>
          <w:szCs w:val="24"/>
        </w:rPr>
        <w:t>, must cover both the activities of relevant business units and of the IRRBB management function and must take place at least once every three years or when a material change is made to the framework</w:t>
      </w:r>
      <w:bookmarkEnd w:id="95"/>
      <w:r w:rsidRPr="00CA089C">
        <w:rPr>
          <w:sz w:val="24"/>
          <w:szCs w:val="24"/>
        </w:rPr>
        <w:t>.</w:t>
      </w:r>
    </w:p>
    <w:p w:rsidR="00433AA3" w:rsidRPr="00CA089C" w:rsidRDefault="00433AA3" w:rsidP="00433AA3">
      <w:pPr>
        <w:pStyle w:val="Indent1"/>
        <w:numPr>
          <w:ilvl w:val="0"/>
          <w:numId w:val="35"/>
        </w:numPr>
        <w:tabs>
          <w:tab w:val="num" w:pos="928"/>
        </w:tabs>
        <w:spacing w:before="0" w:line="240" w:lineRule="auto"/>
        <w:jc w:val="both"/>
        <w:rPr>
          <w:sz w:val="24"/>
          <w:szCs w:val="24"/>
        </w:rPr>
      </w:pPr>
      <w:bookmarkStart w:id="96" w:name="_Ref165089848"/>
      <w:r w:rsidRPr="00CA089C">
        <w:rPr>
          <w:sz w:val="24"/>
          <w:szCs w:val="24"/>
        </w:rPr>
        <w:lastRenderedPageBreak/>
        <w:t xml:space="preserve">For the purpose of paragraph </w:t>
      </w:r>
      <w:fldSimple w:instr=" REF _Ref165089843 \r \h  \* MERGEFORMAT ">
        <w:r w:rsidR="00366CB2" w:rsidRPr="00CA089C">
          <w:rPr>
            <w:sz w:val="24"/>
            <w:szCs w:val="24"/>
          </w:rPr>
          <w:t>18</w:t>
        </w:r>
      </w:fldSimple>
      <w:r w:rsidRPr="00CA089C">
        <w:rPr>
          <w:sz w:val="24"/>
          <w:szCs w:val="24"/>
        </w:rPr>
        <w:t xml:space="preserve"> of this Attachment, ‘functionally independent’ means that:</w:t>
      </w:r>
    </w:p>
    <w:bookmarkEnd w:id="96"/>
    <w:p w:rsidR="00433AA3" w:rsidRPr="00CA089C" w:rsidRDefault="00433AA3" w:rsidP="00433AA3">
      <w:pPr>
        <w:pStyle w:val="Indent1"/>
        <w:numPr>
          <w:ilvl w:val="1"/>
          <w:numId w:val="35"/>
        </w:numPr>
        <w:spacing w:before="0" w:line="240" w:lineRule="auto"/>
        <w:jc w:val="both"/>
        <w:rPr>
          <w:sz w:val="24"/>
          <w:szCs w:val="24"/>
        </w:rPr>
      </w:pPr>
      <w:r w:rsidRPr="00CA089C">
        <w:rPr>
          <w:sz w:val="24"/>
          <w:szCs w:val="24"/>
        </w:rPr>
        <w:t xml:space="preserve">the party or parties conducting the reviews do not contribute to the </w:t>
      </w:r>
      <w:smartTag w:uri="urn:schemas-microsoft-com:office:smarttags" w:element="stockticker">
        <w:r w:rsidRPr="00CA089C">
          <w:rPr>
            <w:sz w:val="24"/>
            <w:szCs w:val="24"/>
          </w:rPr>
          <w:t>ADI</w:t>
        </w:r>
      </w:smartTag>
      <w:r w:rsidRPr="00CA089C">
        <w:rPr>
          <w:sz w:val="24"/>
          <w:szCs w:val="24"/>
        </w:rPr>
        <w:t xml:space="preserve">’s IRRBB profile through the origination or alteration of risk; and </w:t>
      </w:r>
    </w:p>
    <w:p w:rsidR="00433AA3" w:rsidRPr="00CA089C" w:rsidRDefault="00433AA3" w:rsidP="00433AA3">
      <w:pPr>
        <w:pStyle w:val="Indent1"/>
        <w:numPr>
          <w:ilvl w:val="1"/>
          <w:numId w:val="35"/>
        </w:numPr>
        <w:spacing w:before="0" w:line="240" w:lineRule="auto"/>
        <w:jc w:val="both"/>
        <w:rPr>
          <w:sz w:val="24"/>
          <w:szCs w:val="24"/>
        </w:rPr>
      </w:pPr>
      <w:r w:rsidRPr="00CA089C">
        <w:rPr>
          <w:sz w:val="24"/>
          <w:szCs w:val="24"/>
        </w:rPr>
        <w:t xml:space="preserve">the party or parties conducting the reviews must not be involved in the development, implementation or operation of the IRRBB measurement system, or be part of, or report to the risk management function referred to in paragraph </w:t>
      </w:r>
      <w:fldSimple w:instr=" REF _Ref122239716 \r \h  \* MERGEFORMAT ">
        <w:r w:rsidR="00366CB2" w:rsidRPr="00CA089C">
          <w:rPr>
            <w:sz w:val="24"/>
            <w:szCs w:val="24"/>
          </w:rPr>
          <w:t>6</w:t>
        </w:r>
      </w:fldSimple>
      <w:r w:rsidRPr="00CA089C">
        <w:rPr>
          <w:sz w:val="24"/>
          <w:szCs w:val="24"/>
        </w:rPr>
        <w:t xml:space="preserve"> of this Attachment. </w:t>
      </w:r>
    </w:p>
    <w:p w:rsidR="00433AA3" w:rsidRPr="00CA089C" w:rsidRDefault="00433AA3" w:rsidP="00433AA3">
      <w:pPr>
        <w:pStyle w:val="Indent1"/>
        <w:tabs>
          <w:tab w:val="num" w:pos="928"/>
        </w:tabs>
        <w:spacing w:before="0" w:line="240" w:lineRule="auto"/>
        <w:ind w:left="567"/>
        <w:jc w:val="both"/>
        <w:rPr>
          <w:sz w:val="24"/>
          <w:szCs w:val="24"/>
        </w:rPr>
      </w:pPr>
      <w:r w:rsidRPr="00CA089C">
        <w:rPr>
          <w:sz w:val="24"/>
          <w:szCs w:val="24"/>
        </w:rPr>
        <w:t>It is not necessary that the same party undertake all aspects of the review</w:t>
      </w:r>
      <w:r w:rsidRPr="00CA089C">
        <w:rPr>
          <w:rStyle w:val="FootnoteReference"/>
          <w:sz w:val="24"/>
          <w:szCs w:val="24"/>
        </w:rPr>
        <w:footnoteReference w:id="6"/>
      </w:r>
      <w:r w:rsidRPr="00CA089C">
        <w:rPr>
          <w:sz w:val="24"/>
          <w:szCs w:val="24"/>
        </w:rPr>
        <w:t>.</w:t>
      </w:r>
    </w:p>
    <w:p w:rsidR="00433AA3" w:rsidRPr="00CA089C" w:rsidRDefault="00433AA3" w:rsidP="00433AA3">
      <w:pPr>
        <w:pStyle w:val="Heading2"/>
        <w:sectPr w:rsidR="00433AA3" w:rsidRPr="00CA089C" w:rsidSect="00AD4916">
          <w:footerReference w:type="default" r:id="rId13"/>
          <w:pgSz w:w="11906" w:h="16838"/>
          <w:pgMar w:top="1440" w:right="1800" w:bottom="1440" w:left="1800" w:header="720" w:footer="720" w:gutter="0"/>
          <w:cols w:space="720"/>
        </w:sectPr>
      </w:pPr>
      <w:bookmarkStart w:id="97" w:name="_Toc176749322"/>
      <w:bookmarkStart w:id="98" w:name="_Toc177286372"/>
    </w:p>
    <w:p w:rsidR="00433AA3" w:rsidRPr="00CA089C" w:rsidRDefault="00433AA3" w:rsidP="00433AA3">
      <w:pPr>
        <w:pStyle w:val="Heading2"/>
        <w:rPr>
          <w:i w:val="0"/>
          <w:sz w:val="32"/>
          <w:szCs w:val="32"/>
        </w:rPr>
      </w:pPr>
      <w:bookmarkStart w:id="99" w:name="_Toc338670626"/>
      <w:r w:rsidRPr="00CA089C">
        <w:rPr>
          <w:i w:val="0"/>
          <w:sz w:val="32"/>
          <w:szCs w:val="32"/>
        </w:rPr>
        <w:lastRenderedPageBreak/>
        <w:t>Attachment B</w:t>
      </w:r>
      <w:bookmarkEnd w:id="97"/>
      <w:bookmarkEnd w:id="98"/>
      <w:bookmarkEnd w:id="99"/>
    </w:p>
    <w:p w:rsidR="00433AA3" w:rsidRPr="00CA089C" w:rsidRDefault="00433AA3" w:rsidP="00433AA3">
      <w:pPr>
        <w:pStyle w:val="Heading2"/>
        <w:rPr>
          <w:i w:val="0"/>
          <w:sz w:val="32"/>
          <w:szCs w:val="32"/>
        </w:rPr>
      </w:pPr>
      <w:bookmarkStart w:id="100" w:name="_Toc177286373"/>
      <w:bookmarkStart w:id="101" w:name="_Toc338670627"/>
      <w:bookmarkStart w:id="102" w:name="_Toc176749323"/>
      <w:r w:rsidRPr="00CA089C">
        <w:rPr>
          <w:i w:val="0"/>
          <w:sz w:val="32"/>
          <w:szCs w:val="32"/>
        </w:rPr>
        <w:t xml:space="preserve">Quantitative standards for measuring </w:t>
      </w:r>
      <w:bookmarkEnd w:id="100"/>
      <w:r w:rsidRPr="00CA089C">
        <w:rPr>
          <w:i w:val="0"/>
          <w:sz w:val="32"/>
          <w:szCs w:val="32"/>
        </w:rPr>
        <w:t>the capital requirement</w:t>
      </w:r>
      <w:bookmarkEnd w:id="101"/>
      <w:r w:rsidRPr="00CA089C">
        <w:rPr>
          <w:i w:val="0"/>
          <w:sz w:val="32"/>
          <w:szCs w:val="32"/>
        </w:rPr>
        <w:t xml:space="preserve"> </w:t>
      </w:r>
      <w:bookmarkEnd w:id="102"/>
    </w:p>
    <w:p w:rsidR="00433AA3" w:rsidRPr="00CA089C" w:rsidRDefault="00433AA3" w:rsidP="00433AA3">
      <w:pPr>
        <w:pStyle w:val="Heading3"/>
        <w:spacing w:after="240"/>
        <w:rPr>
          <w:sz w:val="24"/>
          <w:szCs w:val="24"/>
        </w:rPr>
      </w:pPr>
      <w:bookmarkStart w:id="103" w:name="_Toc176749324"/>
      <w:bookmarkStart w:id="104" w:name="_Toc177286374"/>
      <w:r w:rsidRPr="00CA089C">
        <w:rPr>
          <w:sz w:val="24"/>
          <w:szCs w:val="24"/>
        </w:rPr>
        <w:t>Interest rate risk in the banking book measurement system track record</w:t>
      </w:r>
      <w:bookmarkEnd w:id="103"/>
      <w:bookmarkEnd w:id="104"/>
    </w:p>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’s IRRBB measurement system must have a reasonable track record in measuring this risk. Accordingly, before the </w:t>
      </w:r>
      <w:smartTag w:uri="urn:schemas-microsoft-com:office:smarttags" w:element="stockticker">
        <w:r w:rsidRPr="00CA089C">
          <w:rPr>
            <w:sz w:val="24"/>
            <w:szCs w:val="24"/>
          </w:rPr>
          <w:t>ADI</w:t>
        </w:r>
      </w:smartTag>
      <w:r w:rsidRPr="00CA089C">
        <w:rPr>
          <w:sz w:val="24"/>
          <w:szCs w:val="24"/>
        </w:rPr>
        <w:t xml:space="preserve"> receives an IRRBB approval, the </w:t>
      </w:r>
      <w:smartTag w:uri="urn:schemas-microsoft-com:office:smarttags" w:element="stockticker">
        <w:r w:rsidRPr="00CA089C">
          <w:rPr>
            <w:sz w:val="24"/>
            <w:szCs w:val="24"/>
          </w:rPr>
          <w:t>ADI</w:t>
        </w:r>
      </w:smartTag>
      <w:r w:rsidRPr="00CA089C">
        <w:rPr>
          <w:sz w:val="24"/>
          <w:szCs w:val="24"/>
        </w:rPr>
        <w:t xml:space="preserve"> must demonstrate to APRA that the system has undergone a sufficiently long period of initial internal monitoring prior to its use for the calculation of the capital requirement. The length of this monitoring period will depend upon the performance of the </w:t>
      </w:r>
      <w:smartTag w:uri="urn:schemas-microsoft-com:office:smarttags" w:element="stockticker">
        <w:r w:rsidRPr="00CA089C">
          <w:rPr>
            <w:sz w:val="24"/>
            <w:szCs w:val="24"/>
          </w:rPr>
          <w:t>ADI</w:t>
        </w:r>
      </w:smartTag>
      <w:r w:rsidRPr="00CA089C">
        <w:rPr>
          <w:sz w:val="24"/>
          <w:szCs w:val="24"/>
        </w:rPr>
        <w:t>’s IRRBB management framework and its track record in managing and measuring IRRBB.</w:t>
      </w:r>
    </w:p>
    <w:p w:rsidR="00433AA3" w:rsidRPr="00CA089C" w:rsidRDefault="00433AA3" w:rsidP="00433AA3">
      <w:pPr>
        <w:pStyle w:val="Heading3"/>
        <w:spacing w:after="240"/>
        <w:rPr>
          <w:sz w:val="24"/>
          <w:szCs w:val="24"/>
        </w:rPr>
      </w:pPr>
      <w:bookmarkStart w:id="105" w:name="_Toc176749325"/>
      <w:bookmarkStart w:id="106" w:name="_Toc177286375"/>
      <w:r w:rsidRPr="00CA089C">
        <w:rPr>
          <w:sz w:val="24"/>
          <w:szCs w:val="24"/>
        </w:rPr>
        <w:t xml:space="preserve">Data </w:t>
      </w:r>
      <w:bookmarkEnd w:id="105"/>
      <w:bookmarkEnd w:id="106"/>
    </w:p>
    <w:p w:rsidR="00433AA3" w:rsidRPr="00CA089C" w:rsidRDefault="00433AA3" w:rsidP="00433AA3">
      <w:pPr>
        <w:pStyle w:val="Indent1"/>
        <w:numPr>
          <w:ilvl w:val="0"/>
          <w:numId w:val="36"/>
        </w:numPr>
        <w:spacing w:before="0" w:line="240" w:lineRule="auto"/>
        <w:jc w:val="both"/>
        <w:rPr>
          <w:sz w:val="24"/>
          <w:szCs w:val="24"/>
        </w:rPr>
      </w:pPr>
      <w:bookmarkStart w:id="107" w:name="_Ref118874113"/>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have transparent and verifiable processes for collecting relevant data inputs (e.g. exposure information, details about customer behaviour and product and wholesale rate histories) on an ongoing basis. These processes must be consistent, timely and comprehensive across the </w:t>
      </w:r>
      <w:smartTag w:uri="urn:schemas-microsoft-com:office:smarttags" w:element="stockticker">
        <w:r w:rsidRPr="00CA089C">
          <w:rPr>
            <w:sz w:val="24"/>
            <w:szCs w:val="24"/>
          </w:rPr>
          <w:t>ADI</w:t>
        </w:r>
      </w:smartTag>
      <w:r w:rsidRPr="00CA089C">
        <w:rPr>
          <w:sz w:val="24"/>
          <w:szCs w:val="24"/>
        </w:rPr>
        <w:t>.</w:t>
      </w:r>
    </w:p>
    <w:bookmarkEnd w:id="107"/>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's IRRBB exposure data must be comprehensive in capturing all material exposures from all appropriate business activities, banking book items and geographic locations. The </w:t>
      </w:r>
      <w:smartTag w:uri="urn:schemas-microsoft-com:office:smarttags" w:element="stockticker">
        <w:r w:rsidRPr="00CA089C">
          <w:rPr>
            <w:sz w:val="24"/>
            <w:szCs w:val="24"/>
          </w:rPr>
          <w:t>ADI</w:t>
        </w:r>
      </w:smartTag>
      <w:r w:rsidRPr="00CA089C">
        <w:rPr>
          <w:sz w:val="24"/>
          <w:szCs w:val="24"/>
        </w:rPr>
        <w:t xml:space="preserve"> must be able to justify that any excluded exposures, both individually and in aggregate, would not have a material impact on the overall estimate of its IRRBB capital requirement.</w:t>
      </w:r>
    </w:p>
    <w:p w:rsidR="00433AA3" w:rsidRPr="00CA089C" w:rsidRDefault="00433AA3" w:rsidP="00433AA3">
      <w:pPr>
        <w:pStyle w:val="Heading3"/>
        <w:spacing w:after="240"/>
        <w:rPr>
          <w:sz w:val="24"/>
          <w:szCs w:val="24"/>
        </w:rPr>
      </w:pPr>
      <w:bookmarkStart w:id="108" w:name="_Toc176749326"/>
      <w:bookmarkStart w:id="109" w:name="_Toc177286376"/>
      <w:r w:rsidRPr="00CA089C">
        <w:rPr>
          <w:sz w:val="24"/>
          <w:szCs w:val="24"/>
        </w:rPr>
        <w:t>Interest rate data</w:t>
      </w:r>
      <w:bookmarkEnd w:id="108"/>
      <w:bookmarkEnd w:id="109"/>
    </w:p>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For the purpose of determining the IRRBB capital requirement, the interest rates used and modelled by an </w:t>
      </w:r>
      <w:smartTag w:uri="urn:schemas-microsoft-com:office:smarttags" w:element="stockticker">
        <w:r w:rsidRPr="00CA089C">
          <w:rPr>
            <w:sz w:val="24"/>
            <w:szCs w:val="24"/>
          </w:rPr>
          <w:t>ADI</w:t>
        </w:r>
      </w:smartTag>
      <w:r w:rsidRPr="00CA089C">
        <w:rPr>
          <w:sz w:val="24"/>
          <w:szCs w:val="24"/>
        </w:rPr>
        <w:t xml:space="preserve"> must include at least one yield curve in each material currency. Immaterial currencies may be combined into one or more groups and modelled using a single yield curve for each group based on a currency, or composite of currencies, broadly reflective of the interest rate characteristics of the group.</w:t>
      </w:r>
    </w:p>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’s IRRBB measurement approach must model each yield curve using a model that appropriately captures variation in the volatility of interest rates along the curve.</w:t>
      </w:r>
    </w:p>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Regardless of the type of model used, interest rate assumptions will depend to a significant degree on the </w:t>
      </w:r>
      <w:smartTag w:uri="urn:schemas-microsoft-com:office:smarttags" w:element="stockticker">
        <w:r w:rsidRPr="00CA089C">
          <w:rPr>
            <w:sz w:val="24"/>
            <w:szCs w:val="24"/>
          </w:rPr>
          <w:t>ADI</w:t>
        </w:r>
      </w:smartTag>
      <w:r w:rsidRPr="00CA089C">
        <w:rPr>
          <w:sz w:val="24"/>
          <w:szCs w:val="24"/>
        </w:rPr>
        <w:t xml:space="preserve">’s observation history of interest rates. The observation period must be at least six years, except where the </w:t>
      </w:r>
      <w:smartTag w:uri="urn:schemas-microsoft-com:office:smarttags" w:element="stockticker">
        <w:r w:rsidRPr="00CA089C">
          <w:rPr>
            <w:sz w:val="24"/>
            <w:szCs w:val="24"/>
          </w:rPr>
          <w:t>ADI</w:t>
        </w:r>
      </w:smartTag>
      <w:r w:rsidRPr="00CA089C">
        <w:rPr>
          <w:sz w:val="24"/>
          <w:szCs w:val="24"/>
        </w:rPr>
        <w:t xml:space="preserve"> provides evidence that the use of a shorter observation period would provide a more appropriate distribution of future interest rates. Interest rate assumptions are not required to directly or exactly reflect the characteristics of the observation period but, where they do not, the basis for the difference must be explained and justified.</w:t>
      </w:r>
    </w:p>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lastRenderedPageBreak/>
        <w:t xml:space="preserve">An </w:t>
      </w:r>
      <w:smartTag w:uri="urn:schemas-microsoft-com:office:smarttags" w:element="stockticker">
        <w:r w:rsidRPr="00CA089C">
          <w:rPr>
            <w:sz w:val="24"/>
            <w:szCs w:val="24"/>
          </w:rPr>
          <w:t>ADI</w:t>
        </w:r>
      </w:smartTag>
      <w:r w:rsidRPr="00CA089C">
        <w:rPr>
          <w:sz w:val="24"/>
          <w:szCs w:val="24"/>
        </w:rPr>
        <w:t xml:space="preserve"> must update its interest rate data sets regularly and reassess its data sets whenever the interest rate environment is subject to major change.</w:t>
      </w:r>
    </w:p>
    <w:p w:rsidR="00433AA3" w:rsidRPr="00CA089C" w:rsidRDefault="00433AA3" w:rsidP="00433AA3">
      <w:pPr>
        <w:pStyle w:val="Indent1"/>
        <w:numPr>
          <w:ilvl w:val="0"/>
          <w:numId w:val="36"/>
        </w:numPr>
        <w:spacing w:before="0" w:line="240" w:lineRule="auto"/>
        <w:jc w:val="both"/>
        <w:rPr>
          <w:sz w:val="24"/>
          <w:szCs w:val="24"/>
        </w:rPr>
      </w:pPr>
      <w:bookmarkStart w:id="110" w:name="_Ref147221915"/>
      <w:r w:rsidRPr="00CA089C">
        <w:rPr>
          <w:sz w:val="24"/>
          <w:szCs w:val="24"/>
        </w:rPr>
        <w:t xml:space="preserve">Correlations between interest rates on the same and different yield curves must be recognised and included in an </w:t>
      </w:r>
      <w:smartTag w:uri="urn:schemas-microsoft-com:office:smarttags" w:element="stockticker">
        <w:r w:rsidRPr="00CA089C">
          <w:rPr>
            <w:sz w:val="24"/>
            <w:szCs w:val="24"/>
          </w:rPr>
          <w:t>ADI</w:t>
        </w:r>
      </w:smartTag>
      <w:r w:rsidRPr="00CA089C">
        <w:rPr>
          <w:sz w:val="24"/>
          <w:szCs w:val="24"/>
        </w:rPr>
        <w:t>’s internal model. Correlation assumptions must be sound, justifiable and implemented with integrity.</w:t>
      </w:r>
      <w:bookmarkEnd w:id="110"/>
    </w:p>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document the source of the interest rates used. If a derived or modified yield curve is used, the basis of derivation or modification must be documented.</w:t>
      </w:r>
    </w:p>
    <w:p w:rsidR="00433AA3" w:rsidRPr="00CA089C" w:rsidRDefault="00433AA3" w:rsidP="00433AA3">
      <w:pPr>
        <w:pStyle w:val="Heading3"/>
        <w:spacing w:after="240"/>
        <w:rPr>
          <w:sz w:val="24"/>
          <w:szCs w:val="24"/>
        </w:rPr>
      </w:pPr>
      <w:bookmarkStart w:id="111" w:name="_Toc176749327"/>
      <w:bookmarkStart w:id="112" w:name="_Toc177286377"/>
      <w:r w:rsidRPr="00CA089C">
        <w:rPr>
          <w:sz w:val="24"/>
          <w:szCs w:val="24"/>
        </w:rPr>
        <w:t>Data policies</w:t>
      </w:r>
      <w:bookmarkEnd w:id="111"/>
      <w:bookmarkEnd w:id="112"/>
    </w:p>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document its IRRBB data management policies and procedures. These policies and procedures must cover:</w:t>
      </w:r>
    </w:p>
    <w:p w:rsidR="00433AA3" w:rsidRPr="00CA089C" w:rsidRDefault="00433AA3" w:rsidP="00433AA3">
      <w:pPr>
        <w:pStyle w:val="Indent1"/>
        <w:numPr>
          <w:ilvl w:val="1"/>
          <w:numId w:val="36"/>
        </w:numPr>
        <w:spacing w:before="0" w:line="240" w:lineRule="auto"/>
        <w:jc w:val="both"/>
        <w:rPr>
          <w:sz w:val="24"/>
          <w:szCs w:val="24"/>
        </w:rPr>
      </w:pPr>
      <w:r w:rsidRPr="00CA089C">
        <w:rPr>
          <w:sz w:val="24"/>
          <w:szCs w:val="24"/>
        </w:rPr>
        <w:t>the collection of data;</w:t>
      </w:r>
    </w:p>
    <w:p w:rsidR="00433AA3" w:rsidRPr="00CA089C" w:rsidRDefault="00433AA3" w:rsidP="00433AA3">
      <w:pPr>
        <w:pStyle w:val="Indent1"/>
        <w:numPr>
          <w:ilvl w:val="1"/>
          <w:numId w:val="36"/>
        </w:numPr>
        <w:spacing w:before="0" w:line="240" w:lineRule="auto"/>
        <w:jc w:val="both"/>
        <w:rPr>
          <w:sz w:val="24"/>
          <w:szCs w:val="24"/>
        </w:rPr>
      </w:pPr>
      <w:r w:rsidRPr="00CA089C">
        <w:rPr>
          <w:sz w:val="24"/>
          <w:szCs w:val="24"/>
        </w:rPr>
        <w:t>processes for ensuring integrity, completeness, consistency and accuracy;</w:t>
      </w:r>
    </w:p>
    <w:p w:rsidR="00433AA3" w:rsidRPr="00CA089C" w:rsidRDefault="00433AA3" w:rsidP="00433AA3">
      <w:pPr>
        <w:pStyle w:val="Indent1"/>
        <w:numPr>
          <w:ilvl w:val="1"/>
          <w:numId w:val="36"/>
        </w:numPr>
        <w:spacing w:before="0" w:line="240" w:lineRule="auto"/>
        <w:jc w:val="both"/>
        <w:rPr>
          <w:sz w:val="24"/>
          <w:szCs w:val="24"/>
        </w:rPr>
      </w:pPr>
      <w:r w:rsidRPr="00CA089C">
        <w:rPr>
          <w:sz w:val="24"/>
          <w:szCs w:val="24"/>
        </w:rPr>
        <w:t>data storage;</w:t>
      </w:r>
    </w:p>
    <w:p w:rsidR="00433AA3" w:rsidRPr="00CA089C" w:rsidRDefault="00433AA3" w:rsidP="00433AA3">
      <w:pPr>
        <w:pStyle w:val="Indent1"/>
        <w:numPr>
          <w:ilvl w:val="1"/>
          <w:numId w:val="36"/>
        </w:numPr>
        <w:spacing w:before="0" w:line="240" w:lineRule="auto"/>
        <w:jc w:val="both"/>
        <w:rPr>
          <w:sz w:val="24"/>
          <w:szCs w:val="24"/>
        </w:rPr>
      </w:pPr>
      <w:r w:rsidRPr="00CA089C">
        <w:rPr>
          <w:sz w:val="24"/>
          <w:szCs w:val="24"/>
        </w:rPr>
        <w:t>application purposes; and</w:t>
      </w:r>
    </w:p>
    <w:p w:rsidR="00433AA3" w:rsidRPr="00CA089C" w:rsidRDefault="00433AA3" w:rsidP="00433AA3">
      <w:pPr>
        <w:pStyle w:val="Indent1"/>
        <w:numPr>
          <w:ilvl w:val="1"/>
          <w:numId w:val="36"/>
        </w:numPr>
        <w:spacing w:before="0" w:line="240" w:lineRule="auto"/>
        <w:jc w:val="both"/>
        <w:rPr>
          <w:sz w:val="24"/>
          <w:szCs w:val="24"/>
        </w:rPr>
      </w:pPr>
      <w:r w:rsidRPr="00CA089C">
        <w:rPr>
          <w:sz w:val="24"/>
          <w:szCs w:val="24"/>
        </w:rPr>
        <w:t>an outline of all data flows between systems, including whether any manual processes are involved in such flows.</w:t>
      </w:r>
    </w:p>
    <w:p w:rsidR="00433AA3" w:rsidRPr="00CA089C" w:rsidRDefault="00433AA3" w:rsidP="00433AA3">
      <w:pPr>
        <w:pStyle w:val="Heading3"/>
        <w:spacing w:after="240"/>
        <w:rPr>
          <w:sz w:val="24"/>
          <w:szCs w:val="24"/>
        </w:rPr>
      </w:pPr>
      <w:bookmarkStart w:id="113" w:name="_Toc176749328"/>
      <w:bookmarkStart w:id="114" w:name="_Toc177286378"/>
      <w:r w:rsidRPr="00CA089C">
        <w:rPr>
          <w:sz w:val="24"/>
          <w:szCs w:val="24"/>
        </w:rPr>
        <w:t>Modelling repricing and yield curve risks</w:t>
      </w:r>
      <w:bookmarkEnd w:id="113"/>
      <w:bookmarkEnd w:id="114"/>
    </w:p>
    <w:p w:rsidR="00433AA3" w:rsidRPr="00CA089C" w:rsidRDefault="00433AA3" w:rsidP="00433AA3">
      <w:pPr>
        <w:pStyle w:val="Indent1"/>
        <w:numPr>
          <w:ilvl w:val="0"/>
          <w:numId w:val="36"/>
        </w:numPr>
        <w:spacing w:before="0" w:line="240" w:lineRule="auto"/>
        <w:jc w:val="both"/>
        <w:rPr>
          <w:sz w:val="24"/>
          <w:szCs w:val="24"/>
        </w:rPr>
      </w:pPr>
      <w:bookmarkStart w:id="115" w:name="_Ref122245103"/>
      <w:r w:rsidRPr="00CA089C">
        <w:rPr>
          <w:sz w:val="24"/>
          <w:szCs w:val="24"/>
        </w:rPr>
        <w:t xml:space="preserve">For the purpose of determining the IRRBB capital requirement for repricing and yield curve risks, an </w:t>
      </w:r>
      <w:smartTag w:uri="urn:schemas-microsoft-com:office:smarttags" w:element="stockticker">
        <w:r w:rsidRPr="00CA089C">
          <w:rPr>
            <w:sz w:val="24"/>
            <w:szCs w:val="24"/>
          </w:rPr>
          <w:t>ADI</w:t>
        </w:r>
      </w:smartTag>
      <w:r w:rsidRPr="00CA089C">
        <w:rPr>
          <w:sz w:val="24"/>
          <w:szCs w:val="24"/>
        </w:rPr>
        <w:t xml:space="preserve">’s internal model must measure the maximum potential change in the economic value of the banking book (EVBB), as a consequence of changes in interest rates, for a 99 per cent confidence level and over a one-year holding period (consistent with the soundness standard detailed in paragraph </w:t>
      </w:r>
      <w:fldSimple w:instr=" REF _Ref179261053 \n \h  \* MERGEFORMAT ">
        <w:r w:rsidR="00366CB2" w:rsidRPr="00CA089C">
          <w:rPr>
            <w:sz w:val="24"/>
            <w:szCs w:val="24"/>
          </w:rPr>
          <w:t>30</w:t>
        </w:r>
      </w:fldSimple>
      <w:r w:rsidRPr="00CA089C">
        <w:rPr>
          <w:sz w:val="24"/>
          <w:szCs w:val="24"/>
        </w:rPr>
        <w:t xml:space="preserve"> of this Prudential Standard).</w:t>
      </w:r>
      <w:bookmarkEnd w:id="115"/>
    </w:p>
    <w:p w:rsidR="00433AA3" w:rsidRPr="00CA089C" w:rsidRDefault="00433AA3" w:rsidP="00433AA3">
      <w:pPr>
        <w:pStyle w:val="Indent1"/>
        <w:numPr>
          <w:ilvl w:val="0"/>
          <w:numId w:val="36"/>
        </w:numPr>
        <w:spacing w:before="0" w:line="240" w:lineRule="auto"/>
        <w:jc w:val="both"/>
        <w:rPr>
          <w:sz w:val="24"/>
          <w:szCs w:val="24"/>
        </w:rPr>
      </w:pPr>
      <w:bookmarkStart w:id="116" w:name="_Ref177791916"/>
      <w:r w:rsidRPr="00CA089C">
        <w:rPr>
          <w:sz w:val="24"/>
          <w:szCs w:val="24"/>
        </w:rPr>
        <w:t xml:space="preserve">The economic value of an individual banking book item is calculated as the net present value as at the beginning of the holding period, of expected future notional principal and interest cash flows. Notional </w:t>
      </w:r>
      <w:proofErr w:type="spellStart"/>
      <w:r w:rsidRPr="00CA089C">
        <w:rPr>
          <w:sz w:val="24"/>
          <w:szCs w:val="24"/>
        </w:rPr>
        <w:t>cashflows</w:t>
      </w:r>
      <w:proofErr w:type="spellEnd"/>
      <w:r w:rsidRPr="00CA089C">
        <w:rPr>
          <w:sz w:val="24"/>
          <w:szCs w:val="24"/>
        </w:rPr>
        <w:t xml:space="preserve"> should be discounted using the actual and simulated wholesale market interest rates as appropriate. EVBB is the sum of the economic value of all banking book items.</w:t>
      </w:r>
      <w:bookmarkEnd w:id="116"/>
    </w:p>
    <w:p w:rsidR="00433AA3" w:rsidRPr="00CA089C" w:rsidRDefault="00433AA3" w:rsidP="00433AA3">
      <w:pPr>
        <w:pStyle w:val="Indent1"/>
        <w:numPr>
          <w:ilvl w:val="0"/>
          <w:numId w:val="36"/>
        </w:numPr>
        <w:spacing w:before="0" w:line="240" w:lineRule="auto"/>
        <w:jc w:val="both"/>
        <w:rPr>
          <w:sz w:val="24"/>
          <w:szCs w:val="24"/>
        </w:rPr>
      </w:pPr>
      <w:bookmarkStart w:id="117" w:name="_Ref86559385"/>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’s internal model must estimate the 99th percentile of the distribution of EV0 minus EV1 where:</w:t>
      </w:r>
      <w:bookmarkEnd w:id="117"/>
    </w:p>
    <w:p w:rsidR="00433AA3" w:rsidRPr="00CA089C" w:rsidRDefault="00433AA3" w:rsidP="00433AA3">
      <w:pPr>
        <w:pStyle w:val="Indent1"/>
        <w:numPr>
          <w:ilvl w:val="0"/>
          <w:numId w:val="32"/>
        </w:numPr>
        <w:spacing w:before="0" w:line="240" w:lineRule="auto"/>
        <w:jc w:val="both"/>
        <w:rPr>
          <w:sz w:val="24"/>
          <w:szCs w:val="24"/>
        </w:rPr>
      </w:pPr>
      <w:r w:rsidRPr="00CA089C">
        <w:rPr>
          <w:sz w:val="24"/>
          <w:szCs w:val="24"/>
        </w:rPr>
        <w:t xml:space="preserve">EV0 is EVBB minus an earnings offset (refer to paragraph </w:t>
      </w:r>
      <w:fldSimple w:instr=" REF _Ref165090466 \r \h  \* MERGEFORMAT ">
        <w:r w:rsidR="00366CB2" w:rsidRPr="00CA089C">
          <w:rPr>
            <w:sz w:val="24"/>
            <w:szCs w:val="24"/>
          </w:rPr>
          <w:t>17</w:t>
        </w:r>
      </w:fldSimple>
      <w:r w:rsidRPr="00CA089C">
        <w:rPr>
          <w:sz w:val="24"/>
          <w:szCs w:val="24"/>
        </w:rPr>
        <w:t xml:space="preserve"> of this Attachment). In this case, EV0 and EVBB are both calculated using the discount rates prevailing at the beginning of the holding period; and</w:t>
      </w:r>
    </w:p>
    <w:p w:rsidR="00433AA3" w:rsidRPr="00CA089C" w:rsidRDefault="00433AA3" w:rsidP="00433AA3">
      <w:pPr>
        <w:pStyle w:val="Indent1"/>
        <w:numPr>
          <w:ilvl w:val="0"/>
          <w:numId w:val="32"/>
        </w:numPr>
        <w:tabs>
          <w:tab w:val="num" w:pos="1620"/>
        </w:tabs>
        <w:spacing w:before="0" w:line="240" w:lineRule="auto"/>
        <w:jc w:val="both"/>
        <w:rPr>
          <w:sz w:val="24"/>
          <w:szCs w:val="24"/>
        </w:rPr>
      </w:pPr>
      <w:r w:rsidRPr="00CA089C">
        <w:rPr>
          <w:sz w:val="24"/>
          <w:szCs w:val="24"/>
        </w:rPr>
        <w:t xml:space="preserve">EV1 is EVBB minus an earnings offset (refer to paragraph </w:t>
      </w:r>
      <w:fldSimple w:instr=" REF _Ref165090466 \r \h  \* MERGEFORMAT ">
        <w:r w:rsidR="00366CB2" w:rsidRPr="00CA089C">
          <w:rPr>
            <w:sz w:val="24"/>
            <w:szCs w:val="24"/>
          </w:rPr>
          <w:t>17</w:t>
        </w:r>
      </w:fldSimple>
      <w:r w:rsidRPr="00CA089C">
        <w:rPr>
          <w:sz w:val="24"/>
          <w:szCs w:val="24"/>
        </w:rPr>
        <w:t xml:space="preserve"> of this Attachment). In this case, EV1 and EVBB are both calculated using the discount rates simulated as prevailing at the end of the holding period.</w:t>
      </w:r>
    </w:p>
    <w:p w:rsidR="00433AA3" w:rsidRPr="00CA089C" w:rsidRDefault="00433AA3" w:rsidP="00433AA3">
      <w:pPr>
        <w:pStyle w:val="Indent1"/>
        <w:spacing w:before="0" w:line="240" w:lineRule="auto"/>
        <w:ind w:left="567"/>
        <w:jc w:val="both"/>
        <w:rPr>
          <w:rStyle w:val="FootnoteReference"/>
        </w:rPr>
      </w:pPr>
      <w:r w:rsidRPr="00CA089C">
        <w:rPr>
          <w:sz w:val="24"/>
          <w:szCs w:val="24"/>
        </w:rPr>
        <w:lastRenderedPageBreak/>
        <w:t>EV0 and EV1 are calculated on the same items using the same outstanding balances and repricing dates.</w:t>
      </w:r>
      <w:r w:rsidRPr="00CA089C">
        <w:rPr>
          <w:rStyle w:val="FootnoteReference"/>
          <w:sz w:val="24"/>
          <w:szCs w:val="24"/>
        </w:rPr>
        <w:footnoteReference w:id="7"/>
      </w:r>
    </w:p>
    <w:p w:rsidR="00433AA3" w:rsidRPr="00CA089C" w:rsidRDefault="00433AA3" w:rsidP="00433AA3">
      <w:pPr>
        <w:pStyle w:val="Indent1"/>
        <w:numPr>
          <w:ilvl w:val="0"/>
          <w:numId w:val="36"/>
        </w:numPr>
        <w:spacing w:before="0" w:line="240" w:lineRule="auto"/>
        <w:jc w:val="both"/>
        <w:rPr>
          <w:sz w:val="24"/>
          <w:szCs w:val="24"/>
        </w:rPr>
      </w:pPr>
      <w:bookmarkStart w:id="118" w:name="_Ref147221547"/>
      <w:r w:rsidRPr="00CA089C">
        <w:rPr>
          <w:sz w:val="24"/>
          <w:szCs w:val="24"/>
        </w:rPr>
        <w:t xml:space="preserve">The principal component of the notional cash flows must be derived using an </w:t>
      </w:r>
      <w:smartTag w:uri="urn:schemas-microsoft-com:office:smarttags" w:element="stockticker">
        <w:r w:rsidRPr="00CA089C">
          <w:rPr>
            <w:sz w:val="24"/>
            <w:szCs w:val="24"/>
          </w:rPr>
          <w:t>ADI</w:t>
        </w:r>
      </w:smartTag>
      <w:r w:rsidRPr="00CA089C">
        <w:rPr>
          <w:sz w:val="24"/>
          <w:szCs w:val="24"/>
        </w:rPr>
        <w:t xml:space="preserve">’s repricing assumptions. The interest components relating to a principal payment must be calculated using historical wholesale rates (refer to paragraphs </w:t>
      </w:r>
      <w:fldSimple w:instr=" REF _Ref165090532 \r \h  \* MERGEFORMAT ">
        <w:r w:rsidR="00366CB2" w:rsidRPr="00CA089C">
          <w:rPr>
            <w:sz w:val="24"/>
            <w:szCs w:val="24"/>
          </w:rPr>
          <w:t>15</w:t>
        </w:r>
      </w:fldSimple>
      <w:r w:rsidRPr="00CA089C">
        <w:rPr>
          <w:sz w:val="24"/>
          <w:szCs w:val="24"/>
        </w:rPr>
        <w:t xml:space="preserve"> and </w:t>
      </w:r>
      <w:fldSimple w:instr=" REF _Ref118874400 \r \h  \* MERGEFORMAT ">
        <w:r w:rsidR="00366CB2" w:rsidRPr="00CA089C">
          <w:rPr>
            <w:sz w:val="24"/>
            <w:szCs w:val="24"/>
          </w:rPr>
          <w:t>16</w:t>
        </w:r>
      </w:fldSimple>
      <w:r w:rsidRPr="00CA089C">
        <w:rPr>
          <w:sz w:val="24"/>
          <w:szCs w:val="24"/>
        </w:rPr>
        <w:t xml:space="preserve"> of this Attachment).</w:t>
      </w:r>
      <w:r w:rsidRPr="00CA089C">
        <w:rPr>
          <w:rStyle w:val="FootnoteReference"/>
        </w:rPr>
        <w:footnoteReference w:id="8"/>
      </w:r>
      <w:bookmarkEnd w:id="118"/>
    </w:p>
    <w:p w:rsidR="00433AA3" w:rsidRPr="00CA089C" w:rsidRDefault="00433AA3" w:rsidP="00433AA3">
      <w:pPr>
        <w:pStyle w:val="Indent1"/>
        <w:numPr>
          <w:ilvl w:val="0"/>
          <w:numId w:val="36"/>
        </w:numPr>
        <w:spacing w:before="0" w:line="240" w:lineRule="auto"/>
        <w:jc w:val="both"/>
        <w:rPr>
          <w:sz w:val="24"/>
          <w:szCs w:val="24"/>
        </w:rPr>
      </w:pPr>
      <w:bookmarkStart w:id="119" w:name="_Ref118872068"/>
      <w:bookmarkStart w:id="120" w:name="_Ref165090532"/>
      <w:r w:rsidRPr="00CA089C">
        <w:rPr>
          <w:sz w:val="24"/>
          <w:szCs w:val="24"/>
        </w:rPr>
        <w:t>For banking book items with defined inception and principal payment dates, the historical wholesale rate applicable to a principal payment is the wholesale market rate applicable to a payment on the repricing date, taken from the yield curve applicable on the inception date of the instrument incorporating the principal payment.</w:t>
      </w:r>
      <w:bookmarkEnd w:id="119"/>
      <w:r w:rsidRPr="00CA089C">
        <w:rPr>
          <w:sz w:val="24"/>
          <w:szCs w:val="24"/>
        </w:rPr>
        <w:t xml:space="preserve"> APRA will review the appropriateness of an </w:t>
      </w:r>
      <w:smartTag w:uri="urn:schemas-microsoft-com:office:smarttags" w:element="stockticker">
        <w:r w:rsidRPr="00CA089C">
          <w:rPr>
            <w:sz w:val="24"/>
            <w:szCs w:val="24"/>
          </w:rPr>
          <w:t>ADI</w:t>
        </w:r>
      </w:smartTag>
      <w:r w:rsidRPr="00CA089C">
        <w:rPr>
          <w:sz w:val="24"/>
          <w:szCs w:val="24"/>
        </w:rPr>
        <w:t xml:space="preserve">’s choice of wholesale rates for the purposes of this paragraph and paragraph </w:t>
      </w:r>
      <w:fldSimple w:instr=" REF _Ref177791916 \r \h  \* MERGEFORMAT ">
        <w:r w:rsidR="00366CB2" w:rsidRPr="00CA089C">
          <w:rPr>
            <w:sz w:val="24"/>
            <w:szCs w:val="24"/>
          </w:rPr>
          <w:t>12</w:t>
        </w:r>
      </w:fldSimple>
      <w:r w:rsidRPr="00CA089C">
        <w:rPr>
          <w:sz w:val="24"/>
          <w:szCs w:val="24"/>
        </w:rPr>
        <w:t xml:space="preserve"> of this Attachment and may, in writing, determine that the </w:t>
      </w:r>
      <w:smartTag w:uri="urn:schemas-microsoft-com:office:smarttags" w:element="stockticker">
        <w:r w:rsidRPr="00CA089C">
          <w:rPr>
            <w:sz w:val="24"/>
            <w:szCs w:val="24"/>
          </w:rPr>
          <w:t>ADI</w:t>
        </w:r>
      </w:smartTag>
      <w:r w:rsidRPr="00CA089C">
        <w:rPr>
          <w:sz w:val="24"/>
          <w:szCs w:val="24"/>
        </w:rPr>
        <w:t xml:space="preserve"> must use different rates for the purpose of determining its IRRBB capital requirement.</w:t>
      </w:r>
      <w:bookmarkEnd w:id="120"/>
    </w:p>
    <w:p w:rsidR="00433AA3" w:rsidRPr="00CA089C" w:rsidRDefault="00433AA3" w:rsidP="00433AA3">
      <w:pPr>
        <w:pStyle w:val="Indent1"/>
        <w:numPr>
          <w:ilvl w:val="0"/>
          <w:numId w:val="36"/>
        </w:numPr>
        <w:spacing w:before="0" w:line="240" w:lineRule="auto"/>
        <w:jc w:val="both"/>
        <w:rPr>
          <w:sz w:val="24"/>
          <w:szCs w:val="24"/>
        </w:rPr>
      </w:pPr>
      <w:bookmarkStart w:id="121" w:name="_Ref118874400"/>
      <w:r w:rsidRPr="00CA089C">
        <w:rPr>
          <w:sz w:val="24"/>
          <w:szCs w:val="24"/>
        </w:rPr>
        <w:t xml:space="preserve">For banking book items that do not have defined inception or principal payment dates, assumptions must also be made about inception dates. In such cases, the historical wholesale rate applicable to a principal payment will be determined as described in paragraph </w:t>
      </w:r>
      <w:fldSimple w:instr=" REF _Ref165090532 \r \h  \* MERGEFORMAT ">
        <w:r w:rsidR="00366CB2" w:rsidRPr="00CA089C">
          <w:rPr>
            <w:sz w:val="24"/>
            <w:szCs w:val="24"/>
          </w:rPr>
          <w:t>15</w:t>
        </w:r>
      </w:fldSimple>
      <w:r w:rsidRPr="00CA089C">
        <w:rPr>
          <w:sz w:val="24"/>
          <w:szCs w:val="24"/>
        </w:rPr>
        <w:t xml:space="preserve"> of this Attachment but using the inception and principal payment dates specified in the </w:t>
      </w:r>
      <w:smartTag w:uri="urn:schemas-microsoft-com:office:smarttags" w:element="stockticker">
        <w:r w:rsidRPr="00CA089C">
          <w:rPr>
            <w:sz w:val="24"/>
            <w:szCs w:val="24"/>
          </w:rPr>
          <w:t>ADI</w:t>
        </w:r>
      </w:smartTag>
      <w:r w:rsidRPr="00CA089C">
        <w:rPr>
          <w:sz w:val="24"/>
          <w:szCs w:val="24"/>
        </w:rPr>
        <w:t>’s repricing assumptions.</w:t>
      </w:r>
      <w:bookmarkEnd w:id="121"/>
      <w:r w:rsidRPr="00CA089C">
        <w:rPr>
          <w:sz w:val="24"/>
          <w:szCs w:val="24"/>
        </w:rPr>
        <w:t xml:space="preserve"> </w:t>
      </w:r>
    </w:p>
    <w:p w:rsidR="00433AA3" w:rsidRPr="00CA089C" w:rsidRDefault="00433AA3" w:rsidP="00433AA3">
      <w:pPr>
        <w:pStyle w:val="Indent1"/>
        <w:numPr>
          <w:ilvl w:val="0"/>
          <w:numId w:val="36"/>
        </w:numPr>
        <w:spacing w:before="0" w:line="240" w:lineRule="auto"/>
        <w:jc w:val="both"/>
        <w:rPr>
          <w:sz w:val="24"/>
          <w:szCs w:val="24"/>
        </w:rPr>
      </w:pPr>
      <w:bookmarkStart w:id="122" w:name="_Ref165090466"/>
      <w:r w:rsidRPr="00CA089C">
        <w:rPr>
          <w:sz w:val="24"/>
          <w:szCs w:val="24"/>
        </w:rPr>
        <w:t xml:space="preserve">For the purposes of paragraph </w:t>
      </w:r>
      <w:fldSimple w:instr=" REF _Ref86559385 \r \h  \* MERGEFORMAT ">
        <w:r w:rsidR="00366CB2" w:rsidRPr="00CA089C">
          <w:rPr>
            <w:sz w:val="24"/>
            <w:szCs w:val="24"/>
          </w:rPr>
          <w:t>13</w:t>
        </w:r>
      </w:fldSimple>
      <w:r w:rsidRPr="00CA089C">
        <w:rPr>
          <w:sz w:val="24"/>
          <w:szCs w:val="24"/>
        </w:rPr>
        <w:t xml:space="preserve"> of this Attachment, the earnings offset must be calculated as the economic value, as at the beginning of the holding period, of a notional twelve-month, equally weighted, monthly moving average portfolio of fixed for floating interest rate swaps. For this purpose, the </w:t>
      </w:r>
      <w:smartTag w:uri="urn:schemas-microsoft-com:office:smarttags" w:element="stockticker">
        <w:r w:rsidRPr="00CA089C">
          <w:rPr>
            <w:sz w:val="24"/>
            <w:szCs w:val="24"/>
          </w:rPr>
          <w:t>ADI</w:t>
        </w:r>
      </w:smartTag>
      <w:r w:rsidRPr="00CA089C">
        <w:rPr>
          <w:sz w:val="24"/>
          <w:szCs w:val="24"/>
        </w:rPr>
        <w:t xml:space="preserve"> receives fixed and makes floating rate payments and the total principal amount covered by the swaps is equal to the sum of the book value of all banking book items.</w:t>
      </w:r>
      <w:bookmarkEnd w:id="122"/>
    </w:p>
    <w:p w:rsidR="00433AA3" w:rsidRPr="00CA089C" w:rsidRDefault="00433AA3" w:rsidP="00433AA3">
      <w:pPr>
        <w:pStyle w:val="numberedpara"/>
        <w:numPr>
          <w:ilvl w:val="0"/>
          <w:numId w:val="36"/>
        </w:numPr>
        <w:jc w:val="both"/>
        <w:rPr>
          <w:color w:val="auto"/>
        </w:rPr>
      </w:pPr>
      <w:r w:rsidRPr="00CA089C">
        <w:rPr>
          <w:color w:val="auto"/>
        </w:rPr>
        <w:t xml:space="preserve">The above </w:t>
      </w:r>
      <w:r w:rsidRPr="00CA089C">
        <w:rPr>
          <w:rStyle w:val="alphabulletChar"/>
          <w:color w:val="auto"/>
        </w:rPr>
        <w:t>approach</w:t>
      </w:r>
      <w:r w:rsidRPr="00CA089C">
        <w:rPr>
          <w:color w:val="auto"/>
        </w:rPr>
        <w:t xml:space="preserve"> to the measurement of repricing and yield curve risks is based on the use of value-at-risk techniques on a static balance sheet. An </w:t>
      </w:r>
      <w:smartTag w:uri="urn:schemas-microsoft-com:office:smarttags" w:element="stockticker">
        <w:r w:rsidRPr="00CA089C">
          <w:rPr>
            <w:color w:val="auto"/>
          </w:rPr>
          <w:t>ADI</w:t>
        </w:r>
      </w:smartTag>
      <w:r w:rsidRPr="00CA089C">
        <w:rPr>
          <w:color w:val="auto"/>
        </w:rPr>
        <w:t xml:space="preserve"> that develops new methodologies, such as the use of dynamic simulation, is encouraged to approach APRA to discuss the use of such methodologies within the capital adequacy framework. If APRA has already approved the </w:t>
      </w:r>
      <w:smartTag w:uri="urn:schemas-microsoft-com:office:smarttags" w:element="stockticker">
        <w:r w:rsidRPr="00CA089C">
          <w:rPr>
            <w:color w:val="auto"/>
          </w:rPr>
          <w:t>ADI</w:t>
        </w:r>
      </w:smartTag>
      <w:r w:rsidRPr="00CA089C">
        <w:rPr>
          <w:color w:val="auto"/>
        </w:rPr>
        <w:t xml:space="preserve">’s internal model, it may be necessary for APRA to vary its approval to permit the use of a new methodology by the </w:t>
      </w:r>
      <w:smartTag w:uri="urn:schemas-microsoft-com:office:smarttags" w:element="stockticker">
        <w:r w:rsidRPr="00CA089C">
          <w:rPr>
            <w:color w:val="auto"/>
          </w:rPr>
          <w:t>ADI</w:t>
        </w:r>
      </w:smartTag>
      <w:r w:rsidRPr="00CA089C">
        <w:rPr>
          <w:color w:val="auto"/>
        </w:rPr>
        <w:t>.</w:t>
      </w:r>
    </w:p>
    <w:p w:rsidR="00433AA3" w:rsidRPr="00CA089C" w:rsidRDefault="00433AA3" w:rsidP="00433AA3">
      <w:pPr>
        <w:pStyle w:val="Heading3"/>
        <w:spacing w:after="240"/>
        <w:rPr>
          <w:sz w:val="24"/>
          <w:szCs w:val="24"/>
        </w:rPr>
      </w:pPr>
      <w:bookmarkStart w:id="123" w:name="_Toc176749329"/>
      <w:bookmarkStart w:id="124" w:name="_Toc177286379"/>
      <w:r w:rsidRPr="00CA089C">
        <w:rPr>
          <w:sz w:val="24"/>
          <w:szCs w:val="24"/>
        </w:rPr>
        <w:t xml:space="preserve">Modelling basis and </w:t>
      </w:r>
      <w:proofErr w:type="spellStart"/>
      <w:r w:rsidRPr="00CA089C">
        <w:rPr>
          <w:sz w:val="24"/>
          <w:szCs w:val="24"/>
        </w:rPr>
        <w:t>optionality</w:t>
      </w:r>
      <w:proofErr w:type="spellEnd"/>
      <w:r w:rsidRPr="00CA089C">
        <w:rPr>
          <w:sz w:val="24"/>
          <w:szCs w:val="24"/>
        </w:rPr>
        <w:t xml:space="preserve"> risks</w:t>
      </w:r>
      <w:bookmarkEnd w:id="123"/>
      <w:bookmarkEnd w:id="124"/>
    </w:p>
    <w:p w:rsidR="00433AA3" w:rsidRPr="00CA089C" w:rsidRDefault="00433AA3" w:rsidP="00433AA3">
      <w:pPr>
        <w:pStyle w:val="Indent1"/>
        <w:numPr>
          <w:ilvl w:val="0"/>
          <w:numId w:val="36"/>
        </w:numPr>
        <w:spacing w:before="0" w:line="240" w:lineRule="auto"/>
        <w:jc w:val="both"/>
        <w:rPr>
          <w:sz w:val="24"/>
          <w:szCs w:val="24"/>
        </w:rPr>
      </w:pPr>
      <w:bookmarkStart w:id="125" w:name="_Ref122245905"/>
      <w:bookmarkStart w:id="126" w:name="_Ref89856190"/>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that does not have APRA’s written approval to exclude basis and/or </w:t>
      </w:r>
      <w:proofErr w:type="spellStart"/>
      <w:r w:rsidRPr="00CA089C">
        <w:rPr>
          <w:sz w:val="24"/>
          <w:szCs w:val="24"/>
        </w:rPr>
        <w:t>optionality</w:t>
      </w:r>
      <w:proofErr w:type="spellEnd"/>
      <w:r w:rsidRPr="00CA089C">
        <w:rPr>
          <w:sz w:val="24"/>
          <w:szCs w:val="24"/>
        </w:rPr>
        <w:t xml:space="preserve"> risks from its IRRBB capital requirement and does not have a risk measurement model for these risks, must use a method approved by APRA</w:t>
      </w:r>
      <w:r w:rsidR="00FE725B" w:rsidRPr="00CA089C">
        <w:rPr>
          <w:sz w:val="24"/>
          <w:szCs w:val="24"/>
        </w:rPr>
        <w:t>,</w:t>
      </w:r>
      <w:r w:rsidRPr="00CA089C">
        <w:rPr>
          <w:sz w:val="24"/>
          <w:szCs w:val="24"/>
        </w:rPr>
        <w:t xml:space="preserve"> in writing</w:t>
      </w:r>
      <w:r w:rsidR="00FE725B" w:rsidRPr="00CA089C">
        <w:rPr>
          <w:sz w:val="24"/>
          <w:szCs w:val="24"/>
        </w:rPr>
        <w:t>,</w:t>
      </w:r>
      <w:r w:rsidRPr="00CA089C">
        <w:rPr>
          <w:sz w:val="24"/>
          <w:szCs w:val="24"/>
        </w:rPr>
        <w:t xml:space="preserve"> for determining an appropriate amount of regulatory capital for those risks.</w:t>
      </w:r>
      <w:bookmarkEnd w:id="125"/>
    </w:p>
    <w:p w:rsidR="00433AA3" w:rsidRPr="00CA089C" w:rsidRDefault="00433AA3" w:rsidP="00433AA3">
      <w:pPr>
        <w:pStyle w:val="Indent1"/>
        <w:numPr>
          <w:ilvl w:val="0"/>
          <w:numId w:val="36"/>
        </w:numPr>
        <w:spacing w:before="0" w:line="240" w:lineRule="auto"/>
        <w:jc w:val="both"/>
        <w:rPr>
          <w:sz w:val="24"/>
          <w:szCs w:val="24"/>
        </w:rPr>
      </w:pPr>
      <w:bookmarkStart w:id="127" w:name="_Ref122834101"/>
      <w:r w:rsidRPr="00CA089C">
        <w:rPr>
          <w:sz w:val="24"/>
          <w:szCs w:val="24"/>
        </w:rPr>
        <w:lastRenderedPageBreak/>
        <w:t xml:space="preserve">To the extent possible, the data sets and assumptions used for modelling repricing and yield curve risks and </w:t>
      </w:r>
      <w:proofErr w:type="spellStart"/>
      <w:r w:rsidRPr="00CA089C">
        <w:rPr>
          <w:sz w:val="24"/>
          <w:szCs w:val="24"/>
        </w:rPr>
        <w:t>optionality</w:t>
      </w:r>
      <w:proofErr w:type="spellEnd"/>
      <w:r w:rsidRPr="00CA089C">
        <w:rPr>
          <w:sz w:val="24"/>
          <w:szCs w:val="24"/>
        </w:rPr>
        <w:t xml:space="preserve"> and basis risks should be consistent.</w:t>
      </w:r>
      <w:bookmarkEnd w:id="127"/>
    </w:p>
    <w:bookmarkEnd w:id="126"/>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’s internal model for basis risk must explain the historical variation of margins between product interest rates and the implied cost of funds. In addition, the requirements regarding correlation assumptions detailed in paragraph </w:t>
      </w:r>
      <w:fldSimple w:instr=" REF _Ref147221915 \r \h  \* MERGEFORMAT ">
        <w:r w:rsidR="00366CB2" w:rsidRPr="00CA089C">
          <w:rPr>
            <w:sz w:val="24"/>
            <w:szCs w:val="24"/>
          </w:rPr>
          <w:t>8</w:t>
        </w:r>
      </w:fldSimple>
      <w:r w:rsidRPr="00CA089C">
        <w:rPr>
          <w:sz w:val="24"/>
          <w:szCs w:val="24"/>
        </w:rPr>
        <w:t xml:space="preserve"> of this Attachment must be met.</w:t>
      </w:r>
    </w:p>
    <w:p w:rsidR="00433AA3" w:rsidRPr="00CA089C" w:rsidRDefault="00433AA3" w:rsidP="00433AA3">
      <w:pPr>
        <w:pStyle w:val="Indent1"/>
        <w:numPr>
          <w:ilvl w:val="0"/>
          <w:numId w:val="36"/>
        </w:numPr>
        <w:spacing w:before="0" w:line="240" w:lineRule="auto"/>
        <w:jc w:val="both"/>
        <w:rPr>
          <w:sz w:val="24"/>
          <w:szCs w:val="24"/>
        </w:rPr>
      </w:pPr>
      <w:bookmarkStart w:id="128" w:name="_Ref89856197"/>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’s internal model for </w:t>
      </w:r>
      <w:proofErr w:type="spellStart"/>
      <w:r w:rsidRPr="00CA089C">
        <w:rPr>
          <w:sz w:val="24"/>
          <w:szCs w:val="24"/>
        </w:rPr>
        <w:t>optionality</w:t>
      </w:r>
      <w:proofErr w:type="spellEnd"/>
      <w:r w:rsidRPr="00CA089C">
        <w:rPr>
          <w:sz w:val="24"/>
          <w:szCs w:val="24"/>
        </w:rPr>
        <w:t xml:space="preserve"> risk must accurately capture the unique risks associated with </w:t>
      </w:r>
      <w:proofErr w:type="spellStart"/>
      <w:r w:rsidRPr="00CA089C">
        <w:rPr>
          <w:sz w:val="24"/>
          <w:szCs w:val="24"/>
        </w:rPr>
        <w:t>optionality</w:t>
      </w:r>
      <w:proofErr w:type="spellEnd"/>
      <w:r w:rsidRPr="00CA089C">
        <w:rPr>
          <w:sz w:val="24"/>
          <w:szCs w:val="24"/>
        </w:rPr>
        <w:t>, including the non-linear price characteristics of implicit option positions</w:t>
      </w:r>
      <w:bookmarkEnd w:id="128"/>
      <w:r w:rsidRPr="00CA089C">
        <w:rPr>
          <w:sz w:val="24"/>
          <w:szCs w:val="24"/>
        </w:rPr>
        <w:t>.</w:t>
      </w:r>
    </w:p>
    <w:p w:rsidR="00433AA3" w:rsidRPr="00CA089C" w:rsidRDefault="00433AA3" w:rsidP="00433AA3">
      <w:pPr>
        <w:pStyle w:val="Indent1"/>
        <w:numPr>
          <w:ilvl w:val="0"/>
          <w:numId w:val="36"/>
        </w:numPr>
        <w:spacing w:before="0" w:line="240" w:lineRule="auto"/>
        <w:jc w:val="both"/>
        <w:rPr>
          <w:sz w:val="24"/>
          <w:szCs w:val="24"/>
        </w:rPr>
      </w:pPr>
      <w:bookmarkStart w:id="129" w:name="_Ref122245953"/>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’s internal model may require assumptions about the behaviour of its customers when measuring the capital requirement for basis and </w:t>
      </w:r>
      <w:proofErr w:type="spellStart"/>
      <w:r w:rsidRPr="00CA089C">
        <w:rPr>
          <w:sz w:val="24"/>
          <w:szCs w:val="24"/>
        </w:rPr>
        <w:t>optionality</w:t>
      </w:r>
      <w:proofErr w:type="spellEnd"/>
      <w:r w:rsidRPr="00CA089C">
        <w:rPr>
          <w:sz w:val="24"/>
          <w:szCs w:val="24"/>
        </w:rPr>
        <w:t xml:space="preserve"> risks. Some of these assumptions, including those related to prepayment rates on fixed-rate loans, will be embodied within the </w:t>
      </w:r>
      <w:smartTag w:uri="urn:schemas-microsoft-com:office:smarttags" w:element="stockticker">
        <w:r w:rsidRPr="00CA089C">
          <w:rPr>
            <w:sz w:val="24"/>
            <w:szCs w:val="24"/>
          </w:rPr>
          <w:t>ADI</w:t>
        </w:r>
      </w:smartTag>
      <w:r w:rsidRPr="00CA089C">
        <w:rPr>
          <w:sz w:val="24"/>
          <w:szCs w:val="24"/>
        </w:rPr>
        <w:t xml:space="preserve">’s repricing assumptions. Additional behavioural assumptions may be required for the purpose of measuring </w:t>
      </w:r>
      <w:proofErr w:type="spellStart"/>
      <w:r w:rsidRPr="00CA089C">
        <w:rPr>
          <w:sz w:val="24"/>
          <w:szCs w:val="24"/>
        </w:rPr>
        <w:t>optionality</w:t>
      </w:r>
      <w:proofErr w:type="spellEnd"/>
      <w:r w:rsidRPr="00CA089C">
        <w:rPr>
          <w:sz w:val="24"/>
          <w:szCs w:val="24"/>
        </w:rPr>
        <w:t xml:space="preserve"> risk, such as the volatility of prepayment rates or the relationship between those rates and interest rates. The measurement of basis risk will also require assumptions to be made about the variation of the </w:t>
      </w:r>
      <w:smartTag w:uri="urn:schemas-microsoft-com:office:smarttags" w:element="stockticker">
        <w:r w:rsidRPr="00CA089C">
          <w:rPr>
            <w:sz w:val="24"/>
            <w:szCs w:val="24"/>
          </w:rPr>
          <w:t>ADI</w:t>
        </w:r>
      </w:smartTag>
      <w:r w:rsidRPr="00CA089C">
        <w:rPr>
          <w:sz w:val="24"/>
          <w:szCs w:val="24"/>
        </w:rPr>
        <w:t xml:space="preserve">’s customer product rates around the implied cost of funds. These types of assumptions must be clearly documented by the </w:t>
      </w:r>
      <w:smartTag w:uri="urn:schemas-microsoft-com:office:smarttags" w:element="stockticker">
        <w:r w:rsidRPr="00CA089C">
          <w:rPr>
            <w:sz w:val="24"/>
            <w:szCs w:val="24"/>
          </w:rPr>
          <w:t>ADI</w:t>
        </w:r>
      </w:smartTag>
      <w:r w:rsidRPr="00CA089C">
        <w:rPr>
          <w:sz w:val="24"/>
          <w:szCs w:val="24"/>
        </w:rPr>
        <w:t>, including reference to the data on which the assumptions rely.</w:t>
      </w:r>
      <w:bookmarkEnd w:id="129"/>
    </w:p>
    <w:p w:rsidR="00433AA3" w:rsidRPr="00CA089C" w:rsidRDefault="00433AA3" w:rsidP="00D90ADA">
      <w:pPr>
        <w:pStyle w:val="Heading3"/>
        <w:spacing w:after="240"/>
        <w:rPr>
          <w:sz w:val="24"/>
          <w:szCs w:val="24"/>
        </w:rPr>
      </w:pPr>
      <w:bookmarkStart w:id="130" w:name="_Toc176749330"/>
      <w:bookmarkStart w:id="131" w:name="_Toc177286380"/>
      <w:r w:rsidRPr="00CA089C">
        <w:rPr>
          <w:sz w:val="24"/>
          <w:szCs w:val="24"/>
        </w:rPr>
        <w:t>Interest rate risk in the banking book capital requirement</w:t>
      </w:r>
      <w:bookmarkEnd w:id="130"/>
      <w:bookmarkEnd w:id="131"/>
    </w:p>
    <w:p w:rsidR="00433AA3" w:rsidRPr="00CA089C" w:rsidRDefault="00433AA3" w:rsidP="00433AA3">
      <w:pPr>
        <w:pStyle w:val="Indent1"/>
        <w:numPr>
          <w:ilvl w:val="0"/>
          <w:numId w:val="36"/>
        </w:numPr>
        <w:spacing w:before="0" w:line="240" w:lineRule="auto"/>
        <w:jc w:val="both"/>
        <w:rPr>
          <w:sz w:val="24"/>
          <w:szCs w:val="24"/>
        </w:rPr>
      </w:pPr>
      <w:bookmarkStart w:id="132" w:name="_Ref91301761"/>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’s IRRBB capital requirement, as determined by its internal model, must be calculated as:</w:t>
      </w:r>
      <w:bookmarkEnd w:id="132"/>
    </w:p>
    <w:p w:rsidR="00433AA3" w:rsidRPr="00CA089C" w:rsidRDefault="00433AA3" w:rsidP="00433AA3">
      <w:pPr>
        <w:pStyle w:val="Indent1"/>
        <w:numPr>
          <w:ilvl w:val="0"/>
          <w:numId w:val="34"/>
        </w:numPr>
        <w:spacing w:before="0" w:line="240" w:lineRule="auto"/>
        <w:jc w:val="both"/>
        <w:rPr>
          <w:sz w:val="24"/>
          <w:szCs w:val="24"/>
        </w:rPr>
      </w:pPr>
      <w:r w:rsidRPr="00CA089C">
        <w:rPr>
          <w:sz w:val="24"/>
          <w:szCs w:val="24"/>
        </w:rPr>
        <w:t>the amount estimated for repricing and yield curve risks which is the estimated 99</w:t>
      </w:r>
      <w:r w:rsidRPr="00CA089C">
        <w:rPr>
          <w:sz w:val="24"/>
          <w:szCs w:val="24"/>
          <w:vertAlign w:val="superscript"/>
        </w:rPr>
        <w:t>th</w:t>
      </w:r>
      <w:r w:rsidRPr="00CA089C">
        <w:rPr>
          <w:sz w:val="24"/>
          <w:szCs w:val="24"/>
        </w:rPr>
        <w:t xml:space="preserve"> percentile of EV0 minus EV1 (refer to paragraph </w:t>
      </w:r>
      <w:fldSimple w:instr=" REF _Ref86559385 \r \h  \* MERGEFORMAT ">
        <w:r w:rsidR="00366CB2" w:rsidRPr="00CA089C">
          <w:rPr>
            <w:sz w:val="24"/>
            <w:szCs w:val="24"/>
          </w:rPr>
          <w:t>13</w:t>
        </w:r>
      </w:fldSimple>
      <w:r w:rsidRPr="00CA089C">
        <w:rPr>
          <w:sz w:val="24"/>
          <w:szCs w:val="24"/>
        </w:rPr>
        <w:t xml:space="preserve"> of this Attachment); plus</w:t>
      </w:r>
    </w:p>
    <w:p w:rsidR="00433AA3" w:rsidRPr="00CA089C" w:rsidRDefault="00433AA3" w:rsidP="00433AA3">
      <w:pPr>
        <w:pStyle w:val="Indent1"/>
        <w:numPr>
          <w:ilvl w:val="0"/>
          <w:numId w:val="34"/>
        </w:numPr>
        <w:spacing w:before="0" w:line="240" w:lineRule="auto"/>
        <w:jc w:val="both"/>
        <w:rPr>
          <w:sz w:val="24"/>
          <w:szCs w:val="24"/>
        </w:rPr>
      </w:pPr>
      <w:r w:rsidRPr="00CA089C">
        <w:rPr>
          <w:sz w:val="24"/>
          <w:szCs w:val="24"/>
        </w:rPr>
        <w:t xml:space="preserve">the amounts estimated for basis and </w:t>
      </w:r>
      <w:proofErr w:type="spellStart"/>
      <w:r w:rsidRPr="00CA089C">
        <w:rPr>
          <w:sz w:val="24"/>
          <w:szCs w:val="24"/>
        </w:rPr>
        <w:t>optionality</w:t>
      </w:r>
      <w:proofErr w:type="spellEnd"/>
      <w:r w:rsidRPr="00CA089C">
        <w:rPr>
          <w:sz w:val="24"/>
          <w:szCs w:val="24"/>
        </w:rPr>
        <w:t xml:space="preserve"> risks as detailed in paragraphs </w:t>
      </w:r>
      <w:fldSimple w:instr=" REF _Ref122245905 \r \h  \* MERGEFORMAT ">
        <w:r w:rsidR="00366CB2" w:rsidRPr="00CA089C">
          <w:rPr>
            <w:sz w:val="24"/>
            <w:szCs w:val="24"/>
          </w:rPr>
          <w:t>19</w:t>
        </w:r>
      </w:fldSimple>
      <w:r w:rsidRPr="00CA089C">
        <w:rPr>
          <w:sz w:val="24"/>
          <w:szCs w:val="24"/>
        </w:rPr>
        <w:t xml:space="preserve"> to </w:t>
      </w:r>
      <w:fldSimple w:instr=" REF _Ref122245953 \r \h  \* MERGEFORMAT ">
        <w:r w:rsidR="00366CB2" w:rsidRPr="00CA089C">
          <w:rPr>
            <w:sz w:val="24"/>
            <w:szCs w:val="24"/>
          </w:rPr>
          <w:t>23</w:t>
        </w:r>
      </w:fldSimple>
      <w:r w:rsidRPr="00CA089C">
        <w:rPr>
          <w:sz w:val="24"/>
          <w:szCs w:val="24"/>
        </w:rPr>
        <w:t xml:space="preserve"> of this Attachment, except where the </w:t>
      </w:r>
      <w:smartTag w:uri="urn:schemas-microsoft-com:office:smarttags" w:element="stockticker">
        <w:r w:rsidRPr="00CA089C">
          <w:rPr>
            <w:sz w:val="24"/>
            <w:szCs w:val="24"/>
          </w:rPr>
          <w:t>ADI</w:t>
        </w:r>
      </w:smartTag>
      <w:r w:rsidRPr="00CA089C">
        <w:rPr>
          <w:sz w:val="24"/>
          <w:szCs w:val="24"/>
        </w:rPr>
        <w:t xml:space="preserve"> has written approval from APRA to exclude basis and/or </w:t>
      </w:r>
      <w:proofErr w:type="spellStart"/>
      <w:r w:rsidRPr="00CA089C">
        <w:rPr>
          <w:sz w:val="24"/>
          <w:szCs w:val="24"/>
        </w:rPr>
        <w:t>optionality</w:t>
      </w:r>
      <w:proofErr w:type="spellEnd"/>
      <w:r w:rsidRPr="00CA089C">
        <w:rPr>
          <w:sz w:val="24"/>
          <w:szCs w:val="24"/>
        </w:rPr>
        <w:t xml:space="preserve"> risks; less</w:t>
      </w:r>
    </w:p>
    <w:p w:rsidR="00433AA3" w:rsidRPr="00CA089C" w:rsidRDefault="00433AA3" w:rsidP="00433AA3">
      <w:pPr>
        <w:pStyle w:val="Indent1"/>
        <w:numPr>
          <w:ilvl w:val="0"/>
          <w:numId w:val="34"/>
        </w:numPr>
        <w:spacing w:before="0" w:line="240" w:lineRule="auto"/>
        <w:jc w:val="both"/>
        <w:rPr>
          <w:sz w:val="24"/>
          <w:szCs w:val="24"/>
        </w:rPr>
      </w:pPr>
      <w:r w:rsidRPr="00CA089C">
        <w:rPr>
          <w:sz w:val="24"/>
          <w:szCs w:val="24"/>
        </w:rPr>
        <w:t xml:space="preserve">any amount resulting from assumed diversification benefits between repricing and yield curve risks, basis risk and </w:t>
      </w:r>
      <w:proofErr w:type="spellStart"/>
      <w:r w:rsidRPr="00CA089C">
        <w:rPr>
          <w:sz w:val="24"/>
          <w:szCs w:val="24"/>
        </w:rPr>
        <w:t>optionality</w:t>
      </w:r>
      <w:proofErr w:type="spellEnd"/>
      <w:r w:rsidRPr="00CA089C">
        <w:rPr>
          <w:sz w:val="24"/>
          <w:szCs w:val="24"/>
        </w:rPr>
        <w:t xml:space="preserve"> risk; plus</w:t>
      </w:r>
    </w:p>
    <w:p w:rsidR="00433AA3" w:rsidRPr="00CA089C" w:rsidRDefault="00433AA3" w:rsidP="00433AA3">
      <w:pPr>
        <w:pStyle w:val="Indent1"/>
        <w:numPr>
          <w:ilvl w:val="0"/>
          <w:numId w:val="34"/>
        </w:numPr>
        <w:spacing w:before="0" w:line="240" w:lineRule="auto"/>
        <w:jc w:val="both"/>
        <w:rPr>
          <w:sz w:val="24"/>
          <w:szCs w:val="24"/>
        </w:rPr>
      </w:pPr>
      <w:r w:rsidRPr="00CA089C">
        <w:rPr>
          <w:sz w:val="24"/>
          <w:szCs w:val="24"/>
        </w:rPr>
        <w:t>the embedded loss (or embedded gain if this amount is negative) which is defined as the sum of the book value of all banking book items minus EV0</w:t>
      </w:r>
    </w:p>
    <w:p w:rsidR="00433AA3" w:rsidRPr="00CA089C" w:rsidRDefault="00433AA3" w:rsidP="00433AA3">
      <w:pPr>
        <w:pStyle w:val="Indent1"/>
        <w:spacing w:before="0" w:line="240" w:lineRule="auto"/>
        <w:ind w:left="567"/>
        <w:jc w:val="both"/>
        <w:rPr>
          <w:sz w:val="24"/>
          <w:szCs w:val="24"/>
        </w:rPr>
      </w:pPr>
      <w:r w:rsidRPr="00CA089C">
        <w:rPr>
          <w:sz w:val="24"/>
          <w:szCs w:val="24"/>
        </w:rPr>
        <w:t>subject to the capital requirement not being less than zero.</w:t>
      </w:r>
    </w:p>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An ADI may only incorporate diversification benefit estimates if the </w:t>
      </w:r>
      <w:smartTag w:uri="urn:schemas-microsoft-com:office:smarttags" w:element="stockticker">
        <w:r w:rsidRPr="00CA089C">
          <w:rPr>
            <w:sz w:val="24"/>
            <w:szCs w:val="24"/>
          </w:rPr>
          <w:t>ADI</w:t>
        </w:r>
      </w:smartTag>
      <w:r w:rsidRPr="00CA089C">
        <w:rPr>
          <w:sz w:val="24"/>
          <w:szCs w:val="24"/>
        </w:rPr>
        <w:t xml:space="preserve"> can demonstrate to APRA, using robust quantitative and qualitative analysis, that its correlation estimates are appropriate and take into account the uncertainty surrounding any such estimates (particularly in periods of stress).</w:t>
      </w:r>
    </w:p>
    <w:p w:rsidR="00433AA3" w:rsidRPr="00CA089C" w:rsidRDefault="00433AA3" w:rsidP="00D90ADA">
      <w:pPr>
        <w:pStyle w:val="Heading3"/>
        <w:spacing w:after="240"/>
        <w:rPr>
          <w:sz w:val="24"/>
          <w:szCs w:val="24"/>
        </w:rPr>
      </w:pPr>
      <w:bookmarkStart w:id="133" w:name="_Toc176749331"/>
      <w:bookmarkStart w:id="134" w:name="_Toc177286381"/>
      <w:r w:rsidRPr="00CA089C">
        <w:rPr>
          <w:sz w:val="24"/>
          <w:szCs w:val="24"/>
        </w:rPr>
        <w:lastRenderedPageBreak/>
        <w:t>Stress testing</w:t>
      </w:r>
      <w:bookmarkEnd w:id="133"/>
      <w:bookmarkEnd w:id="134"/>
    </w:p>
    <w:p w:rsidR="00433AA3" w:rsidRPr="00CA089C" w:rsidRDefault="00433AA3" w:rsidP="00433AA3">
      <w:pPr>
        <w:pStyle w:val="Indent1"/>
        <w:keepNext/>
        <w:keepLines/>
        <w:numPr>
          <w:ilvl w:val="0"/>
          <w:numId w:val="36"/>
        </w:numPr>
        <w:spacing w:before="0" w:line="240" w:lineRule="auto"/>
        <w:jc w:val="both"/>
        <w:rPr>
          <w:sz w:val="24"/>
          <w:szCs w:val="24"/>
        </w:rPr>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have in place a comprehensive and rigorous program of stress testing its internal model. Stress testing must include:</w:t>
      </w:r>
    </w:p>
    <w:p w:rsidR="00433AA3" w:rsidRPr="00CA089C" w:rsidRDefault="00433AA3" w:rsidP="00433AA3">
      <w:pPr>
        <w:pStyle w:val="Indent1"/>
        <w:keepNext/>
        <w:keepLines/>
        <w:numPr>
          <w:ilvl w:val="1"/>
          <w:numId w:val="36"/>
        </w:numPr>
        <w:spacing w:before="0" w:line="240" w:lineRule="auto"/>
        <w:jc w:val="both"/>
        <w:rPr>
          <w:sz w:val="24"/>
          <w:szCs w:val="24"/>
        </w:rPr>
      </w:pPr>
      <w:r w:rsidRPr="00CA089C">
        <w:rPr>
          <w:sz w:val="24"/>
          <w:szCs w:val="24"/>
        </w:rPr>
        <w:t xml:space="preserve">consideration of a breakdown in the </w:t>
      </w:r>
      <w:smartTag w:uri="urn:schemas-microsoft-com:office:smarttags" w:element="stockticker">
        <w:r w:rsidRPr="00CA089C">
          <w:rPr>
            <w:sz w:val="24"/>
            <w:szCs w:val="24"/>
          </w:rPr>
          <w:t>ADI</w:t>
        </w:r>
      </w:smartTag>
      <w:r w:rsidRPr="00CA089C">
        <w:rPr>
          <w:sz w:val="24"/>
          <w:szCs w:val="24"/>
        </w:rPr>
        <w:t>’s key modelling assumptions, such as its repricing assumptions; and</w:t>
      </w:r>
    </w:p>
    <w:p w:rsidR="00433AA3" w:rsidRPr="00CA089C" w:rsidRDefault="00433AA3" w:rsidP="00433AA3">
      <w:pPr>
        <w:pStyle w:val="Indent1"/>
        <w:numPr>
          <w:ilvl w:val="1"/>
          <w:numId w:val="36"/>
        </w:numPr>
        <w:spacing w:before="0" w:line="240" w:lineRule="auto"/>
        <w:jc w:val="both"/>
        <w:rPr>
          <w:sz w:val="24"/>
          <w:szCs w:val="24"/>
        </w:rPr>
      </w:pPr>
      <w:bookmarkStart w:id="135" w:name="_Ref89853981"/>
      <w:r w:rsidRPr="00CA089C">
        <w:rPr>
          <w:sz w:val="24"/>
          <w:szCs w:val="24"/>
        </w:rPr>
        <w:t>scenarios based on sudden changes in the level of interest rates and changes in the slope and shape of the yield curve.</w:t>
      </w:r>
    </w:p>
    <w:bookmarkEnd w:id="135"/>
    <w:p w:rsidR="00433AA3" w:rsidRPr="00CA089C" w:rsidRDefault="00433AA3" w:rsidP="00433AA3">
      <w:pPr>
        <w:pStyle w:val="Indent1"/>
        <w:numPr>
          <w:ilvl w:val="0"/>
          <w:numId w:val="36"/>
        </w:numPr>
        <w:spacing w:before="0" w:line="240" w:lineRule="auto"/>
        <w:jc w:val="both"/>
        <w:rPr>
          <w:sz w:val="24"/>
          <w:szCs w:val="24"/>
        </w:rPr>
      </w:pPr>
      <w:r w:rsidRPr="00CA089C">
        <w:rPr>
          <w:sz w:val="24"/>
          <w:szCs w:val="24"/>
        </w:rPr>
        <w:t xml:space="preserve">An ADI’s policies and limits must reflect the results of stress-testing exercises and these results must be communicated to relevant senior management and the </w:t>
      </w:r>
      <w:smartTag w:uri="urn:schemas-microsoft-com:office:smarttags" w:element="stockticker">
        <w:r w:rsidRPr="00CA089C">
          <w:rPr>
            <w:sz w:val="24"/>
            <w:szCs w:val="24"/>
          </w:rPr>
          <w:t>ADI</w:t>
        </w:r>
      </w:smartTag>
      <w:r w:rsidRPr="00CA089C">
        <w:rPr>
          <w:sz w:val="24"/>
          <w:szCs w:val="24"/>
        </w:rPr>
        <w:t>’s Board, or Board committee, on a regular basis.</w:t>
      </w:r>
    </w:p>
    <w:p w:rsidR="00433AA3" w:rsidRPr="00CA089C" w:rsidRDefault="00433AA3" w:rsidP="00D90ADA">
      <w:pPr>
        <w:pStyle w:val="Heading3"/>
        <w:spacing w:after="240"/>
        <w:rPr>
          <w:sz w:val="24"/>
          <w:szCs w:val="24"/>
        </w:rPr>
      </w:pPr>
      <w:bookmarkStart w:id="136" w:name="_Toc176749332"/>
      <w:bookmarkStart w:id="137" w:name="_Toc177286382"/>
      <w:r w:rsidRPr="00CA089C">
        <w:rPr>
          <w:sz w:val="24"/>
          <w:szCs w:val="24"/>
        </w:rPr>
        <w:t>Validation</w:t>
      </w:r>
      <w:bookmarkEnd w:id="136"/>
      <w:bookmarkEnd w:id="137"/>
    </w:p>
    <w:p w:rsidR="00433AA3" w:rsidRPr="00CA089C" w:rsidRDefault="00433AA3" w:rsidP="00433AA3">
      <w:pPr>
        <w:pStyle w:val="Indent1"/>
        <w:numPr>
          <w:ilvl w:val="0"/>
          <w:numId w:val="36"/>
        </w:numPr>
        <w:spacing w:before="0" w:line="240" w:lineRule="auto"/>
        <w:jc w:val="both"/>
        <w:rPr>
          <w:sz w:val="24"/>
          <w:szCs w:val="24"/>
        </w:rPr>
      </w:pPr>
      <w:bookmarkStart w:id="138" w:name="_Ref122236620"/>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have a robust and documented system in place to validate the accuracy and consistency of its internal model. The </w:t>
      </w:r>
      <w:smartTag w:uri="urn:schemas-microsoft-com:office:smarttags" w:element="stockticker">
        <w:r w:rsidRPr="00CA089C">
          <w:rPr>
            <w:sz w:val="24"/>
            <w:szCs w:val="24"/>
          </w:rPr>
          <w:t>ADI</w:t>
        </w:r>
      </w:smartTag>
      <w:r w:rsidRPr="00CA089C">
        <w:rPr>
          <w:sz w:val="24"/>
          <w:szCs w:val="24"/>
        </w:rPr>
        <w:t xml:space="preserve"> must demonstrate to APRA that its internal validation process enables it to assess the performance of its internal model in a meaningful and consistent manner. As part of the validation of its internal model, the </w:t>
      </w:r>
      <w:smartTag w:uri="urn:schemas-microsoft-com:office:smarttags" w:element="stockticker">
        <w:r w:rsidRPr="00CA089C">
          <w:rPr>
            <w:sz w:val="24"/>
            <w:szCs w:val="24"/>
          </w:rPr>
          <w:t>ADI</w:t>
        </w:r>
      </w:smartTag>
      <w:r w:rsidRPr="00CA089C">
        <w:rPr>
          <w:sz w:val="24"/>
          <w:szCs w:val="24"/>
        </w:rPr>
        <w:t xml:space="preserve"> must regularly compare actual loss experience against its estimates for those losses to ensure their reasonableness.</w:t>
      </w:r>
    </w:p>
    <w:p w:rsidR="00433AA3" w:rsidRPr="00CA089C" w:rsidRDefault="00433AA3" w:rsidP="00433AA3">
      <w:pPr>
        <w:pStyle w:val="Indent1"/>
        <w:numPr>
          <w:ilvl w:val="0"/>
          <w:numId w:val="36"/>
        </w:numPr>
        <w:spacing w:before="0" w:line="240" w:lineRule="auto"/>
        <w:jc w:val="both"/>
      </w:pPr>
      <w:r w:rsidRPr="00CA089C">
        <w:rPr>
          <w:sz w:val="24"/>
          <w:szCs w:val="24"/>
        </w:rPr>
        <w:t xml:space="preserve">An </w:t>
      </w:r>
      <w:smartTag w:uri="urn:schemas-microsoft-com:office:smarttags" w:element="stockticker">
        <w:r w:rsidRPr="00CA089C">
          <w:rPr>
            <w:sz w:val="24"/>
            <w:szCs w:val="24"/>
          </w:rPr>
          <w:t>ADI</w:t>
        </w:r>
      </w:smartTag>
      <w:r w:rsidRPr="00CA089C">
        <w:rPr>
          <w:sz w:val="24"/>
          <w:szCs w:val="24"/>
        </w:rPr>
        <w:t xml:space="preserve"> must have in place a robust process for validating changes to its internal model (including information that flows into that model). This would include a systematic process for reviewing the appropriateness of modelling assumptions and for making changes to those assumptions.</w:t>
      </w:r>
      <w:bookmarkEnd w:id="138"/>
    </w:p>
    <w:sectPr w:rsidR="00433AA3" w:rsidRPr="00CA089C" w:rsidSect="00AD4916">
      <w:footerReference w:type="default" r:id="rId14"/>
      <w:pgSz w:w="11906" w:h="16838"/>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252" w:rsidRDefault="008D7252" w:rsidP="005C75EC">
      <w:r>
        <w:separator/>
      </w:r>
    </w:p>
  </w:endnote>
  <w:endnote w:type="continuationSeparator" w:id="0">
    <w:p w:rsidR="008D7252" w:rsidRDefault="008D7252" w:rsidP="005C75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TF Arrow">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0B4" w:rsidRDefault="005650B4" w:rsidP="004F54F9">
    <w:pPr>
      <w:pStyle w:val="Footer"/>
      <w:ind w:right="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71059"/>
      <w:docPartObj>
        <w:docPartGallery w:val="Page Numbers (Bottom of Page)"/>
        <w:docPartUnique/>
      </w:docPartObj>
    </w:sdtPr>
    <w:sdtContent>
      <w:p w:rsidR="00433AA3" w:rsidRDefault="00433AA3">
        <w:pPr>
          <w:pStyle w:val="Footer"/>
          <w:jc w:val="right"/>
        </w:pPr>
        <w:r w:rsidRPr="00AD4916">
          <w:rPr>
            <w:b/>
          </w:rPr>
          <w:t xml:space="preserve">APS 117 - </w:t>
        </w:r>
        <w:r w:rsidR="002762C2" w:rsidRPr="00AD4916">
          <w:rPr>
            <w:b/>
          </w:rPr>
          <w:fldChar w:fldCharType="begin"/>
        </w:r>
        <w:r w:rsidRPr="00AD4916">
          <w:rPr>
            <w:b/>
          </w:rPr>
          <w:instrText xml:space="preserve"> PAGE   \* MERGEFORMAT </w:instrText>
        </w:r>
        <w:r w:rsidR="002762C2" w:rsidRPr="00AD4916">
          <w:rPr>
            <w:b/>
          </w:rPr>
          <w:fldChar w:fldCharType="separate"/>
        </w:r>
        <w:r w:rsidR="00CA089C">
          <w:rPr>
            <w:b/>
            <w:noProof/>
          </w:rPr>
          <w:t>2</w:t>
        </w:r>
        <w:r w:rsidR="002762C2" w:rsidRPr="00AD4916">
          <w:rPr>
            <w:b/>
          </w:rPr>
          <w:fldChar w:fldCharType="end"/>
        </w:r>
      </w:p>
    </w:sdtContent>
  </w:sdt>
  <w:p w:rsidR="00433AA3" w:rsidRDefault="00433A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71040"/>
      <w:docPartObj>
        <w:docPartGallery w:val="Page Numbers (Bottom of Page)"/>
        <w:docPartUnique/>
      </w:docPartObj>
    </w:sdtPr>
    <w:sdtContent>
      <w:p w:rsidR="00433AA3" w:rsidRDefault="00433AA3">
        <w:pPr>
          <w:pStyle w:val="Footer"/>
          <w:jc w:val="right"/>
        </w:pPr>
        <w:r w:rsidRPr="00AD4916">
          <w:rPr>
            <w:b/>
          </w:rPr>
          <w:t xml:space="preserve">APS 117 </w:t>
        </w:r>
        <w:r>
          <w:rPr>
            <w:b/>
          </w:rPr>
          <w:t xml:space="preserve">Attachment A </w:t>
        </w:r>
        <w:r w:rsidRPr="00AD4916">
          <w:rPr>
            <w:b/>
          </w:rPr>
          <w:t xml:space="preserve">- </w:t>
        </w:r>
        <w:r w:rsidR="002762C2" w:rsidRPr="00AD4916">
          <w:rPr>
            <w:b/>
          </w:rPr>
          <w:fldChar w:fldCharType="begin"/>
        </w:r>
        <w:r w:rsidRPr="00AD4916">
          <w:rPr>
            <w:b/>
          </w:rPr>
          <w:instrText xml:space="preserve"> PAGE   \* MERGEFORMAT </w:instrText>
        </w:r>
        <w:r w:rsidR="002762C2" w:rsidRPr="00AD4916">
          <w:rPr>
            <w:b/>
          </w:rPr>
          <w:fldChar w:fldCharType="separate"/>
        </w:r>
        <w:r w:rsidR="00CA089C">
          <w:rPr>
            <w:b/>
            <w:noProof/>
          </w:rPr>
          <w:t>13</w:t>
        </w:r>
        <w:r w:rsidR="002762C2" w:rsidRPr="00AD4916">
          <w:rPr>
            <w:b/>
          </w:rPr>
          <w:fldChar w:fldCharType="end"/>
        </w:r>
      </w:p>
    </w:sdtContent>
  </w:sdt>
  <w:p w:rsidR="00433AA3" w:rsidRDefault="00433AA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71054"/>
      <w:docPartObj>
        <w:docPartGallery w:val="Page Numbers (Bottom of Page)"/>
        <w:docPartUnique/>
      </w:docPartObj>
    </w:sdtPr>
    <w:sdtContent>
      <w:p w:rsidR="005B5D77" w:rsidRDefault="00D90ADA">
        <w:pPr>
          <w:pStyle w:val="Footer"/>
          <w:jc w:val="right"/>
        </w:pPr>
        <w:r w:rsidRPr="00AD4916">
          <w:rPr>
            <w:b/>
          </w:rPr>
          <w:t xml:space="preserve">APS 117 </w:t>
        </w:r>
        <w:r>
          <w:rPr>
            <w:b/>
          </w:rPr>
          <w:t xml:space="preserve">Attachment B </w:t>
        </w:r>
        <w:r w:rsidRPr="00AD4916">
          <w:rPr>
            <w:b/>
          </w:rPr>
          <w:t xml:space="preserve">- </w:t>
        </w:r>
        <w:r w:rsidR="002762C2">
          <w:rPr>
            <w:b/>
          </w:rPr>
          <w:fldChar w:fldCharType="begin"/>
        </w:r>
        <w:r>
          <w:rPr>
            <w:b/>
          </w:rPr>
          <w:instrText xml:space="preserve"> PAGE   \* MERGEFORMAT </w:instrText>
        </w:r>
        <w:r w:rsidR="002762C2">
          <w:rPr>
            <w:b/>
          </w:rPr>
          <w:fldChar w:fldCharType="separate"/>
        </w:r>
        <w:r w:rsidR="00CA089C">
          <w:rPr>
            <w:b/>
            <w:noProof/>
          </w:rPr>
          <w:t>18</w:t>
        </w:r>
        <w:r w:rsidR="002762C2">
          <w:rPr>
            <w:b/>
          </w:rPr>
          <w:fldChar w:fldCharType="end"/>
        </w:r>
      </w:p>
    </w:sdtContent>
  </w:sdt>
  <w:p w:rsidR="005B5D77" w:rsidRDefault="00CA08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252" w:rsidRPr="00884876" w:rsidRDefault="008D7252" w:rsidP="00D030F0">
      <w:r>
        <w:separator/>
      </w:r>
    </w:p>
  </w:footnote>
  <w:footnote w:type="continuationSeparator" w:id="0">
    <w:p w:rsidR="008D7252" w:rsidRDefault="008D7252" w:rsidP="005C75EC">
      <w:r>
        <w:continuationSeparator/>
      </w:r>
    </w:p>
  </w:footnote>
  <w:footnote w:id="1">
    <w:p w:rsidR="00433AA3" w:rsidRDefault="00433AA3" w:rsidP="00433AA3">
      <w:pPr>
        <w:pStyle w:val="FootnoteText"/>
        <w:tabs>
          <w:tab w:val="left" w:pos="567"/>
        </w:tabs>
        <w:ind w:left="567" w:hanging="567"/>
        <w:jc w:val="both"/>
      </w:pPr>
      <w:r>
        <w:rPr>
          <w:rStyle w:val="FootnoteReference"/>
        </w:rPr>
        <w:footnoteRef/>
      </w:r>
      <w:r>
        <w:t xml:space="preserve"> </w:t>
      </w:r>
      <w:r>
        <w:tab/>
        <w:t>A</w:t>
      </w:r>
      <w:r w:rsidRPr="00237118">
        <w:t xml:space="preserve">n option provides the holder </w:t>
      </w:r>
      <w:r>
        <w:t xml:space="preserve">with </w:t>
      </w:r>
      <w:r w:rsidRPr="00237118">
        <w:t>the right but not the obligation to buy, sell, or in</w:t>
      </w:r>
      <w:r>
        <w:t xml:space="preserve"> </w:t>
      </w:r>
      <w:r w:rsidRPr="00237118">
        <w:t>some manner alter the cash flow of an instrument or financial contract</w:t>
      </w:r>
      <w:r>
        <w:t>.</w:t>
      </w:r>
    </w:p>
  </w:footnote>
  <w:footnote w:id="2">
    <w:p w:rsidR="00433AA3" w:rsidRPr="00155B4E" w:rsidRDefault="00433AA3" w:rsidP="00433AA3">
      <w:pPr>
        <w:pStyle w:val="FootnoteText"/>
        <w:tabs>
          <w:tab w:val="left" w:pos="567"/>
        </w:tabs>
        <w:ind w:left="567" w:hanging="567"/>
        <w:jc w:val="both"/>
      </w:pPr>
      <w:r w:rsidRPr="00433176">
        <w:rPr>
          <w:rStyle w:val="FootnoteReference"/>
        </w:rPr>
        <w:footnoteRef/>
      </w:r>
      <w:r>
        <w:tab/>
      </w:r>
      <w:r w:rsidRPr="001E442F">
        <w:t xml:space="preserve">In the case of options embedded in customer products, losses from </w:t>
      </w:r>
      <w:proofErr w:type="spellStart"/>
      <w:r w:rsidRPr="001E442F">
        <w:t>optionality</w:t>
      </w:r>
      <w:proofErr w:type="spellEnd"/>
      <w:r w:rsidRPr="001E442F">
        <w:t xml:space="preserve"> risk will arise from customers exercising choices that cause the actual product repricing dates to deviate from those specified</w:t>
      </w:r>
      <w:r>
        <w:t xml:space="preserve"> by the repricing assumptions.</w:t>
      </w:r>
    </w:p>
  </w:footnote>
  <w:footnote w:id="3">
    <w:p w:rsidR="00433AA3" w:rsidRDefault="00433AA3" w:rsidP="00433AA3">
      <w:pPr>
        <w:pStyle w:val="FootnoteText"/>
        <w:tabs>
          <w:tab w:val="left" w:pos="567"/>
        </w:tabs>
        <w:ind w:left="567" w:hanging="567"/>
        <w:jc w:val="both"/>
      </w:pPr>
      <w:r>
        <w:rPr>
          <w:rStyle w:val="FootnoteReference"/>
        </w:rPr>
        <w:footnoteRef/>
      </w:r>
      <w:r>
        <w:t xml:space="preserve"> </w:t>
      </w:r>
      <w:r>
        <w:tab/>
        <w:t>The repricing date of an ADI’s asset, liability or other banking book item is the date on which the principal of that item is repaid (in whole or part) to, or by the ADI or on which the interest rate on that principal is reset, if earlier. The repricing profile of an asset, liability or other banking book item, or portfolio of items, is the set of all repricing dates</w:t>
      </w:r>
      <w:r w:rsidRPr="005A3B16">
        <w:t xml:space="preserve"> and amounts repricing on those dates</w:t>
      </w:r>
      <w:r>
        <w:t>.</w:t>
      </w:r>
    </w:p>
  </w:footnote>
  <w:footnote w:id="4">
    <w:p w:rsidR="00433AA3" w:rsidRDefault="00433AA3" w:rsidP="00433AA3">
      <w:pPr>
        <w:pStyle w:val="FootnoteText"/>
        <w:tabs>
          <w:tab w:val="left" w:pos="567"/>
        </w:tabs>
        <w:ind w:left="567" w:hanging="567"/>
        <w:jc w:val="both"/>
      </w:pPr>
      <w:r>
        <w:rPr>
          <w:rStyle w:val="FootnoteReference"/>
        </w:rPr>
        <w:footnoteRef/>
      </w:r>
      <w:r>
        <w:t xml:space="preserve"> </w:t>
      </w:r>
      <w:r>
        <w:tab/>
        <w:t xml:space="preserve">For most purposes under this Prudential Standard, repricing risk and yield curve risk (refer to paragraphs </w:t>
      </w:r>
      <w:r w:rsidR="002762C2">
        <w:fldChar w:fldCharType="begin"/>
      </w:r>
      <w:r w:rsidR="00866C19">
        <w:instrText xml:space="preserve"> REF _Ref179261619 \r \h  \* MERGEFORMAT </w:instrText>
      </w:r>
      <w:r w:rsidR="002762C2">
        <w:fldChar w:fldCharType="separate"/>
      </w:r>
      <w:r w:rsidR="00366CB2">
        <w:t>7(</w:t>
      </w:r>
      <w:proofErr w:type="spellStart"/>
      <w:r w:rsidR="00366CB2">
        <w:t>i</w:t>
      </w:r>
      <w:proofErr w:type="spellEnd"/>
      <w:r w:rsidR="00366CB2">
        <w:t>)</w:t>
      </w:r>
      <w:r w:rsidR="002762C2">
        <w:fldChar w:fldCharType="end"/>
      </w:r>
      <w:r w:rsidRPr="009C16B6">
        <w:t xml:space="preserve"> and </w:t>
      </w:r>
      <w:fldSimple w:instr=" REF _Ref179261648 \r \h  \* MERGEFORMAT ">
        <w:r w:rsidR="00366CB2">
          <w:t>7(j)</w:t>
        </w:r>
      </w:fldSimple>
      <w:r>
        <w:t>) are grouped together and, except where specifically required, need not be disaggregated for measurement purposes.</w:t>
      </w:r>
    </w:p>
  </w:footnote>
  <w:footnote w:id="5">
    <w:p w:rsidR="00433AA3" w:rsidRDefault="00433AA3" w:rsidP="00433AA3">
      <w:pPr>
        <w:pStyle w:val="FootnoteText"/>
        <w:tabs>
          <w:tab w:val="left" w:pos="567"/>
        </w:tabs>
        <w:ind w:left="567" w:hanging="567"/>
        <w:jc w:val="both"/>
      </w:pPr>
      <w:r w:rsidRPr="009A3F9C">
        <w:rPr>
          <w:rStyle w:val="FootnoteReference"/>
        </w:rPr>
        <w:footnoteRef/>
      </w:r>
      <w:r w:rsidRPr="009A3F9C">
        <w:t xml:space="preserve"> </w:t>
      </w:r>
      <w:r w:rsidRPr="009A3F9C">
        <w:tab/>
        <w:t>The total book value of a banking book item less the total economic value of that item is the item’s embedded loss (if positive) or embedded gain (if negative).</w:t>
      </w:r>
    </w:p>
  </w:footnote>
  <w:footnote w:id="6">
    <w:p w:rsidR="00433AA3" w:rsidRDefault="00433AA3" w:rsidP="00433AA3">
      <w:pPr>
        <w:pStyle w:val="FootnoteText"/>
        <w:tabs>
          <w:tab w:val="left" w:pos="567"/>
        </w:tabs>
        <w:ind w:left="567" w:hanging="567"/>
        <w:jc w:val="both"/>
      </w:pPr>
      <w:r>
        <w:rPr>
          <w:rStyle w:val="FootnoteReference"/>
        </w:rPr>
        <w:footnoteRef/>
      </w:r>
      <w:r>
        <w:t xml:space="preserve"> </w:t>
      </w:r>
      <w:r>
        <w:tab/>
      </w:r>
      <w:r w:rsidRPr="002D1C22">
        <w:t xml:space="preserve">In most cases, the independent reviews could be facilitated by an </w:t>
      </w:r>
      <w:smartTag w:uri="urn:schemas-microsoft-com:office:smarttags" w:element="stockticker">
        <w:r w:rsidRPr="002D1C22">
          <w:t>ADI</w:t>
        </w:r>
      </w:smartTag>
      <w:r w:rsidRPr="002D1C22">
        <w:t>’s internal audit function but may require the engagement of independent parties outside of this function</w:t>
      </w:r>
      <w:r>
        <w:t>.</w:t>
      </w:r>
    </w:p>
  </w:footnote>
  <w:footnote w:id="7">
    <w:p w:rsidR="00433AA3" w:rsidRDefault="00433AA3" w:rsidP="00433AA3">
      <w:pPr>
        <w:pStyle w:val="FootnoteText"/>
        <w:tabs>
          <w:tab w:val="left" w:pos="567"/>
        </w:tabs>
        <w:ind w:left="567" w:hanging="567"/>
        <w:jc w:val="both"/>
      </w:pPr>
      <w:r>
        <w:rPr>
          <w:rStyle w:val="FootnoteReference"/>
        </w:rPr>
        <w:footnoteRef/>
      </w:r>
      <w:r>
        <w:tab/>
      </w:r>
      <w:r w:rsidRPr="000C7495">
        <w:t>EV0 is a constant while EV1</w:t>
      </w:r>
      <w:r>
        <w:t xml:space="preserve"> </w:t>
      </w:r>
      <w:r w:rsidRPr="000C7495">
        <w:t>is a random variable that is a function of the interest rates at the end of the holding period.</w:t>
      </w:r>
    </w:p>
  </w:footnote>
  <w:footnote w:id="8">
    <w:p w:rsidR="00433AA3" w:rsidRDefault="00433AA3" w:rsidP="00433AA3">
      <w:pPr>
        <w:pStyle w:val="FootnoteText"/>
        <w:tabs>
          <w:tab w:val="left" w:pos="567"/>
        </w:tabs>
        <w:ind w:left="567" w:hanging="567"/>
        <w:jc w:val="both"/>
      </w:pPr>
      <w:r>
        <w:rPr>
          <w:rStyle w:val="FootnoteReference"/>
        </w:rPr>
        <w:footnoteRef/>
      </w:r>
      <w:r>
        <w:t xml:space="preserve"> </w:t>
      </w:r>
      <w:r>
        <w:tab/>
      </w:r>
      <w:r w:rsidRPr="001A327F">
        <w:t>Repricing or principal repayments of assets must be interpreted as positive cash flows and repricing or principal repayments of liabilities interpreted</w:t>
      </w:r>
      <w:r>
        <w:t xml:space="preserve"> as negative cash flows.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0B4" w:rsidRPr="00B2654F" w:rsidRDefault="005650B4" w:rsidP="00B2654F">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A3" w:rsidRPr="0020674E" w:rsidRDefault="00433AA3" w:rsidP="00A6389E">
    <w:pPr>
      <w:pStyle w:val="Header"/>
      <w:tabs>
        <w:tab w:val="right" w:pos="8364"/>
      </w:tabs>
      <w:jc w:val="right"/>
      <w:rPr>
        <w:b/>
      </w:rPr>
    </w:pPr>
    <w:r>
      <w:t>January</w:t>
    </w:r>
    <w:r w:rsidRPr="00F64E53">
      <w:t xml:space="preserve"> 20</w:t>
    </w:r>
    <w:r w:rsidRPr="009F0DA5">
      <w:t>1</w:t>
    </w:r>
    <w:r>
      <w:t xml:space="preserve">3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F0F"/>
    <w:multiLevelType w:val="hybridMultilevel"/>
    <w:tmpl w:val="72E68466"/>
    <w:lvl w:ilvl="0" w:tplc="06BA79C8">
      <w:start w:val="1"/>
      <w:numFmt w:val="lowerRoman"/>
      <w:lvlText w:val="(%1)"/>
      <w:lvlJc w:val="left"/>
      <w:pPr>
        <w:tabs>
          <w:tab w:val="num" w:pos="1701"/>
        </w:tabs>
        <w:ind w:left="1701" w:hanging="567"/>
      </w:pPr>
      <w:rPr>
        <w:rFonts w:hint="default"/>
        <w:sz w:val="24"/>
        <w:szCs w:val="24"/>
      </w:rPr>
    </w:lvl>
    <w:lvl w:ilvl="1" w:tplc="F398B8F4">
      <w:start w:val="1"/>
      <w:numFmt w:val="lowerLetter"/>
      <w:lvlText w:val="(%2)"/>
      <w:lvlJc w:val="left"/>
      <w:pPr>
        <w:tabs>
          <w:tab w:val="num" w:pos="2256"/>
        </w:tabs>
        <w:ind w:left="2256" w:hanging="360"/>
      </w:pPr>
      <w:rPr>
        <w:rFonts w:hint="default"/>
        <w:sz w:val="24"/>
        <w:szCs w:val="24"/>
      </w:rPr>
    </w:lvl>
    <w:lvl w:ilvl="2" w:tplc="FFFFFFFF" w:tentative="1">
      <w:start w:val="1"/>
      <w:numFmt w:val="lowerRoman"/>
      <w:lvlText w:val="%3."/>
      <w:lvlJc w:val="right"/>
      <w:pPr>
        <w:tabs>
          <w:tab w:val="num" w:pos="2976"/>
        </w:tabs>
        <w:ind w:left="2976" w:hanging="180"/>
      </w:pPr>
    </w:lvl>
    <w:lvl w:ilvl="3" w:tplc="FFFFFFFF" w:tentative="1">
      <w:start w:val="1"/>
      <w:numFmt w:val="decimal"/>
      <w:lvlText w:val="%4."/>
      <w:lvlJc w:val="left"/>
      <w:pPr>
        <w:tabs>
          <w:tab w:val="num" w:pos="3696"/>
        </w:tabs>
        <w:ind w:left="3696" w:hanging="360"/>
      </w:pPr>
    </w:lvl>
    <w:lvl w:ilvl="4" w:tplc="FFFFFFFF" w:tentative="1">
      <w:start w:val="1"/>
      <w:numFmt w:val="lowerLetter"/>
      <w:lvlText w:val="%5."/>
      <w:lvlJc w:val="left"/>
      <w:pPr>
        <w:tabs>
          <w:tab w:val="num" w:pos="4416"/>
        </w:tabs>
        <w:ind w:left="4416" w:hanging="360"/>
      </w:pPr>
    </w:lvl>
    <w:lvl w:ilvl="5" w:tplc="FFFFFFFF" w:tentative="1">
      <w:start w:val="1"/>
      <w:numFmt w:val="lowerRoman"/>
      <w:lvlText w:val="%6."/>
      <w:lvlJc w:val="right"/>
      <w:pPr>
        <w:tabs>
          <w:tab w:val="num" w:pos="5136"/>
        </w:tabs>
        <w:ind w:left="5136" w:hanging="180"/>
      </w:pPr>
    </w:lvl>
    <w:lvl w:ilvl="6" w:tplc="FFFFFFFF" w:tentative="1">
      <w:start w:val="1"/>
      <w:numFmt w:val="decimal"/>
      <w:lvlText w:val="%7."/>
      <w:lvlJc w:val="left"/>
      <w:pPr>
        <w:tabs>
          <w:tab w:val="num" w:pos="5856"/>
        </w:tabs>
        <w:ind w:left="5856" w:hanging="360"/>
      </w:pPr>
    </w:lvl>
    <w:lvl w:ilvl="7" w:tplc="FFFFFFFF" w:tentative="1">
      <w:start w:val="1"/>
      <w:numFmt w:val="lowerLetter"/>
      <w:lvlText w:val="%8."/>
      <w:lvlJc w:val="left"/>
      <w:pPr>
        <w:tabs>
          <w:tab w:val="num" w:pos="6576"/>
        </w:tabs>
        <w:ind w:left="6576" w:hanging="360"/>
      </w:pPr>
    </w:lvl>
    <w:lvl w:ilvl="8" w:tplc="FFFFFFFF" w:tentative="1">
      <w:start w:val="1"/>
      <w:numFmt w:val="lowerRoman"/>
      <w:lvlText w:val="%9."/>
      <w:lvlJc w:val="right"/>
      <w:pPr>
        <w:tabs>
          <w:tab w:val="num" w:pos="7296"/>
        </w:tabs>
        <w:ind w:left="7296" w:hanging="180"/>
      </w:pPr>
    </w:lvl>
  </w:abstractNum>
  <w:abstractNum w:abstractNumId="1">
    <w:nsid w:val="13D75C16"/>
    <w:multiLevelType w:val="singleLevel"/>
    <w:tmpl w:val="274AA128"/>
    <w:lvl w:ilvl="0">
      <w:start w:val="1"/>
      <w:numFmt w:val="lowerRoman"/>
      <w:lvlText w:val="(%1)"/>
      <w:lvlJc w:val="left"/>
      <w:pPr>
        <w:tabs>
          <w:tab w:val="num" w:pos="1701"/>
        </w:tabs>
        <w:ind w:left="1701" w:hanging="567"/>
      </w:pPr>
      <w:rPr>
        <w:rFonts w:ascii="Times New Roman" w:hAnsi="Times New Roman" w:hint="default"/>
        <w:b w:val="0"/>
        <w:i w:val="0"/>
        <w:sz w:val="24"/>
        <w:szCs w:val="24"/>
      </w:rPr>
    </w:lvl>
  </w:abstractNum>
  <w:abstractNum w:abstractNumId="2">
    <w:nsid w:val="14C16960"/>
    <w:multiLevelType w:val="hybridMultilevel"/>
    <w:tmpl w:val="54C6A212"/>
    <w:lvl w:ilvl="0" w:tplc="2DAA46B6">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FFFFFFFF">
      <w:start w:val="1"/>
      <w:numFmt w:val="lowerLetter"/>
      <w:lvlText w:val="(%2)"/>
      <w:lvlJc w:val="left"/>
      <w:pPr>
        <w:tabs>
          <w:tab w:val="num" w:pos="1185"/>
        </w:tabs>
        <w:ind w:left="1185" w:hanging="465"/>
      </w:pPr>
      <w:rPr>
        <w:rFonts w:ascii="Times New Roman" w:hAnsi="Times New Roman" w:hint="default"/>
        <w:b w:val="0"/>
        <w:i w:val="0"/>
        <w:sz w:val="24"/>
        <w:szCs w:val="24"/>
      </w:r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3">
    <w:nsid w:val="1D18589D"/>
    <w:multiLevelType w:val="hybridMultilevel"/>
    <w:tmpl w:val="A0FA1B38"/>
    <w:lvl w:ilvl="0" w:tplc="5936CC4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DF628EE"/>
    <w:multiLevelType w:val="hybridMultilevel"/>
    <w:tmpl w:val="F3C0AECC"/>
    <w:lvl w:ilvl="0" w:tplc="12EA108E">
      <w:start w:val="1"/>
      <w:numFmt w:val="decimal"/>
      <w:lvlText w:val="%1."/>
      <w:lvlJc w:val="left"/>
      <w:pPr>
        <w:tabs>
          <w:tab w:val="num" w:pos="567"/>
        </w:tabs>
        <w:ind w:left="567" w:hanging="567"/>
      </w:pPr>
      <w:rPr>
        <w:rFonts w:hint="default"/>
      </w:rPr>
    </w:lvl>
    <w:lvl w:ilvl="1" w:tplc="C1E29AD4">
      <w:start w:val="1"/>
      <w:numFmt w:val="lowerLetter"/>
      <w:pStyle w:val="alphabullet"/>
      <w:lvlText w:val="(%2)"/>
      <w:lvlJc w:val="left"/>
      <w:pPr>
        <w:tabs>
          <w:tab w:val="num" w:pos="1134"/>
        </w:tabs>
        <w:ind w:left="1134" w:hanging="567"/>
      </w:pPr>
      <w:rPr>
        <w:rFonts w:hint="default"/>
        <w:sz w:val="24"/>
        <w:szCs w:val="24"/>
      </w:rPr>
    </w:lvl>
    <w:lvl w:ilvl="2" w:tplc="0A5A5EF0">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5">
    <w:nsid w:val="1F687E82"/>
    <w:multiLevelType w:val="singleLevel"/>
    <w:tmpl w:val="0A5CE53E"/>
    <w:lvl w:ilvl="0">
      <w:start w:val="1"/>
      <w:numFmt w:val="decimal"/>
      <w:lvlText w:val="%1."/>
      <w:lvlJc w:val="left"/>
      <w:pPr>
        <w:tabs>
          <w:tab w:val="num" w:pos="567"/>
        </w:tabs>
        <w:ind w:left="567" w:hanging="567"/>
      </w:pPr>
      <w:rPr>
        <w:rFonts w:ascii="Times New Roman" w:hAnsi="Times New Roman" w:hint="default"/>
        <w:b w:val="0"/>
        <w:i w:val="0"/>
        <w:sz w:val="24"/>
        <w:szCs w:val="24"/>
      </w:rPr>
    </w:lvl>
  </w:abstractNum>
  <w:abstractNum w:abstractNumId="6">
    <w:nsid w:val="21E802A3"/>
    <w:multiLevelType w:val="hybridMultilevel"/>
    <w:tmpl w:val="80B03D7C"/>
    <w:lvl w:ilvl="0" w:tplc="9216C6F8">
      <w:start w:val="1"/>
      <w:numFmt w:val="lowerLetter"/>
      <w:lvlText w:val="(%1)"/>
      <w:lvlJc w:val="left"/>
      <w:pPr>
        <w:tabs>
          <w:tab w:val="num" w:pos="1134"/>
        </w:tabs>
        <w:ind w:left="1134" w:hanging="567"/>
      </w:pPr>
      <w:rPr>
        <w:rFonts w:hint="default"/>
      </w:rPr>
    </w:lvl>
    <w:lvl w:ilvl="1" w:tplc="EBA240C6">
      <w:start w:val="1"/>
      <w:numFmt w:val="lowerRoman"/>
      <w:lvlText w:val="(%2)"/>
      <w:lvlJc w:val="left"/>
      <w:pPr>
        <w:tabs>
          <w:tab w:val="num" w:pos="1701"/>
        </w:tabs>
        <w:ind w:left="1701"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24F17C7B"/>
    <w:multiLevelType w:val="hybridMultilevel"/>
    <w:tmpl w:val="4D2890FE"/>
    <w:lvl w:ilvl="0" w:tplc="2800097A">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26925707"/>
    <w:multiLevelType w:val="hybridMultilevel"/>
    <w:tmpl w:val="649E7ADA"/>
    <w:lvl w:ilvl="0" w:tplc="C8D4F696">
      <w:start w:val="1"/>
      <w:numFmt w:val="bullet"/>
      <w:lvlText w:val=""/>
      <w:lvlJc w:val="left"/>
      <w:pPr>
        <w:tabs>
          <w:tab w:val="num" w:pos="567"/>
        </w:tabs>
        <w:ind w:left="567" w:hanging="567"/>
      </w:pPr>
      <w:rPr>
        <w:rFonts w:ascii="Symbol" w:hAnsi="Symbol" w:hint="default"/>
      </w:rPr>
    </w:lvl>
    <w:lvl w:ilvl="1" w:tplc="A0B2639E" w:tentative="1">
      <w:start w:val="1"/>
      <w:numFmt w:val="bullet"/>
      <w:lvlText w:val="o"/>
      <w:lvlJc w:val="left"/>
      <w:pPr>
        <w:tabs>
          <w:tab w:val="num" w:pos="1080"/>
        </w:tabs>
        <w:ind w:left="1080" w:hanging="360"/>
      </w:pPr>
      <w:rPr>
        <w:rFonts w:ascii="Courier New" w:hAnsi="Courier New" w:cs="Courier New" w:hint="default"/>
      </w:rPr>
    </w:lvl>
    <w:lvl w:ilvl="2" w:tplc="028AD1E0" w:tentative="1">
      <w:start w:val="1"/>
      <w:numFmt w:val="bullet"/>
      <w:lvlText w:val=""/>
      <w:lvlJc w:val="left"/>
      <w:pPr>
        <w:tabs>
          <w:tab w:val="num" w:pos="1800"/>
        </w:tabs>
        <w:ind w:left="1800" w:hanging="360"/>
      </w:pPr>
      <w:rPr>
        <w:rFonts w:ascii="Wingdings" w:hAnsi="Wingdings" w:hint="default"/>
      </w:rPr>
    </w:lvl>
    <w:lvl w:ilvl="3" w:tplc="FF46EE20" w:tentative="1">
      <w:start w:val="1"/>
      <w:numFmt w:val="bullet"/>
      <w:lvlText w:val=""/>
      <w:lvlJc w:val="left"/>
      <w:pPr>
        <w:tabs>
          <w:tab w:val="num" w:pos="2520"/>
        </w:tabs>
        <w:ind w:left="2520" w:hanging="360"/>
      </w:pPr>
      <w:rPr>
        <w:rFonts w:ascii="Symbol" w:hAnsi="Symbol" w:hint="default"/>
      </w:rPr>
    </w:lvl>
    <w:lvl w:ilvl="4" w:tplc="F008F492" w:tentative="1">
      <w:start w:val="1"/>
      <w:numFmt w:val="bullet"/>
      <w:lvlText w:val="o"/>
      <w:lvlJc w:val="left"/>
      <w:pPr>
        <w:tabs>
          <w:tab w:val="num" w:pos="3240"/>
        </w:tabs>
        <w:ind w:left="3240" w:hanging="360"/>
      </w:pPr>
      <w:rPr>
        <w:rFonts w:ascii="Courier New" w:hAnsi="Courier New" w:cs="Courier New" w:hint="default"/>
      </w:rPr>
    </w:lvl>
    <w:lvl w:ilvl="5" w:tplc="50D8F772" w:tentative="1">
      <w:start w:val="1"/>
      <w:numFmt w:val="bullet"/>
      <w:lvlText w:val=""/>
      <w:lvlJc w:val="left"/>
      <w:pPr>
        <w:tabs>
          <w:tab w:val="num" w:pos="3960"/>
        </w:tabs>
        <w:ind w:left="3960" w:hanging="360"/>
      </w:pPr>
      <w:rPr>
        <w:rFonts w:ascii="Wingdings" w:hAnsi="Wingdings" w:hint="default"/>
      </w:rPr>
    </w:lvl>
    <w:lvl w:ilvl="6" w:tplc="649C1BB4" w:tentative="1">
      <w:start w:val="1"/>
      <w:numFmt w:val="bullet"/>
      <w:lvlText w:val=""/>
      <w:lvlJc w:val="left"/>
      <w:pPr>
        <w:tabs>
          <w:tab w:val="num" w:pos="4680"/>
        </w:tabs>
        <w:ind w:left="4680" w:hanging="360"/>
      </w:pPr>
      <w:rPr>
        <w:rFonts w:ascii="Symbol" w:hAnsi="Symbol" w:hint="default"/>
      </w:rPr>
    </w:lvl>
    <w:lvl w:ilvl="7" w:tplc="380A2D28" w:tentative="1">
      <w:start w:val="1"/>
      <w:numFmt w:val="bullet"/>
      <w:lvlText w:val="o"/>
      <w:lvlJc w:val="left"/>
      <w:pPr>
        <w:tabs>
          <w:tab w:val="num" w:pos="5400"/>
        </w:tabs>
        <w:ind w:left="5400" w:hanging="360"/>
      </w:pPr>
      <w:rPr>
        <w:rFonts w:ascii="Courier New" w:hAnsi="Courier New" w:cs="Courier New" w:hint="default"/>
      </w:rPr>
    </w:lvl>
    <w:lvl w:ilvl="8" w:tplc="CECCE69A" w:tentative="1">
      <w:start w:val="1"/>
      <w:numFmt w:val="bullet"/>
      <w:lvlText w:val=""/>
      <w:lvlJc w:val="left"/>
      <w:pPr>
        <w:tabs>
          <w:tab w:val="num" w:pos="6120"/>
        </w:tabs>
        <w:ind w:left="6120" w:hanging="360"/>
      </w:pPr>
      <w:rPr>
        <w:rFonts w:ascii="Wingdings" w:hAnsi="Wingdings" w:hint="default"/>
      </w:rPr>
    </w:lvl>
  </w:abstractNum>
  <w:abstractNum w:abstractNumId="9">
    <w:nsid w:val="28811E99"/>
    <w:multiLevelType w:val="hybridMultilevel"/>
    <w:tmpl w:val="9752C59E"/>
    <w:lvl w:ilvl="0" w:tplc="1C16C9C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29281A78"/>
    <w:multiLevelType w:val="hybridMultilevel"/>
    <w:tmpl w:val="17B4CA60"/>
    <w:lvl w:ilvl="0" w:tplc="355EA246">
      <w:start w:val="1"/>
      <w:numFmt w:val="decimal"/>
      <w:pStyle w:val="Note"/>
      <w:lvlText w:val="Note %1"/>
      <w:lvlJc w:val="left"/>
      <w:pPr>
        <w:tabs>
          <w:tab w:val="num" w:pos="794"/>
        </w:tabs>
        <w:ind w:left="0" w:firstLine="0"/>
      </w:pPr>
      <w:rPr>
        <w:rFonts w:hint="default"/>
        <w:b w:val="0"/>
        <w:i/>
      </w:rPr>
    </w:lvl>
    <w:lvl w:ilvl="1" w:tplc="0C09000F">
      <w:start w:val="1"/>
      <w:numFmt w:val="decimal"/>
      <w:lvlText w:val="%2."/>
      <w:lvlJc w:val="left"/>
      <w:pPr>
        <w:tabs>
          <w:tab w:val="num" w:pos="2404"/>
        </w:tabs>
        <w:ind w:left="2404" w:hanging="360"/>
      </w:pPr>
      <w:rPr>
        <w:rFonts w:hint="default"/>
        <w:b w:val="0"/>
        <w:i/>
      </w:rPr>
    </w:lvl>
    <w:lvl w:ilvl="2" w:tplc="0C09001B" w:tentative="1">
      <w:start w:val="1"/>
      <w:numFmt w:val="lowerRoman"/>
      <w:lvlText w:val="%3."/>
      <w:lvlJc w:val="right"/>
      <w:pPr>
        <w:tabs>
          <w:tab w:val="num" w:pos="3124"/>
        </w:tabs>
        <w:ind w:left="3124" w:hanging="180"/>
      </w:pPr>
    </w:lvl>
    <w:lvl w:ilvl="3" w:tplc="0C09000F" w:tentative="1">
      <w:start w:val="1"/>
      <w:numFmt w:val="decimal"/>
      <w:lvlText w:val="%4."/>
      <w:lvlJc w:val="left"/>
      <w:pPr>
        <w:tabs>
          <w:tab w:val="num" w:pos="3844"/>
        </w:tabs>
        <w:ind w:left="3844" w:hanging="360"/>
      </w:pPr>
    </w:lvl>
    <w:lvl w:ilvl="4" w:tplc="0C090019" w:tentative="1">
      <w:start w:val="1"/>
      <w:numFmt w:val="lowerLetter"/>
      <w:lvlText w:val="%5."/>
      <w:lvlJc w:val="left"/>
      <w:pPr>
        <w:tabs>
          <w:tab w:val="num" w:pos="4564"/>
        </w:tabs>
        <w:ind w:left="4564" w:hanging="360"/>
      </w:pPr>
    </w:lvl>
    <w:lvl w:ilvl="5" w:tplc="0C09001B" w:tentative="1">
      <w:start w:val="1"/>
      <w:numFmt w:val="lowerRoman"/>
      <w:lvlText w:val="%6."/>
      <w:lvlJc w:val="right"/>
      <w:pPr>
        <w:tabs>
          <w:tab w:val="num" w:pos="5284"/>
        </w:tabs>
        <w:ind w:left="5284" w:hanging="180"/>
      </w:pPr>
    </w:lvl>
    <w:lvl w:ilvl="6" w:tplc="0C09000F" w:tentative="1">
      <w:start w:val="1"/>
      <w:numFmt w:val="decimal"/>
      <w:lvlText w:val="%7."/>
      <w:lvlJc w:val="left"/>
      <w:pPr>
        <w:tabs>
          <w:tab w:val="num" w:pos="6004"/>
        </w:tabs>
        <w:ind w:left="6004" w:hanging="360"/>
      </w:pPr>
    </w:lvl>
    <w:lvl w:ilvl="7" w:tplc="0C090019" w:tentative="1">
      <w:start w:val="1"/>
      <w:numFmt w:val="lowerLetter"/>
      <w:lvlText w:val="%8."/>
      <w:lvlJc w:val="left"/>
      <w:pPr>
        <w:tabs>
          <w:tab w:val="num" w:pos="6724"/>
        </w:tabs>
        <w:ind w:left="6724" w:hanging="360"/>
      </w:pPr>
    </w:lvl>
    <w:lvl w:ilvl="8" w:tplc="0C09001B" w:tentative="1">
      <w:start w:val="1"/>
      <w:numFmt w:val="lowerRoman"/>
      <w:lvlText w:val="%9."/>
      <w:lvlJc w:val="right"/>
      <w:pPr>
        <w:tabs>
          <w:tab w:val="num" w:pos="7444"/>
        </w:tabs>
        <w:ind w:left="7444" w:hanging="180"/>
      </w:pPr>
    </w:lvl>
  </w:abstractNum>
  <w:abstractNum w:abstractNumId="11">
    <w:nsid w:val="2D3A3C0E"/>
    <w:multiLevelType w:val="hybridMultilevel"/>
    <w:tmpl w:val="1F101D86"/>
    <w:lvl w:ilvl="0" w:tplc="73AAD994">
      <w:start w:val="1"/>
      <w:numFmt w:val="lowerLetter"/>
      <w:lvlText w:val="(%1)"/>
      <w:lvlJc w:val="left"/>
      <w:pPr>
        <w:tabs>
          <w:tab w:val="num" w:pos="1134"/>
        </w:tabs>
        <w:ind w:left="1134" w:hanging="567"/>
      </w:pPr>
      <w:rPr>
        <w:rFonts w:hint="default"/>
      </w:rPr>
    </w:lvl>
    <w:lvl w:ilvl="1" w:tplc="DD465C0E">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31001236"/>
    <w:multiLevelType w:val="hybridMultilevel"/>
    <w:tmpl w:val="8F6EE438"/>
    <w:lvl w:ilvl="0" w:tplc="4D3EBF16">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32A76254"/>
    <w:multiLevelType w:val="hybridMultilevel"/>
    <w:tmpl w:val="ECE80C7E"/>
    <w:lvl w:ilvl="0" w:tplc="6EBA54EC">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3551298B"/>
    <w:multiLevelType w:val="hybridMultilevel"/>
    <w:tmpl w:val="E4FC5596"/>
    <w:lvl w:ilvl="0" w:tplc="13E6DDDA">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35AC5079"/>
    <w:multiLevelType w:val="hybridMultilevel"/>
    <w:tmpl w:val="F5D8FE60"/>
    <w:lvl w:ilvl="0" w:tplc="6284EC34">
      <w:start w:val="1"/>
      <w:numFmt w:val="lowerRoman"/>
      <w:lvlText w:val="(%1)"/>
      <w:lvlJc w:val="left"/>
      <w:pPr>
        <w:tabs>
          <w:tab w:val="num" w:pos="1701"/>
        </w:tabs>
        <w:ind w:left="1701"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3B2E0669"/>
    <w:multiLevelType w:val="hybridMultilevel"/>
    <w:tmpl w:val="47784E42"/>
    <w:lvl w:ilvl="0" w:tplc="6D52496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49BA1E7B"/>
    <w:multiLevelType w:val="hybridMultilevel"/>
    <w:tmpl w:val="FD2410BE"/>
    <w:lvl w:ilvl="0" w:tplc="1C3C8798">
      <w:start w:val="1"/>
      <w:numFmt w:val="decimal"/>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4CD72B23"/>
    <w:multiLevelType w:val="hybridMultilevel"/>
    <w:tmpl w:val="0FE6357E"/>
    <w:lvl w:ilvl="0" w:tplc="190AF1AC">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4EC52DCD"/>
    <w:multiLevelType w:val="singleLevel"/>
    <w:tmpl w:val="9D428520"/>
    <w:lvl w:ilvl="0">
      <w:start w:val="1"/>
      <w:numFmt w:val="lowerLetter"/>
      <w:lvlText w:val="(%1)"/>
      <w:lvlJc w:val="left"/>
      <w:pPr>
        <w:tabs>
          <w:tab w:val="num" w:pos="1134"/>
        </w:tabs>
        <w:ind w:left="1134" w:hanging="567"/>
      </w:pPr>
      <w:rPr>
        <w:rFonts w:ascii="Times New Roman" w:hAnsi="Times New Roman" w:hint="default"/>
        <w:b w:val="0"/>
        <w:i w:val="0"/>
        <w:sz w:val="24"/>
        <w:szCs w:val="24"/>
      </w:rPr>
    </w:lvl>
  </w:abstractNum>
  <w:abstractNum w:abstractNumId="20">
    <w:nsid w:val="52636A47"/>
    <w:multiLevelType w:val="hybridMultilevel"/>
    <w:tmpl w:val="C4102A3C"/>
    <w:lvl w:ilvl="0" w:tplc="A6E670BE">
      <w:start w:val="1"/>
      <w:numFmt w:val="bullet"/>
      <w:lvlText w:val=""/>
      <w:lvlJc w:val="left"/>
      <w:pPr>
        <w:tabs>
          <w:tab w:val="num" w:pos="360"/>
        </w:tabs>
        <w:ind w:left="360" w:hanging="360"/>
      </w:pPr>
      <w:rPr>
        <w:rFonts w:ascii="Symbol" w:hAnsi="Symbol" w:hint="default"/>
        <w:sz w:val="20"/>
        <w:szCs w:val="20"/>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1">
    <w:nsid w:val="54B159FF"/>
    <w:multiLevelType w:val="hybridMultilevel"/>
    <w:tmpl w:val="BE404356"/>
    <w:lvl w:ilvl="0" w:tplc="0C1285C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54FF7787"/>
    <w:multiLevelType w:val="multilevel"/>
    <w:tmpl w:val="84F64130"/>
    <w:lvl w:ilvl="0">
      <w:start w:val="1"/>
      <w:numFmt w:val="decimal"/>
      <w:lvlText w:val="%1."/>
      <w:lvlJc w:val="left"/>
      <w:pPr>
        <w:tabs>
          <w:tab w:val="num" w:pos="567"/>
        </w:tabs>
        <w:ind w:left="567" w:hanging="567"/>
      </w:pPr>
      <w:rPr>
        <w:rFonts w:ascii="Times New Roman" w:hAnsi="Times New Roman" w:hint="default"/>
        <w:b w:val="0"/>
        <w:i w:val="0"/>
        <w:sz w:val="26"/>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59BF2C75"/>
    <w:multiLevelType w:val="hybridMultilevel"/>
    <w:tmpl w:val="5A7E12F4"/>
    <w:lvl w:ilvl="0" w:tplc="87463356">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5BDA715C"/>
    <w:multiLevelType w:val="hybridMultilevel"/>
    <w:tmpl w:val="38187064"/>
    <w:lvl w:ilvl="0" w:tplc="60B0A44E">
      <w:start w:val="1"/>
      <w:numFmt w:val="bullet"/>
      <w:pStyle w:val="StyleBodyText13ptCharCharChar"/>
      <w:lvlText w:val=""/>
      <w:lvlJc w:val="left"/>
      <w:pPr>
        <w:tabs>
          <w:tab w:val="num" w:pos="720"/>
        </w:tabs>
        <w:ind w:left="720" w:hanging="360"/>
      </w:pPr>
      <w:rPr>
        <w:rFonts w:ascii="Symbol" w:hAnsi="Symbol" w:hint="default"/>
      </w:rPr>
    </w:lvl>
    <w:lvl w:ilvl="1" w:tplc="E264A6F4" w:tentative="1">
      <w:start w:val="1"/>
      <w:numFmt w:val="bullet"/>
      <w:lvlText w:val="o"/>
      <w:lvlJc w:val="left"/>
      <w:pPr>
        <w:tabs>
          <w:tab w:val="num" w:pos="1440"/>
        </w:tabs>
        <w:ind w:left="1440" w:hanging="360"/>
      </w:pPr>
      <w:rPr>
        <w:rFonts w:ascii="Courier New" w:hAnsi="Courier New" w:cs="Courier New" w:hint="default"/>
      </w:rPr>
    </w:lvl>
    <w:lvl w:ilvl="2" w:tplc="7CE612D4" w:tentative="1">
      <w:start w:val="1"/>
      <w:numFmt w:val="bullet"/>
      <w:lvlText w:val=""/>
      <w:lvlJc w:val="left"/>
      <w:pPr>
        <w:tabs>
          <w:tab w:val="num" w:pos="2160"/>
        </w:tabs>
        <w:ind w:left="2160" w:hanging="360"/>
      </w:pPr>
      <w:rPr>
        <w:rFonts w:ascii="Wingdings" w:hAnsi="Wingdings" w:hint="default"/>
      </w:rPr>
    </w:lvl>
    <w:lvl w:ilvl="3" w:tplc="8FA65562" w:tentative="1">
      <w:start w:val="1"/>
      <w:numFmt w:val="bullet"/>
      <w:lvlText w:val=""/>
      <w:lvlJc w:val="left"/>
      <w:pPr>
        <w:tabs>
          <w:tab w:val="num" w:pos="2880"/>
        </w:tabs>
        <w:ind w:left="2880" w:hanging="360"/>
      </w:pPr>
      <w:rPr>
        <w:rFonts w:ascii="Symbol" w:hAnsi="Symbol" w:hint="default"/>
      </w:rPr>
    </w:lvl>
    <w:lvl w:ilvl="4" w:tplc="EDFA29A4" w:tentative="1">
      <w:start w:val="1"/>
      <w:numFmt w:val="bullet"/>
      <w:lvlText w:val="o"/>
      <w:lvlJc w:val="left"/>
      <w:pPr>
        <w:tabs>
          <w:tab w:val="num" w:pos="3600"/>
        </w:tabs>
        <w:ind w:left="3600" w:hanging="360"/>
      </w:pPr>
      <w:rPr>
        <w:rFonts w:ascii="Courier New" w:hAnsi="Courier New" w:cs="Courier New" w:hint="default"/>
      </w:rPr>
    </w:lvl>
    <w:lvl w:ilvl="5" w:tplc="EB5E0C9A" w:tentative="1">
      <w:start w:val="1"/>
      <w:numFmt w:val="bullet"/>
      <w:lvlText w:val=""/>
      <w:lvlJc w:val="left"/>
      <w:pPr>
        <w:tabs>
          <w:tab w:val="num" w:pos="4320"/>
        </w:tabs>
        <w:ind w:left="4320" w:hanging="360"/>
      </w:pPr>
      <w:rPr>
        <w:rFonts w:ascii="Wingdings" w:hAnsi="Wingdings" w:hint="default"/>
      </w:rPr>
    </w:lvl>
    <w:lvl w:ilvl="6" w:tplc="C40EF152" w:tentative="1">
      <w:start w:val="1"/>
      <w:numFmt w:val="bullet"/>
      <w:lvlText w:val=""/>
      <w:lvlJc w:val="left"/>
      <w:pPr>
        <w:tabs>
          <w:tab w:val="num" w:pos="5040"/>
        </w:tabs>
        <w:ind w:left="5040" w:hanging="360"/>
      </w:pPr>
      <w:rPr>
        <w:rFonts w:ascii="Symbol" w:hAnsi="Symbol" w:hint="default"/>
      </w:rPr>
    </w:lvl>
    <w:lvl w:ilvl="7" w:tplc="86A868CA" w:tentative="1">
      <w:start w:val="1"/>
      <w:numFmt w:val="bullet"/>
      <w:lvlText w:val="o"/>
      <w:lvlJc w:val="left"/>
      <w:pPr>
        <w:tabs>
          <w:tab w:val="num" w:pos="5760"/>
        </w:tabs>
        <w:ind w:left="5760" w:hanging="360"/>
      </w:pPr>
      <w:rPr>
        <w:rFonts w:ascii="Courier New" w:hAnsi="Courier New" w:cs="Courier New" w:hint="default"/>
      </w:rPr>
    </w:lvl>
    <w:lvl w:ilvl="8" w:tplc="925C7688" w:tentative="1">
      <w:start w:val="1"/>
      <w:numFmt w:val="bullet"/>
      <w:lvlText w:val=""/>
      <w:lvlJc w:val="left"/>
      <w:pPr>
        <w:tabs>
          <w:tab w:val="num" w:pos="6480"/>
        </w:tabs>
        <w:ind w:left="6480" w:hanging="360"/>
      </w:pPr>
      <w:rPr>
        <w:rFonts w:ascii="Wingdings" w:hAnsi="Wingdings" w:hint="default"/>
      </w:rPr>
    </w:lvl>
  </w:abstractNum>
  <w:abstractNum w:abstractNumId="25">
    <w:nsid w:val="5CBB422B"/>
    <w:multiLevelType w:val="hybridMultilevel"/>
    <w:tmpl w:val="4BDC8C1C"/>
    <w:lvl w:ilvl="0" w:tplc="6EBA54EC">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62983CC2"/>
    <w:multiLevelType w:val="hybridMultilevel"/>
    <w:tmpl w:val="59B61230"/>
    <w:lvl w:ilvl="0" w:tplc="D6109C5C">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64375CEE"/>
    <w:multiLevelType w:val="hybridMultilevel"/>
    <w:tmpl w:val="E63C224C"/>
    <w:lvl w:ilvl="0" w:tplc="20FA70CC">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65C21588"/>
    <w:multiLevelType w:val="singleLevel"/>
    <w:tmpl w:val="8B26B918"/>
    <w:lvl w:ilvl="0">
      <w:start w:val="1"/>
      <w:numFmt w:val="lowerLetter"/>
      <w:pStyle w:val="Normalalpha"/>
      <w:lvlText w:val="(%1)"/>
      <w:lvlJc w:val="left"/>
      <w:pPr>
        <w:tabs>
          <w:tab w:val="num" w:pos="851"/>
        </w:tabs>
        <w:ind w:left="851" w:hanging="567"/>
      </w:pPr>
      <w:rPr>
        <w:rFonts w:hint="default"/>
      </w:rPr>
    </w:lvl>
  </w:abstractNum>
  <w:abstractNum w:abstractNumId="29">
    <w:nsid w:val="679C1F9B"/>
    <w:multiLevelType w:val="hybridMultilevel"/>
    <w:tmpl w:val="9E162764"/>
    <w:lvl w:ilvl="0" w:tplc="0C090001">
      <w:start w:val="1"/>
      <w:numFmt w:val="lowerLetter"/>
      <w:lvlText w:val="(%1)"/>
      <w:lvlJc w:val="left"/>
      <w:pPr>
        <w:tabs>
          <w:tab w:val="num" w:pos="1134"/>
        </w:tabs>
        <w:ind w:left="1134" w:hanging="567"/>
      </w:pPr>
      <w:rPr>
        <w:rFonts w:hint="default"/>
      </w:rPr>
    </w:lvl>
    <w:lvl w:ilvl="1" w:tplc="0C090003" w:tentative="1">
      <w:start w:val="1"/>
      <w:numFmt w:val="lowerLetter"/>
      <w:lvlText w:val="%2."/>
      <w:lvlJc w:val="left"/>
      <w:pPr>
        <w:tabs>
          <w:tab w:val="num" w:pos="1140"/>
        </w:tabs>
        <w:ind w:left="1140" w:hanging="360"/>
      </w:pPr>
    </w:lvl>
    <w:lvl w:ilvl="2" w:tplc="0C090005" w:tentative="1">
      <w:start w:val="1"/>
      <w:numFmt w:val="lowerRoman"/>
      <w:lvlText w:val="%3."/>
      <w:lvlJc w:val="right"/>
      <w:pPr>
        <w:tabs>
          <w:tab w:val="num" w:pos="1860"/>
        </w:tabs>
        <w:ind w:left="1860" w:hanging="180"/>
      </w:pPr>
    </w:lvl>
    <w:lvl w:ilvl="3" w:tplc="0C090001" w:tentative="1">
      <w:start w:val="1"/>
      <w:numFmt w:val="decimal"/>
      <w:lvlText w:val="%4."/>
      <w:lvlJc w:val="left"/>
      <w:pPr>
        <w:tabs>
          <w:tab w:val="num" w:pos="2580"/>
        </w:tabs>
        <w:ind w:left="2580" w:hanging="360"/>
      </w:pPr>
    </w:lvl>
    <w:lvl w:ilvl="4" w:tplc="0C090003" w:tentative="1">
      <w:start w:val="1"/>
      <w:numFmt w:val="lowerLetter"/>
      <w:lvlText w:val="%5."/>
      <w:lvlJc w:val="left"/>
      <w:pPr>
        <w:tabs>
          <w:tab w:val="num" w:pos="3300"/>
        </w:tabs>
        <w:ind w:left="3300" w:hanging="360"/>
      </w:pPr>
    </w:lvl>
    <w:lvl w:ilvl="5" w:tplc="0C090005" w:tentative="1">
      <w:start w:val="1"/>
      <w:numFmt w:val="lowerRoman"/>
      <w:lvlText w:val="%6."/>
      <w:lvlJc w:val="right"/>
      <w:pPr>
        <w:tabs>
          <w:tab w:val="num" w:pos="4020"/>
        </w:tabs>
        <w:ind w:left="4020" w:hanging="180"/>
      </w:pPr>
    </w:lvl>
    <w:lvl w:ilvl="6" w:tplc="0C090001" w:tentative="1">
      <w:start w:val="1"/>
      <w:numFmt w:val="decimal"/>
      <w:lvlText w:val="%7."/>
      <w:lvlJc w:val="left"/>
      <w:pPr>
        <w:tabs>
          <w:tab w:val="num" w:pos="4740"/>
        </w:tabs>
        <w:ind w:left="4740" w:hanging="360"/>
      </w:pPr>
    </w:lvl>
    <w:lvl w:ilvl="7" w:tplc="0C090003" w:tentative="1">
      <w:start w:val="1"/>
      <w:numFmt w:val="lowerLetter"/>
      <w:lvlText w:val="%8."/>
      <w:lvlJc w:val="left"/>
      <w:pPr>
        <w:tabs>
          <w:tab w:val="num" w:pos="5460"/>
        </w:tabs>
        <w:ind w:left="5460" w:hanging="360"/>
      </w:pPr>
    </w:lvl>
    <w:lvl w:ilvl="8" w:tplc="0C090005" w:tentative="1">
      <w:start w:val="1"/>
      <w:numFmt w:val="lowerRoman"/>
      <w:lvlText w:val="%9."/>
      <w:lvlJc w:val="right"/>
      <w:pPr>
        <w:tabs>
          <w:tab w:val="num" w:pos="6180"/>
        </w:tabs>
        <w:ind w:left="6180" w:hanging="180"/>
      </w:pPr>
    </w:lvl>
  </w:abstractNum>
  <w:abstractNum w:abstractNumId="30">
    <w:nsid w:val="67F26C69"/>
    <w:multiLevelType w:val="hybridMultilevel"/>
    <w:tmpl w:val="04F6A076"/>
    <w:lvl w:ilvl="0" w:tplc="683AE2A4">
      <w:start w:val="1"/>
      <w:numFmt w:val="decimal"/>
      <w:pStyle w:val="ListBullet"/>
      <w:lvlText w:val="%1."/>
      <w:lvlJc w:val="left"/>
      <w:pPr>
        <w:tabs>
          <w:tab w:val="num" w:pos="567"/>
        </w:tabs>
        <w:ind w:left="567" w:hanging="567"/>
      </w:pPr>
      <w:rPr>
        <w:rFonts w:hint="default"/>
        <w:sz w:val="24"/>
        <w:szCs w:val="24"/>
      </w:rPr>
    </w:lvl>
    <w:lvl w:ilvl="1" w:tplc="7E421026">
      <w:start w:val="1"/>
      <w:numFmt w:val="lowerLetter"/>
      <w:lvlText w:val="(%2)"/>
      <w:lvlJc w:val="left"/>
      <w:pPr>
        <w:tabs>
          <w:tab w:val="num" w:pos="1134"/>
        </w:tabs>
        <w:ind w:left="1134" w:hanging="567"/>
      </w:pPr>
      <w:rPr>
        <w:rFonts w:hint="default"/>
        <w:b w:val="0"/>
        <w:i w:val="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6B513EA3"/>
    <w:multiLevelType w:val="hybridMultilevel"/>
    <w:tmpl w:val="5EFA181C"/>
    <w:lvl w:ilvl="0" w:tplc="C366BFA0">
      <w:start w:val="1"/>
      <w:numFmt w:val="decimal"/>
      <w:lvlText w:val="%1."/>
      <w:lvlJc w:val="left"/>
      <w:pPr>
        <w:tabs>
          <w:tab w:val="num" w:pos="567"/>
        </w:tabs>
        <w:ind w:left="567" w:hanging="567"/>
      </w:pPr>
      <w:rPr>
        <w:rFonts w:hint="default"/>
      </w:rPr>
    </w:lvl>
    <w:lvl w:ilvl="1" w:tplc="50900CBC">
      <w:start w:val="1"/>
      <w:numFmt w:val="lowerLetter"/>
      <w:lvlText w:val="(%2)"/>
      <w:lvlJc w:val="left"/>
      <w:pPr>
        <w:tabs>
          <w:tab w:val="num" w:pos="1134"/>
        </w:tabs>
        <w:ind w:left="1134" w:hanging="567"/>
      </w:pPr>
      <w:rPr>
        <w:rFonts w:hint="default"/>
        <w:b w:val="0"/>
        <w:i w:val="0"/>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2">
    <w:nsid w:val="6CBD52B2"/>
    <w:multiLevelType w:val="hybridMultilevel"/>
    <w:tmpl w:val="9DB81C4E"/>
    <w:lvl w:ilvl="0" w:tplc="FAF08E24">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6E7C59A8"/>
    <w:multiLevelType w:val="hybridMultilevel"/>
    <w:tmpl w:val="B12C6004"/>
    <w:lvl w:ilvl="0" w:tplc="F6629A5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nsid w:val="72B96806"/>
    <w:multiLevelType w:val="hybridMultilevel"/>
    <w:tmpl w:val="0762AB7C"/>
    <w:lvl w:ilvl="0" w:tplc="9E886E2A">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73071C4D"/>
    <w:multiLevelType w:val="hybridMultilevel"/>
    <w:tmpl w:val="F81E17D6"/>
    <w:lvl w:ilvl="0" w:tplc="32044736">
      <w:start w:val="1"/>
      <w:numFmt w:val="lowerLetter"/>
      <w:lvlText w:val="(%1)"/>
      <w:lvlJc w:val="left"/>
      <w:pPr>
        <w:tabs>
          <w:tab w:val="num" w:pos="567"/>
        </w:tabs>
        <w:ind w:left="1134" w:hanging="567"/>
      </w:pPr>
      <w:rPr>
        <w:rFonts w:hint="default"/>
        <w:vertAlign w:val="baseli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nsid w:val="77DD1944"/>
    <w:multiLevelType w:val="multilevel"/>
    <w:tmpl w:val="FB0232A0"/>
    <w:lvl w:ilvl="0">
      <w:start w:val="1"/>
      <w:numFmt w:val="decimal"/>
      <w:lvlText w:val="%1."/>
      <w:lvlJc w:val="left"/>
      <w:pPr>
        <w:tabs>
          <w:tab w:val="num" w:pos="567"/>
        </w:tabs>
        <w:ind w:left="567" w:hanging="567"/>
      </w:pPr>
      <w:rPr>
        <w:rFonts w:ascii="Times New Roman" w:hAnsi="Times New Roman" w:hint="default"/>
        <w:b w:val="0"/>
        <w:i w:val="0"/>
        <w:sz w:val="26"/>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787F6F84"/>
    <w:multiLevelType w:val="hybridMultilevel"/>
    <w:tmpl w:val="B8E01860"/>
    <w:lvl w:ilvl="0" w:tplc="6EBA54EC">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nsid w:val="795D35D2"/>
    <w:multiLevelType w:val="hybridMultilevel"/>
    <w:tmpl w:val="5ED0E62E"/>
    <w:lvl w:ilvl="0" w:tplc="119A7D68">
      <w:start w:val="1"/>
      <w:numFmt w:val="lowerLetter"/>
      <w:lvlText w:val="(%1)"/>
      <w:lvlJc w:val="left"/>
      <w:pPr>
        <w:tabs>
          <w:tab w:val="num" w:pos="567"/>
        </w:tabs>
        <w:ind w:left="567" w:hanging="567"/>
      </w:pPr>
      <w:rPr>
        <w:rFonts w:hint="default"/>
      </w:rPr>
    </w:lvl>
    <w:lvl w:ilvl="1" w:tplc="A6E670BE">
      <w:start w:val="1"/>
      <w:numFmt w:val="bullet"/>
      <w:lvlText w:val=""/>
      <w:lvlJc w:val="left"/>
      <w:pPr>
        <w:tabs>
          <w:tab w:val="num" w:pos="1440"/>
        </w:tabs>
        <w:ind w:left="1440" w:hanging="360"/>
      </w:pPr>
      <w:rPr>
        <w:rFonts w:ascii="Symbol" w:hAnsi="Symbol" w:hint="default"/>
      </w:r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39">
    <w:nsid w:val="7A1E2158"/>
    <w:multiLevelType w:val="hybridMultilevel"/>
    <w:tmpl w:val="CA1E5E16"/>
    <w:lvl w:ilvl="0" w:tplc="38406F6E">
      <w:start w:val="1"/>
      <w:numFmt w:val="lowerLetter"/>
      <w:lvlText w:val="(%1)"/>
      <w:lvlJc w:val="left"/>
      <w:pPr>
        <w:tabs>
          <w:tab w:val="num" w:pos="1134"/>
        </w:tabs>
        <w:ind w:left="1134" w:hanging="567"/>
      </w:pPr>
      <w:rPr>
        <w:rFonts w:hint="default"/>
      </w:rPr>
    </w:lvl>
    <w:lvl w:ilvl="1" w:tplc="0C090001"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nsid w:val="7A295892"/>
    <w:multiLevelType w:val="hybridMultilevel"/>
    <w:tmpl w:val="21B21EA0"/>
    <w:lvl w:ilvl="0" w:tplc="8364FD0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41">
    <w:nsid w:val="7AA25B60"/>
    <w:multiLevelType w:val="multilevel"/>
    <w:tmpl w:val="84F64130"/>
    <w:lvl w:ilvl="0">
      <w:start w:val="1"/>
      <w:numFmt w:val="decimal"/>
      <w:lvlText w:val="%1."/>
      <w:lvlJc w:val="left"/>
      <w:pPr>
        <w:tabs>
          <w:tab w:val="num" w:pos="567"/>
        </w:tabs>
        <w:ind w:left="567" w:hanging="567"/>
      </w:pPr>
      <w:rPr>
        <w:rFonts w:ascii="Times New Roman" w:hAnsi="Times New Roman" w:hint="default"/>
        <w:b w:val="0"/>
        <w:i w:val="0"/>
        <w:sz w:val="26"/>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4"/>
  </w:num>
  <w:num w:numId="2">
    <w:abstractNumId w:val="36"/>
  </w:num>
  <w:num w:numId="3">
    <w:abstractNumId w:val="2"/>
  </w:num>
  <w:num w:numId="4">
    <w:abstractNumId w:val="28"/>
  </w:num>
  <w:num w:numId="5">
    <w:abstractNumId w:val="1"/>
  </w:num>
  <w:num w:numId="6">
    <w:abstractNumId w:val="7"/>
  </w:num>
  <w:num w:numId="7">
    <w:abstractNumId w:val="3"/>
  </w:num>
  <w:num w:numId="8">
    <w:abstractNumId w:val="5"/>
  </w:num>
  <w:num w:numId="9">
    <w:abstractNumId w:val="29"/>
  </w:num>
  <w:num w:numId="10">
    <w:abstractNumId w:val="41"/>
  </w:num>
  <w:num w:numId="11">
    <w:abstractNumId w:val="9"/>
  </w:num>
  <w:num w:numId="12">
    <w:abstractNumId w:val="19"/>
  </w:num>
  <w:num w:numId="13">
    <w:abstractNumId w:val="15"/>
  </w:num>
  <w:num w:numId="14">
    <w:abstractNumId w:val="11"/>
  </w:num>
  <w:num w:numId="15">
    <w:abstractNumId w:val="26"/>
  </w:num>
  <w:num w:numId="16">
    <w:abstractNumId w:val="6"/>
  </w:num>
  <w:num w:numId="17">
    <w:abstractNumId w:val="14"/>
  </w:num>
  <w:num w:numId="18">
    <w:abstractNumId w:val="35"/>
  </w:num>
  <w:num w:numId="19">
    <w:abstractNumId w:val="23"/>
  </w:num>
  <w:num w:numId="20">
    <w:abstractNumId w:val="27"/>
  </w:num>
  <w:num w:numId="21">
    <w:abstractNumId w:val="32"/>
  </w:num>
  <w:num w:numId="22">
    <w:abstractNumId w:val="12"/>
  </w:num>
  <w:num w:numId="23">
    <w:abstractNumId w:val="18"/>
  </w:num>
  <w:num w:numId="24">
    <w:abstractNumId w:val="17"/>
  </w:num>
  <w:num w:numId="25">
    <w:abstractNumId w:val="39"/>
  </w:num>
  <w:num w:numId="26">
    <w:abstractNumId w:val="20"/>
  </w:num>
  <w:num w:numId="27">
    <w:abstractNumId w:val="22"/>
  </w:num>
  <w:num w:numId="28">
    <w:abstractNumId w:val="38"/>
  </w:num>
  <w:num w:numId="29">
    <w:abstractNumId w:val="10"/>
  </w:num>
  <w:num w:numId="30">
    <w:abstractNumId w:val="0"/>
  </w:num>
  <w:num w:numId="31">
    <w:abstractNumId w:val="34"/>
  </w:num>
  <w:num w:numId="32">
    <w:abstractNumId w:val="25"/>
  </w:num>
  <w:num w:numId="33">
    <w:abstractNumId w:val="37"/>
  </w:num>
  <w:num w:numId="34">
    <w:abstractNumId w:val="13"/>
  </w:num>
  <w:num w:numId="35">
    <w:abstractNumId w:val="4"/>
  </w:num>
  <w:num w:numId="36">
    <w:abstractNumId w:val="30"/>
  </w:num>
  <w:num w:numId="37">
    <w:abstractNumId w:val="40"/>
  </w:num>
  <w:num w:numId="38">
    <w:abstractNumId w:val="31"/>
  </w:num>
  <w:num w:numId="39">
    <w:abstractNumId w:val="8"/>
  </w:num>
  <w:num w:numId="40">
    <w:abstractNumId w:val="16"/>
  </w:num>
  <w:num w:numId="41">
    <w:abstractNumId w:val="33"/>
  </w:num>
  <w:num w:numId="42">
    <w:abstractNumId w:val="2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spelling="clean"/>
  <w:stylePaneFormatFilter w:val="0004"/>
  <w:defaultTabStop w:val="720"/>
  <w:noPunctuationKerning/>
  <w:characterSpacingControl w:val="doNotCompress"/>
  <w:footnotePr>
    <w:footnote w:id="-1"/>
    <w:footnote w:id="0"/>
  </w:footnotePr>
  <w:endnotePr>
    <w:endnote w:id="-1"/>
    <w:endnote w:id="0"/>
  </w:endnotePr>
  <w:compat/>
  <w:rsids>
    <w:rsidRoot w:val="00652397"/>
    <w:rsid w:val="000001FB"/>
    <w:rsid w:val="000006F1"/>
    <w:rsid w:val="00000701"/>
    <w:rsid w:val="000012C6"/>
    <w:rsid w:val="00002BBA"/>
    <w:rsid w:val="00002DED"/>
    <w:rsid w:val="000060A6"/>
    <w:rsid w:val="0000632B"/>
    <w:rsid w:val="0000788B"/>
    <w:rsid w:val="00012B53"/>
    <w:rsid w:val="00013145"/>
    <w:rsid w:val="000132B6"/>
    <w:rsid w:val="00020320"/>
    <w:rsid w:val="00026BE5"/>
    <w:rsid w:val="00027AAE"/>
    <w:rsid w:val="000316AF"/>
    <w:rsid w:val="000343F8"/>
    <w:rsid w:val="00034A91"/>
    <w:rsid w:val="00035AC2"/>
    <w:rsid w:val="00036665"/>
    <w:rsid w:val="0004116C"/>
    <w:rsid w:val="00041ACD"/>
    <w:rsid w:val="00043219"/>
    <w:rsid w:val="00044189"/>
    <w:rsid w:val="00044FC1"/>
    <w:rsid w:val="000453FA"/>
    <w:rsid w:val="000463E6"/>
    <w:rsid w:val="0004693D"/>
    <w:rsid w:val="00050EEA"/>
    <w:rsid w:val="0005299A"/>
    <w:rsid w:val="00052CE2"/>
    <w:rsid w:val="00052DDA"/>
    <w:rsid w:val="00054D40"/>
    <w:rsid w:val="000564A0"/>
    <w:rsid w:val="00060092"/>
    <w:rsid w:val="00062A8C"/>
    <w:rsid w:val="00063D43"/>
    <w:rsid w:val="00064F01"/>
    <w:rsid w:val="00072360"/>
    <w:rsid w:val="000735F1"/>
    <w:rsid w:val="00074598"/>
    <w:rsid w:val="0007476D"/>
    <w:rsid w:val="00074B33"/>
    <w:rsid w:val="00075C51"/>
    <w:rsid w:val="00075D8A"/>
    <w:rsid w:val="00076BF1"/>
    <w:rsid w:val="000811F2"/>
    <w:rsid w:val="00081477"/>
    <w:rsid w:val="00081DE5"/>
    <w:rsid w:val="00084DA4"/>
    <w:rsid w:val="00085993"/>
    <w:rsid w:val="00090ABD"/>
    <w:rsid w:val="00090D91"/>
    <w:rsid w:val="000929A0"/>
    <w:rsid w:val="00093422"/>
    <w:rsid w:val="00093D0A"/>
    <w:rsid w:val="000947EF"/>
    <w:rsid w:val="000953F8"/>
    <w:rsid w:val="0009748E"/>
    <w:rsid w:val="000A0ADF"/>
    <w:rsid w:val="000A1DD9"/>
    <w:rsid w:val="000A372D"/>
    <w:rsid w:val="000A3D56"/>
    <w:rsid w:val="000A5627"/>
    <w:rsid w:val="000B3D72"/>
    <w:rsid w:val="000C1060"/>
    <w:rsid w:val="000C30A6"/>
    <w:rsid w:val="000C3D12"/>
    <w:rsid w:val="000C58C7"/>
    <w:rsid w:val="000C5D42"/>
    <w:rsid w:val="000D143B"/>
    <w:rsid w:val="000D16CB"/>
    <w:rsid w:val="000D1F51"/>
    <w:rsid w:val="000D2533"/>
    <w:rsid w:val="000D2FE8"/>
    <w:rsid w:val="000D3829"/>
    <w:rsid w:val="000D414F"/>
    <w:rsid w:val="000D534B"/>
    <w:rsid w:val="000D5351"/>
    <w:rsid w:val="000D6CB2"/>
    <w:rsid w:val="000E41A0"/>
    <w:rsid w:val="000E5DB9"/>
    <w:rsid w:val="000F3CC3"/>
    <w:rsid w:val="000F5987"/>
    <w:rsid w:val="000F70B9"/>
    <w:rsid w:val="0010058F"/>
    <w:rsid w:val="00103CB3"/>
    <w:rsid w:val="00103E78"/>
    <w:rsid w:val="00107326"/>
    <w:rsid w:val="001101CD"/>
    <w:rsid w:val="00110AE1"/>
    <w:rsid w:val="001133C8"/>
    <w:rsid w:val="00115597"/>
    <w:rsid w:val="00122E93"/>
    <w:rsid w:val="00123776"/>
    <w:rsid w:val="0012630B"/>
    <w:rsid w:val="00126C4F"/>
    <w:rsid w:val="00127D37"/>
    <w:rsid w:val="0013248D"/>
    <w:rsid w:val="001328F1"/>
    <w:rsid w:val="00144279"/>
    <w:rsid w:val="00145A5E"/>
    <w:rsid w:val="00145AE5"/>
    <w:rsid w:val="00146D87"/>
    <w:rsid w:val="00147246"/>
    <w:rsid w:val="00150365"/>
    <w:rsid w:val="0015189A"/>
    <w:rsid w:val="00152C6E"/>
    <w:rsid w:val="00152CAE"/>
    <w:rsid w:val="00153627"/>
    <w:rsid w:val="00154066"/>
    <w:rsid w:val="00156B45"/>
    <w:rsid w:val="00156BD5"/>
    <w:rsid w:val="00164EA6"/>
    <w:rsid w:val="001676AD"/>
    <w:rsid w:val="00167837"/>
    <w:rsid w:val="001700D8"/>
    <w:rsid w:val="00172A95"/>
    <w:rsid w:val="001743B7"/>
    <w:rsid w:val="00174779"/>
    <w:rsid w:val="001754E9"/>
    <w:rsid w:val="0017595E"/>
    <w:rsid w:val="00177C94"/>
    <w:rsid w:val="00182113"/>
    <w:rsid w:val="00182132"/>
    <w:rsid w:val="0018316D"/>
    <w:rsid w:val="00185779"/>
    <w:rsid w:val="00186B13"/>
    <w:rsid w:val="00194E8A"/>
    <w:rsid w:val="0019558B"/>
    <w:rsid w:val="001A17D3"/>
    <w:rsid w:val="001A1F36"/>
    <w:rsid w:val="001A2581"/>
    <w:rsid w:val="001A32DD"/>
    <w:rsid w:val="001A3601"/>
    <w:rsid w:val="001A5508"/>
    <w:rsid w:val="001A5896"/>
    <w:rsid w:val="001B152D"/>
    <w:rsid w:val="001B1B9D"/>
    <w:rsid w:val="001B42E5"/>
    <w:rsid w:val="001B4657"/>
    <w:rsid w:val="001C2836"/>
    <w:rsid w:val="001C3FE1"/>
    <w:rsid w:val="001C6CA9"/>
    <w:rsid w:val="001D4F00"/>
    <w:rsid w:val="001D4F04"/>
    <w:rsid w:val="001E0C0F"/>
    <w:rsid w:val="001E0D8C"/>
    <w:rsid w:val="001E223D"/>
    <w:rsid w:val="001E4B19"/>
    <w:rsid w:val="001E5D24"/>
    <w:rsid w:val="001E709E"/>
    <w:rsid w:val="001F17D5"/>
    <w:rsid w:val="001F1811"/>
    <w:rsid w:val="001F57FC"/>
    <w:rsid w:val="001F612C"/>
    <w:rsid w:val="001F7F87"/>
    <w:rsid w:val="002005CD"/>
    <w:rsid w:val="002015BA"/>
    <w:rsid w:val="00202158"/>
    <w:rsid w:val="00203BFF"/>
    <w:rsid w:val="0020558E"/>
    <w:rsid w:val="002067B0"/>
    <w:rsid w:val="00206C02"/>
    <w:rsid w:val="002124DC"/>
    <w:rsid w:val="002154C4"/>
    <w:rsid w:val="002170D2"/>
    <w:rsid w:val="00217B7E"/>
    <w:rsid w:val="00223B41"/>
    <w:rsid w:val="00224B39"/>
    <w:rsid w:val="00225450"/>
    <w:rsid w:val="00226237"/>
    <w:rsid w:val="002307A8"/>
    <w:rsid w:val="00232E37"/>
    <w:rsid w:val="002335CE"/>
    <w:rsid w:val="002336EA"/>
    <w:rsid w:val="0023599C"/>
    <w:rsid w:val="00237649"/>
    <w:rsid w:val="00237F6B"/>
    <w:rsid w:val="002422AA"/>
    <w:rsid w:val="00242444"/>
    <w:rsid w:val="002425B5"/>
    <w:rsid w:val="0024443C"/>
    <w:rsid w:val="00245DF1"/>
    <w:rsid w:val="0024660D"/>
    <w:rsid w:val="00247F83"/>
    <w:rsid w:val="00250A16"/>
    <w:rsid w:val="00251CAC"/>
    <w:rsid w:val="00252C26"/>
    <w:rsid w:val="00253B2E"/>
    <w:rsid w:val="0025566A"/>
    <w:rsid w:val="002568A4"/>
    <w:rsid w:val="00256ACD"/>
    <w:rsid w:val="00256EEF"/>
    <w:rsid w:val="00260274"/>
    <w:rsid w:val="0026145C"/>
    <w:rsid w:val="00261A31"/>
    <w:rsid w:val="00262917"/>
    <w:rsid w:val="00263C63"/>
    <w:rsid w:val="00266BEB"/>
    <w:rsid w:val="00267725"/>
    <w:rsid w:val="00270267"/>
    <w:rsid w:val="00270BFC"/>
    <w:rsid w:val="00272341"/>
    <w:rsid w:val="002730F6"/>
    <w:rsid w:val="002748F0"/>
    <w:rsid w:val="002762C2"/>
    <w:rsid w:val="0027683C"/>
    <w:rsid w:val="0028478B"/>
    <w:rsid w:val="00291BEC"/>
    <w:rsid w:val="00292B90"/>
    <w:rsid w:val="0029394C"/>
    <w:rsid w:val="002A2E9E"/>
    <w:rsid w:val="002B07A9"/>
    <w:rsid w:val="002B09F8"/>
    <w:rsid w:val="002B0C05"/>
    <w:rsid w:val="002B0C28"/>
    <w:rsid w:val="002B2F6D"/>
    <w:rsid w:val="002B526C"/>
    <w:rsid w:val="002B74BB"/>
    <w:rsid w:val="002B75AE"/>
    <w:rsid w:val="002C0737"/>
    <w:rsid w:val="002C0B6B"/>
    <w:rsid w:val="002C1154"/>
    <w:rsid w:val="002C2087"/>
    <w:rsid w:val="002C2106"/>
    <w:rsid w:val="002C38D5"/>
    <w:rsid w:val="002C40FE"/>
    <w:rsid w:val="002C4284"/>
    <w:rsid w:val="002C4367"/>
    <w:rsid w:val="002C739B"/>
    <w:rsid w:val="002C7DFC"/>
    <w:rsid w:val="002D0FDF"/>
    <w:rsid w:val="002D1D0F"/>
    <w:rsid w:val="002D2F1E"/>
    <w:rsid w:val="002E0334"/>
    <w:rsid w:val="002E092C"/>
    <w:rsid w:val="002E1191"/>
    <w:rsid w:val="002E3466"/>
    <w:rsid w:val="002E74BD"/>
    <w:rsid w:val="002E7DA9"/>
    <w:rsid w:val="002F2BDB"/>
    <w:rsid w:val="002F6713"/>
    <w:rsid w:val="002F6CE1"/>
    <w:rsid w:val="002F7CF3"/>
    <w:rsid w:val="00300D1E"/>
    <w:rsid w:val="0030751E"/>
    <w:rsid w:val="00312DAC"/>
    <w:rsid w:val="00313DBF"/>
    <w:rsid w:val="00313FFB"/>
    <w:rsid w:val="00314D43"/>
    <w:rsid w:val="0031509D"/>
    <w:rsid w:val="003239C1"/>
    <w:rsid w:val="00324E19"/>
    <w:rsid w:val="00331FA5"/>
    <w:rsid w:val="0033688B"/>
    <w:rsid w:val="0034097F"/>
    <w:rsid w:val="00341AD2"/>
    <w:rsid w:val="0034212B"/>
    <w:rsid w:val="003426FD"/>
    <w:rsid w:val="003451CA"/>
    <w:rsid w:val="00350389"/>
    <w:rsid w:val="003508F6"/>
    <w:rsid w:val="00352C5A"/>
    <w:rsid w:val="003532DF"/>
    <w:rsid w:val="00353778"/>
    <w:rsid w:val="003543EE"/>
    <w:rsid w:val="003565E3"/>
    <w:rsid w:val="00356B1D"/>
    <w:rsid w:val="00357563"/>
    <w:rsid w:val="00357B2C"/>
    <w:rsid w:val="00361DCC"/>
    <w:rsid w:val="003625D5"/>
    <w:rsid w:val="00363046"/>
    <w:rsid w:val="0036504A"/>
    <w:rsid w:val="00366CB2"/>
    <w:rsid w:val="00372169"/>
    <w:rsid w:val="00372A7C"/>
    <w:rsid w:val="00373035"/>
    <w:rsid w:val="003733CD"/>
    <w:rsid w:val="00374BDF"/>
    <w:rsid w:val="00381103"/>
    <w:rsid w:val="0038471A"/>
    <w:rsid w:val="003872FB"/>
    <w:rsid w:val="00390842"/>
    <w:rsid w:val="00391FCB"/>
    <w:rsid w:val="00392081"/>
    <w:rsid w:val="003922E6"/>
    <w:rsid w:val="00395EC6"/>
    <w:rsid w:val="0039600D"/>
    <w:rsid w:val="003962F0"/>
    <w:rsid w:val="003971DB"/>
    <w:rsid w:val="003B0050"/>
    <w:rsid w:val="003B11CE"/>
    <w:rsid w:val="003B2F7F"/>
    <w:rsid w:val="003B44B7"/>
    <w:rsid w:val="003B44BB"/>
    <w:rsid w:val="003B471E"/>
    <w:rsid w:val="003B5CC4"/>
    <w:rsid w:val="003B6C91"/>
    <w:rsid w:val="003B7D59"/>
    <w:rsid w:val="003C061E"/>
    <w:rsid w:val="003C2175"/>
    <w:rsid w:val="003C3A30"/>
    <w:rsid w:val="003C4060"/>
    <w:rsid w:val="003C4B86"/>
    <w:rsid w:val="003C5693"/>
    <w:rsid w:val="003C5F33"/>
    <w:rsid w:val="003C69B2"/>
    <w:rsid w:val="003C7151"/>
    <w:rsid w:val="003D0144"/>
    <w:rsid w:val="003D1600"/>
    <w:rsid w:val="003D3B35"/>
    <w:rsid w:val="003D49C1"/>
    <w:rsid w:val="003E0CA2"/>
    <w:rsid w:val="003E57F5"/>
    <w:rsid w:val="003E594B"/>
    <w:rsid w:val="003F0C85"/>
    <w:rsid w:val="003F4B7F"/>
    <w:rsid w:val="003F64CA"/>
    <w:rsid w:val="003F7010"/>
    <w:rsid w:val="00400BA1"/>
    <w:rsid w:val="00402655"/>
    <w:rsid w:val="00402815"/>
    <w:rsid w:val="00402D88"/>
    <w:rsid w:val="004031D0"/>
    <w:rsid w:val="00407B34"/>
    <w:rsid w:val="00407F60"/>
    <w:rsid w:val="00412268"/>
    <w:rsid w:val="00412722"/>
    <w:rsid w:val="00412AD2"/>
    <w:rsid w:val="00412C6A"/>
    <w:rsid w:val="0041659A"/>
    <w:rsid w:val="00416C8F"/>
    <w:rsid w:val="0041789B"/>
    <w:rsid w:val="004215FA"/>
    <w:rsid w:val="00422F01"/>
    <w:rsid w:val="004250EB"/>
    <w:rsid w:val="00427878"/>
    <w:rsid w:val="00427ABF"/>
    <w:rsid w:val="00427C9B"/>
    <w:rsid w:val="00427E99"/>
    <w:rsid w:val="00431D9B"/>
    <w:rsid w:val="00433AA3"/>
    <w:rsid w:val="0043434F"/>
    <w:rsid w:val="00435466"/>
    <w:rsid w:val="004356E3"/>
    <w:rsid w:val="00440463"/>
    <w:rsid w:val="00443C5C"/>
    <w:rsid w:val="004443DA"/>
    <w:rsid w:val="004444CF"/>
    <w:rsid w:val="004445D9"/>
    <w:rsid w:val="00444F1A"/>
    <w:rsid w:val="004453D4"/>
    <w:rsid w:val="0045053A"/>
    <w:rsid w:val="0045299B"/>
    <w:rsid w:val="0045302F"/>
    <w:rsid w:val="004545C7"/>
    <w:rsid w:val="00455F96"/>
    <w:rsid w:val="00457CFC"/>
    <w:rsid w:val="0046059E"/>
    <w:rsid w:val="00465670"/>
    <w:rsid w:val="004663EC"/>
    <w:rsid w:val="00466CAD"/>
    <w:rsid w:val="00475E62"/>
    <w:rsid w:val="00477502"/>
    <w:rsid w:val="00477634"/>
    <w:rsid w:val="004829FC"/>
    <w:rsid w:val="00484A58"/>
    <w:rsid w:val="00487581"/>
    <w:rsid w:val="0049309D"/>
    <w:rsid w:val="004937F0"/>
    <w:rsid w:val="00493C4B"/>
    <w:rsid w:val="00494A66"/>
    <w:rsid w:val="0049575E"/>
    <w:rsid w:val="004A3106"/>
    <w:rsid w:val="004A33FA"/>
    <w:rsid w:val="004A40AC"/>
    <w:rsid w:val="004A4D25"/>
    <w:rsid w:val="004B2E7E"/>
    <w:rsid w:val="004B39B0"/>
    <w:rsid w:val="004B6E00"/>
    <w:rsid w:val="004B75AE"/>
    <w:rsid w:val="004C03E1"/>
    <w:rsid w:val="004C358E"/>
    <w:rsid w:val="004C5E80"/>
    <w:rsid w:val="004C6D50"/>
    <w:rsid w:val="004C72AA"/>
    <w:rsid w:val="004D2C33"/>
    <w:rsid w:val="004D6972"/>
    <w:rsid w:val="004D7462"/>
    <w:rsid w:val="004E1AFC"/>
    <w:rsid w:val="004E228B"/>
    <w:rsid w:val="004E30FD"/>
    <w:rsid w:val="004E3B8F"/>
    <w:rsid w:val="004E4082"/>
    <w:rsid w:val="004E55B8"/>
    <w:rsid w:val="004E65CC"/>
    <w:rsid w:val="004E725B"/>
    <w:rsid w:val="004E73E1"/>
    <w:rsid w:val="004E7DA3"/>
    <w:rsid w:val="004F11CF"/>
    <w:rsid w:val="004F54F9"/>
    <w:rsid w:val="0050064C"/>
    <w:rsid w:val="00501F04"/>
    <w:rsid w:val="0050365A"/>
    <w:rsid w:val="005036C4"/>
    <w:rsid w:val="00511401"/>
    <w:rsid w:val="00514166"/>
    <w:rsid w:val="005141F3"/>
    <w:rsid w:val="0051493E"/>
    <w:rsid w:val="0052058C"/>
    <w:rsid w:val="0052160C"/>
    <w:rsid w:val="00521650"/>
    <w:rsid w:val="00521DDF"/>
    <w:rsid w:val="00522267"/>
    <w:rsid w:val="00524A9E"/>
    <w:rsid w:val="005271E2"/>
    <w:rsid w:val="005279B9"/>
    <w:rsid w:val="00527E5F"/>
    <w:rsid w:val="00531324"/>
    <w:rsid w:val="005372D9"/>
    <w:rsid w:val="00537E71"/>
    <w:rsid w:val="00540C7C"/>
    <w:rsid w:val="00541794"/>
    <w:rsid w:val="005432DA"/>
    <w:rsid w:val="00543D95"/>
    <w:rsid w:val="00544D9B"/>
    <w:rsid w:val="005452A4"/>
    <w:rsid w:val="005513FA"/>
    <w:rsid w:val="005563B5"/>
    <w:rsid w:val="00556B58"/>
    <w:rsid w:val="00557583"/>
    <w:rsid w:val="005603B9"/>
    <w:rsid w:val="00560C5A"/>
    <w:rsid w:val="00560EEF"/>
    <w:rsid w:val="00561618"/>
    <w:rsid w:val="00561C97"/>
    <w:rsid w:val="0056325A"/>
    <w:rsid w:val="00564FCD"/>
    <w:rsid w:val="005650B4"/>
    <w:rsid w:val="00565479"/>
    <w:rsid w:val="0056621E"/>
    <w:rsid w:val="0056756A"/>
    <w:rsid w:val="0057078E"/>
    <w:rsid w:val="00570F7F"/>
    <w:rsid w:val="0057169E"/>
    <w:rsid w:val="00574729"/>
    <w:rsid w:val="00575342"/>
    <w:rsid w:val="005777F9"/>
    <w:rsid w:val="0058004F"/>
    <w:rsid w:val="00582C75"/>
    <w:rsid w:val="00584B93"/>
    <w:rsid w:val="00586C80"/>
    <w:rsid w:val="00592B8B"/>
    <w:rsid w:val="00592E09"/>
    <w:rsid w:val="00593AA6"/>
    <w:rsid w:val="00594C9D"/>
    <w:rsid w:val="005964C7"/>
    <w:rsid w:val="005A0D43"/>
    <w:rsid w:val="005A0D8F"/>
    <w:rsid w:val="005A2617"/>
    <w:rsid w:val="005A43AB"/>
    <w:rsid w:val="005A459F"/>
    <w:rsid w:val="005A51D5"/>
    <w:rsid w:val="005B0136"/>
    <w:rsid w:val="005B096E"/>
    <w:rsid w:val="005B0DC8"/>
    <w:rsid w:val="005B3875"/>
    <w:rsid w:val="005B3DAE"/>
    <w:rsid w:val="005B4EAB"/>
    <w:rsid w:val="005C2366"/>
    <w:rsid w:val="005C421E"/>
    <w:rsid w:val="005C495B"/>
    <w:rsid w:val="005C50F5"/>
    <w:rsid w:val="005C652B"/>
    <w:rsid w:val="005C75EC"/>
    <w:rsid w:val="005C7F43"/>
    <w:rsid w:val="005D0F9E"/>
    <w:rsid w:val="005D1573"/>
    <w:rsid w:val="005D157E"/>
    <w:rsid w:val="005D18C0"/>
    <w:rsid w:val="005D3A39"/>
    <w:rsid w:val="005D3B20"/>
    <w:rsid w:val="005D46FD"/>
    <w:rsid w:val="005D76A9"/>
    <w:rsid w:val="005E0B1D"/>
    <w:rsid w:val="005E15F3"/>
    <w:rsid w:val="005E5394"/>
    <w:rsid w:val="005E713F"/>
    <w:rsid w:val="005F1723"/>
    <w:rsid w:val="005F1AD3"/>
    <w:rsid w:val="005F335D"/>
    <w:rsid w:val="005F4134"/>
    <w:rsid w:val="005F450A"/>
    <w:rsid w:val="005F54AC"/>
    <w:rsid w:val="005F7852"/>
    <w:rsid w:val="00606249"/>
    <w:rsid w:val="00612A85"/>
    <w:rsid w:val="006148E6"/>
    <w:rsid w:val="006240AF"/>
    <w:rsid w:val="006245E9"/>
    <w:rsid w:val="0062580A"/>
    <w:rsid w:val="00625D6C"/>
    <w:rsid w:val="0062609B"/>
    <w:rsid w:val="00627026"/>
    <w:rsid w:val="00627A56"/>
    <w:rsid w:val="00630801"/>
    <w:rsid w:val="00630A7A"/>
    <w:rsid w:val="00630B04"/>
    <w:rsid w:val="00634F6B"/>
    <w:rsid w:val="00634FF0"/>
    <w:rsid w:val="0064061C"/>
    <w:rsid w:val="0064193B"/>
    <w:rsid w:val="00644801"/>
    <w:rsid w:val="00647DBB"/>
    <w:rsid w:val="00652397"/>
    <w:rsid w:val="00654BAA"/>
    <w:rsid w:val="006552F8"/>
    <w:rsid w:val="006557B3"/>
    <w:rsid w:val="0065769D"/>
    <w:rsid w:val="0066080A"/>
    <w:rsid w:val="00661E15"/>
    <w:rsid w:val="00662A2E"/>
    <w:rsid w:val="0066373B"/>
    <w:rsid w:val="00666C91"/>
    <w:rsid w:val="006745B6"/>
    <w:rsid w:val="00677130"/>
    <w:rsid w:val="0068132E"/>
    <w:rsid w:val="00681AAD"/>
    <w:rsid w:val="00682619"/>
    <w:rsid w:val="006829CB"/>
    <w:rsid w:val="00682B20"/>
    <w:rsid w:val="00683C54"/>
    <w:rsid w:val="00684C1E"/>
    <w:rsid w:val="00684D95"/>
    <w:rsid w:val="00685B87"/>
    <w:rsid w:val="0068708E"/>
    <w:rsid w:val="006902A2"/>
    <w:rsid w:val="00693D49"/>
    <w:rsid w:val="00694B04"/>
    <w:rsid w:val="0069572C"/>
    <w:rsid w:val="00696B1A"/>
    <w:rsid w:val="006A6444"/>
    <w:rsid w:val="006B05A9"/>
    <w:rsid w:val="006B0D4B"/>
    <w:rsid w:val="006B20BB"/>
    <w:rsid w:val="006B268C"/>
    <w:rsid w:val="006B3C1A"/>
    <w:rsid w:val="006B44E5"/>
    <w:rsid w:val="006B6DE8"/>
    <w:rsid w:val="006C222D"/>
    <w:rsid w:val="006C23CD"/>
    <w:rsid w:val="006C4D3A"/>
    <w:rsid w:val="006C6BF2"/>
    <w:rsid w:val="006D0CCD"/>
    <w:rsid w:val="006D139C"/>
    <w:rsid w:val="006D4D86"/>
    <w:rsid w:val="006D64A2"/>
    <w:rsid w:val="006D7A3A"/>
    <w:rsid w:val="006D7D0B"/>
    <w:rsid w:val="006E0DFC"/>
    <w:rsid w:val="006E0E3E"/>
    <w:rsid w:val="006E392E"/>
    <w:rsid w:val="006E4488"/>
    <w:rsid w:val="006E6181"/>
    <w:rsid w:val="006E6315"/>
    <w:rsid w:val="006E769C"/>
    <w:rsid w:val="006E771E"/>
    <w:rsid w:val="006F0CFE"/>
    <w:rsid w:val="006F2036"/>
    <w:rsid w:val="006F34F2"/>
    <w:rsid w:val="006F47BF"/>
    <w:rsid w:val="006F654A"/>
    <w:rsid w:val="0070419F"/>
    <w:rsid w:val="00704569"/>
    <w:rsid w:val="00706751"/>
    <w:rsid w:val="00707B6B"/>
    <w:rsid w:val="00710451"/>
    <w:rsid w:val="00712CFC"/>
    <w:rsid w:val="007151D4"/>
    <w:rsid w:val="00715F69"/>
    <w:rsid w:val="00720BE2"/>
    <w:rsid w:val="00720FCE"/>
    <w:rsid w:val="0072195F"/>
    <w:rsid w:val="00723860"/>
    <w:rsid w:val="00723DF3"/>
    <w:rsid w:val="00725C36"/>
    <w:rsid w:val="00730A46"/>
    <w:rsid w:val="00731007"/>
    <w:rsid w:val="00731FD9"/>
    <w:rsid w:val="0073263D"/>
    <w:rsid w:val="00732DF4"/>
    <w:rsid w:val="007333B4"/>
    <w:rsid w:val="00733968"/>
    <w:rsid w:val="00734220"/>
    <w:rsid w:val="00734E4F"/>
    <w:rsid w:val="007356E1"/>
    <w:rsid w:val="00736914"/>
    <w:rsid w:val="007415FF"/>
    <w:rsid w:val="00741D70"/>
    <w:rsid w:val="0074503B"/>
    <w:rsid w:val="00746998"/>
    <w:rsid w:val="007475CE"/>
    <w:rsid w:val="0074785E"/>
    <w:rsid w:val="00753F69"/>
    <w:rsid w:val="00761DC6"/>
    <w:rsid w:val="0076327D"/>
    <w:rsid w:val="00765A06"/>
    <w:rsid w:val="00767819"/>
    <w:rsid w:val="0076782A"/>
    <w:rsid w:val="0077310D"/>
    <w:rsid w:val="00774848"/>
    <w:rsid w:val="00775243"/>
    <w:rsid w:val="00775476"/>
    <w:rsid w:val="007758C0"/>
    <w:rsid w:val="00777196"/>
    <w:rsid w:val="00777619"/>
    <w:rsid w:val="0078032F"/>
    <w:rsid w:val="007815D5"/>
    <w:rsid w:val="00781863"/>
    <w:rsid w:val="00781AD5"/>
    <w:rsid w:val="007824AF"/>
    <w:rsid w:val="007825CF"/>
    <w:rsid w:val="00784DAC"/>
    <w:rsid w:val="00787B1E"/>
    <w:rsid w:val="0079087B"/>
    <w:rsid w:val="007914E9"/>
    <w:rsid w:val="00791CEE"/>
    <w:rsid w:val="00792470"/>
    <w:rsid w:val="00793DBF"/>
    <w:rsid w:val="00797862"/>
    <w:rsid w:val="007A22BC"/>
    <w:rsid w:val="007A3A09"/>
    <w:rsid w:val="007A4A40"/>
    <w:rsid w:val="007A4D37"/>
    <w:rsid w:val="007A63A4"/>
    <w:rsid w:val="007A6F3B"/>
    <w:rsid w:val="007A6F9B"/>
    <w:rsid w:val="007B01E5"/>
    <w:rsid w:val="007B1B91"/>
    <w:rsid w:val="007B2861"/>
    <w:rsid w:val="007B3B18"/>
    <w:rsid w:val="007B5098"/>
    <w:rsid w:val="007B6E5A"/>
    <w:rsid w:val="007B77AA"/>
    <w:rsid w:val="007C1AA8"/>
    <w:rsid w:val="007C4539"/>
    <w:rsid w:val="007C55B2"/>
    <w:rsid w:val="007C62D8"/>
    <w:rsid w:val="007D0558"/>
    <w:rsid w:val="007D477C"/>
    <w:rsid w:val="007D5123"/>
    <w:rsid w:val="007D553A"/>
    <w:rsid w:val="007E0EFB"/>
    <w:rsid w:val="007E14F5"/>
    <w:rsid w:val="007E213B"/>
    <w:rsid w:val="007E28F1"/>
    <w:rsid w:val="007E2E01"/>
    <w:rsid w:val="007E694D"/>
    <w:rsid w:val="007F03E6"/>
    <w:rsid w:val="007F4802"/>
    <w:rsid w:val="007F5A7C"/>
    <w:rsid w:val="007F6A31"/>
    <w:rsid w:val="007F7E7D"/>
    <w:rsid w:val="00801267"/>
    <w:rsid w:val="00806D50"/>
    <w:rsid w:val="00807353"/>
    <w:rsid w:val="00811D3B"/>
    <w:rsid w:val="008142FE"/>
    <w:rsid w:val="0081503F"/>
    <w:rsid w:val="00820B2C"/>
    <w:rsid w:val="00821069"/>
    <w:rsid w:val="0082209B"/>
    <w:rsid w:val="0082214E"/>
    <w:rsid w:val="00823157"/>
    <w:rsid w:val="00824FC0"/>
    <w:rsid w:val="00825E0E"/>
    <w:rsid w:val="00830D9C"/>
    <w:rsid w:val="00833239"/>
    <w:rsid w:val="00834CC2"/>
    <w:rsid w:val="00835D2E"/>
    <w:rsid w:val="008361B8"/>
    <w:rsid w:val="008367D0"/>
    <w:rsid w:val="00836D32"/>
    <w:rsid w:val="00843AC9"/>
    <w:rsid w:val="008473F7"/>
    <w:rsid w:val="00847615"/>
    <w:rsid w:val="00853F76"/>
    <w:rsid w:val="00854640"/>
    <w:rsid w:val="0085496F"/>
    <w:rsid w:val="008564AB"/>
    <w:rsid w:val="0086482C"/>
    <w:rsid w:val="008648B5"/>
    <w:rsid w:val="00864D3B"/>
    <w:rsid w:val="00865AD9"/>
    <w:rsid w:val="008666A6"/>
    <w:rsid w:val="00866C19"/>
    <w:rsid w:val="00867D2D"/>
    <w:rsid w:val="00867D63"/>
    <w:rsid w:val="008758A7"/>
    <w:rsid w:val="008773AA"/>
    <w:rsid w:val="0088097F"/>
    <w:rsid w:val="00884876"/>
    <w:rsid w:val="008868CC"/>
    <w:rsid w:val="00887D80"/>
    <w:rsid w:val="00890A59"/>
    <w:rsid w:val="008922E7"/>
    <w:rsid w:val="0089322D"/>
    <w:rsid w:val="00895857"/>
    <w:rsid w:val="008968BA"/>
    <w:rsid w:val="00897114"/>
    <w:rsid w:val="008A053E"/>
    <w:rsid w:val="008A07A9"/>
    <w:rsid w:val="008A129A"/>
    <w:rsid w:val="008A1678"/>
    <w:rsid w:val="008A2B39"/>
    <w:rsid w:val="008A3865"/>
    <w:rsid w:val="008A7A1E"/>
    <w:rsid w:val="008A7C51"/>
    <w:rsid w:val="008B28A2"/>
    <w:rsid w:val="008B4D83"/>
    <w:rsid w:val="008B63A1"/>
    <w:rsid w:val="008B649B"/>
    <w:rsid w:val="008B70F7"/>
    <w:rsid w:val="008B7B5C"/>
    <w:rsid w:val="008C0B42"/>
    <w:rsid w:val="008C0BA8"/>
    <w:rsid w:val="008C0CE1"/>
    <w:rsid w:val="008C39B4"/>
    <w:rsid w:val="008C463E"/>
    <w:rsid w:val="008C77DB"/>
    <w:rsid w:val="008C7AFB"/>
    <w:rsid w:val="008D7252"/>
    <w:rsid w:val="008E1C1A"/>
    <w:rsid w:val="008E23A4"/>
    <w:rsid w:val="008E23BE"/>
    <w:rsid w:val="008E2DDF"/>
    <w:rsid w:val="008E374E"/>
    <w:rsid w:val="008E38A5"/>
    <w:rsid w:val="008E4B6D"/>
    <w:rsid w:val="008E4F70"/>
    <w:rsid w:val="008E5FDE"/>
    <w:rsid w:val="008E619A"/>
    <w:rsid w:val="008E76B8"/>
    <w:rsid w:val="008F0247"/>
    <w:rsid w:val="008F0E6F"/>
    <w:rsid w:val="008F2CE1"/>
    <w:rsid w:val="008F48D1"/>
    <w:rsid w:val="008F6C1F"/>
    <w:rsid w:val="008F6D76"/>
    <w:rsid w:val="009018B4"/>
    <w:rsid w:val="00901BB9"/>
    <w:rsid w:val="00901C19"/>
    <w:rsid w:val="009021BE"/>
    <w:rsid w:val="00902C9F"/>
    <w:rsid w:val="009064D0"/>
    <w:rsid w:val="00906FA9"/>
    <w:rsid w:val="00913087"/>
    <w:rsid w:val="00914191"/>
    <w:rsid w:val="0091522F"/>
    <w:rsid w:val="00915753"/>
    <w:rsid w:val="00917C77"/>
    <w:rsid w:val="009223A5"/>
    <w:rsid w:val="00923CE8"/>
    <w:rsid w:val="00924740"/>
    <w:rsid w:val="00924E22"/>
    <w:rsid w:val="009273E1"/>
    <w:rsid w:val="00931845"/>
    <w:rsid w:val="00931FEB"/>
    <w:rsid w:val="00932924"/>
    <w:rsid w:val="00934366"/>
    <w:rsid w:val="0093762A"/>
    <w:rsid w:val="00940DE2"/>
    <w:rsid w:val="00941A58"/>
    <w:rsid w:val="00941F86"/>
    <w:rsid w:val="009433C1"/>
    <w:rsid w:val="00947B12"/>
    <w:rsid w:val="00947C45"/>
    <w:rsid w:val="009500DA"/>
    <w:rsid w:val="00951CD0"/>
    <w:rsid w:val="00953B2D"/>
    <w:rsid w:val="0095561D"/>
    <w:rsid w:val="00960499"/>
    <w:rsid w:val="00960A77"/>
    <w:rsid w:val="00964AE6"/>
    <w:rsid w:val="00964EAD"/>
    <w:rsid w:val="00965991"/>
    <w:rsid w:val="0096682A"/>
    <w:rsid w:val="00967A88"/>
    <w:rsid w:val="009714D7"/>
    <w:rsid w:val="00972D81"/>
    <w:rsid w:val="009738A9"/>
    <w:rsid w:val="00973C90"/>
    <w:rsid w:val="009756F7"/>
    <w:rsid w:val="0097721B"/>
    <w:rsid w:val="00980269"/>
    <w:rsid w:val="00983A9E"/>
    <w:rsid w:val="00984EA0"/>
    <w:rsid w:val="00985100"/>
    <w:rsid w:val="0099013E"/>
    <w:rsid w:val="00990E0C"/>
    <w:rsid w:val="00991C15"/>
    <w:rsid w:val="009930FC"/>
    <w:rsid w:val="00995366"/>
    <w:rsid w:val="009964C5"/>
    <w:rsid w:val="00997466"/>
    <w:rsid w:val="009A2079"/>
    <w:rsid w:val="009A20AE"/>
    <w:rsid w:val="009A3800"/>
    <w:rsid w:val="009A4292"/>
    <w:rsid w:val="009A7029"/>
    <w:rsid w:val="009B4622"/>
    <w:rsid w:val="009B4B1E"/>
    <w:rsid w:val="009B4CF1"/>
    <w:rsid w:val="009B5197"/>
    <w:rsid w:val="009B5F68"/>
    <w:rsid w:val="009C1952"/>
    <w:rsid w:val="009C4463"/>
    <w:rsid w:val="009D3055"/>
    <w:rsid w:val="009D3C4A"/>
    <w:rsid w:val="009D4F3B"/>
    <w:rsid w:val="009E05EA"/>
    <w:rsid w:val="009E1A51"/>
    <w:rsid w:val="009E26EB"/>
    <w:rsid w:val="009E5F9B"/>
    <w:rsid w:val="009F1CA8"/>
    <w:rsid w:val="009F352E"/>
    <w:rsid w:val="009F6AEA"/>
    <w:rsid w:val="009F7EFD"/>
    <w:rsid w:val="00A00CA1"/>
    <w:rsid w:val="00A01A85"/>
    <w:rsid w:val="00A043D5"/>
    <w:rsid w:val="00A058E9"/>
    <w:rsid w:val="00A07CA1"/>
    <w:rsid w:val="00A103F9"/>
    <w:rsid w:val="00A132A9"/>
    <w:rsid w:val="00A167E5"/>
    <w:rsid w:val="00A16B89"/>
    <w:rsid w:val="00A225FD"/>
    <w:rsid w:val="00A24084"/>
    <w:rsid w:val="00A2472D"/>
    <w:rsid w:val="00A26258"/>
    <w:rsid w:val="00A272A3"/>
    <w:rsid w:val="00A318FC"/>
    <w:rsid w:val="00A319E3"/>
    <w:rsid w:val="00A35C65"/>
    <w:rsid w:val="00A360D3"/>
    <w:rsid w:val="00A50082"/>
    <w:rsid w:val="00A528D5"/>
    <w:rsid w:val="00A5374F"/>
    <w:rsid w:val="00A54858"/>
    <w:rsid w:val="00A56737"/>
    <w:rsid w:val="00A5726D"/>
    <w:rsid w:val="00A62810"/>
    <w:rsid w:val="00A63752"/>
    <w:rsid w:val="00A65295"/>
    <w:rsid w:val="00A656BF"/>
    <w:rsid w:val="00A65D12"/>
    <w:rsid w:val="00A6660A"/>
    <w:rsid w:val="00A6787C"/>
    <w:rsid w:val="00A71B63"/>
    <w:rsid w:val="00A72126"/>
    <w:rsid w:val="00A72580"/>
    <w:rsid w:val="00A72A0E"/>
    <w:rsid w:val="00A73BF6"/>
    <w:rsid w:val="00A74281"/>
    <w:rsid w:val="00A81740"/>
    <w:rsid w:val="00A8235E"/>
    <w:rsid w:val="00A82729"/>
    <w:rsid w:val="00A82DE0"/>
    <w:rsid w:val="00A8594E"/>
    <w:rsid w:val="00A85F2F"/>
    <w:rsid w:val="00A90648"/>
    <w:rsid w:val="00A935CD"/>
    <w:rsid w:val="00A935D1"/>
    <w:rsid w:val="00A93610"/>
    <w:rsid w:val="00A9493E"/>
    <w:rsid w:val="00A951D6"/>
    <w:rsid w:val="00A954E4"/>
    <w:rsid w:val="00AA0728"/>
    <w:rsid w:val="00AA1F44"/>
    <w:rsid w:val="00AA4F15"/>
    <w:rsid w:val="00AA5970"/>
    <w:rsid w:val="00AB0573"/>
    <w:rsid w:val="00AB108C"/>
    <w:rsid w:val="00AB36CA"/>
    <w:rsid w:val="00AB7EBB"/>
    <w:rsid w:val="00AC187F"/>
    <w:rsid w:val="00AC1B16"/>
    <w:rsid w:val="00AC2584"/>
    <w:rsid w:val="00AC5988"/>
    <w:rsid w:val="00AC6FA2"/>
    <w:rsid w:val="00AD3A8A"/>
    <w:rsid w:val="00AD4AFC"/>
    <w:rsid w:val="00AD6CC6"/>
    <w:rsid w:val="00AD795F"/>
    <w:rsid w:val="00AE052B"/>
    <w:rsid w:val="00AE1426"/>
    <w:rsid w:val="00AE23C0"/>
    <w:rsid w:val="00AE2B66"/>
    <w:rsid w:val="00AE3317"/>
    <w:rsid w:val="00AE4690"/>
    <w:rsid w:val="00AE557C"/>
    <w:rsid w:val="00AE6A96"/>
    <w:rsid w:val="00AE6BCD"/>
    <w:rsid w:val="00AE76D1"/>
    <w:rsid w:val="00AF0EB2"/>
    <w:rsid w:val="00AF4EE7"/>
    <w:rsid w:val="00AF6437"/>
    <w:rsid w:val="00AF6B49"/>
    <w:rsid w:val="00AF7773"/>
    <w:rsid w:val="00B01759"/>
    <w:rsid w:val="00B017AB"/>
    <w:rsid w:val="00B01BA9"/>
    <w:rsid w:val="00B05B2A"/>
    <w:rsid w:val="00B10786"/>
    <w:rsid w:val="00B12E05"/>
    <w:rsid w:val="00B13E16"/>
    <w:rsid w:val="00B20C63"/>
    <w:rsid w:val="00B24369"/>
    <w:rsid w:val="00B262E5"/>
    <w:rsid w:val="00B2654F"/>
    <w:rsid w:val="00B26900"/>
    <w:rsid w:val="00B30010"/>
    <w:rsid w:val="00B31BBE"/>
    <w:rsid w:val="00B34F6D"/>
    <w:rsid w:val="00B35473"/>
    <w:rsid w:val="00B35C88"/>
    <w:rsid w:val="00B376FA"/>
    <w:rsid w:val="00B41F78"/>
    <w:rsid w:val="00B43683"/>
    <w:rsid w:val="00B4427C"/>
    <w:rsid w:val="00B44808"/>
    <w:rsid w:val="00B45F94"/>
    <w:rsid w:val="00B507E4"/>
    <w:rsid w:val="00B51CCB"/>
    <w:rsid w:val="00B5358B"/>
    <w:rsid w:val="00B54734"/>
    <w:rsid w:val="00B54F09"/>
    <w:rsid w:val="00B5640F"/>
    <w:rsid w:val="00B57341"/>
    <w:rsid w:val="00B5748F"/>
    <w:rsid w:val="00B6163D"/>
    <w:rsid w:val="00B67132"/>
    <w:rsid w:val="00B713B0"/>
    <w:rsid w:val="00B722CC"/>
    <w:rsid w:val="00B736DA"/>
    <w:rsid w:val="00B7435C"/>
    <w:rsid w:val="00B75D3E"/>
    <w:rsid w:val="00B8196E"/>
    <w:rsid w:val="00B85731"/>
    <w:rsid w:val="00B86A84"/>
    <w:rsid w:val="00B93295"/>
    <w:rsid w:val="00B9347E"/>
    <w:rsid w:val="00B94179"/>
    <w:rsid w:val="00B9564C"/>
    <w:rsid w:val="00B961B4"/>
    <w:rsid w:val="00B96F2C"/>
    <w:rsid w:val="00B9701B"/>
    <w:rsid w:val="00B97329"/>
    <w:rsid w:val="00B9742E"/>
    <w:rsid w:val="00B97624"/>
    <w:rsid w:val="00BA2AC4"/>
    <w:rsid w:val="00BA519D"/>
    <w:rsid w:val="00BB36CF"/>
    <w:rsid w:val="00BB3F20"/>
    <w:rsid w:val="00BB587B"/>
    <w:rsid w:val="00BB5E73"/>
    <w:rsid w:val="00BB6783"/>
    <w:rsid w:val="00BB6EF0"/>
    <w:rsid w:val="00BB789E"/>
    <w:rsid w:val="00BC12C6"/>
    <w:rsid w:val="00BC1C8A"/>
    <w:rsid w:val="00BC4167"/>
    <w:rsid w:val="00BC4603"/>
    <w:rsid w:val="00BC4C52"/>
    <w:rsid w:val="00BD0510"/>
    <w:rsid w:val="00BD071B"/>
    <w:rsid w:val="00BD24E7"/>
    <w:rsid w:val="00BD267D"/>
    <w:rsid w:val="00BD6C21"/>
    <w:rsid w:val="00BD7067"/>
    <w:rsid w:val="00BE0669"/>
    <w:rsid w:val="00BE0DD1"/>
    <w:rsid w:val="00BE300F"/>
    <w:rsid w:val="00BE5B80"/>
    <w:rsid w:val="00BE741D"/>
    <w:rsid w:val="00BF10A8"/>
    <w:rsid w:val="00BF525A"/>
    <w:rsid w:val="00BF690B"/>
    <w:rsid w:val="00C04C2E"/>
    <w:rsid w:val="00C04F8A"/>
    <w:rsid w:val="00C07516"/>
    <w:rsid w:val="00C107B3"/>
    <w:rsid w:val="00C10892"/>
    <w:rsid w:val="00C115C5"/>
    <w:rsid w:val="00C116E0"/>
    <w:rsid w:val="00C118A4"/>
    <w:rsid w:val="00C12AC6"/>
    <w:rsid w:val="00C1673C"/>
    <w:rsid w:val="00C16CD2"/>
    <w:rsid w:val="00C205AD"/>
    <w:rsid w:val="00C207EE"/>
    <w:rsid w:val="00C20E97"/>
    <w:rsid w:val="00C21880"/>
    <w:rsid w:val="00C22B06"/>
    <w:rsid w:val="00C22C2A"/>
    <w:rsid w:val="00C262D3"/>
    <w:rsid w:val="00C26D05"/>
    <w:rsid w:val="00C366AD"/>
    <w:rsid w:val="00C36C36"/>
    <w:rsid w:val="00C400F7"/>
    <w:rsid w:val="00C42970"/>
    <w:rsid w:val="00C434D4"/>
    <w:rsid w:val="00C43C27"/>
    <w:rsid w:val="00C455D5"/>
    <w:rsid w:val="00C45900"/>
    <w:rsid w:val="00C45F52"/>
    <w:rsid w:val="00C51071"/>
    <w:rsid w:val="00C5159A"/>
    <w:rsid w:val="00C53E0B"/>
    <w:rsid w:val="00C54DAE"/>
    <w:rsid w:val="00C56BE3"/>
    <w:rsid w:val="00C60998"/>
    <w:rsid w:val="00C61734"/>
    <w:rsid w:val="00C66577"/>
    <w:rsid w:val="00C67EA8"/>
    <w:rsid w:val="00C72A67"/>
    <w:rsid w:val="00C75962"/>
    <w:rsid w:val="00C76C1D"/>
    <w:rsid w:val="00C778CF"/>
    <w:rsid w:val="00C77D69"/>
    <w:rsid w:val="00C77F94"/>
    <w:rsid w:val="00C8063E"/>
    <w:rsid w:val="00C8141C"/>
    <w:rsid w:val="00C85CAB"/>
    <w:rsid w:val="00C87D0E"/>
    <w:rsid w:val="00C91AEF"/>
    <w:rsid w:val="00C93344"/>
    <w:rsid w:val="00C94E81"/>
    <w:rsid w:val="00C96050"/>
    <w:rsid w:val="00C96CBF"/>
    <w:rsid w:val="00CA089C"/>
    <w:rsid w:val="00CA0D40"/>
    <w:rsid w:val="00CA1CBD"/>
    <w:rsid w:val="00CA2EB0"/>
    <w:rsid w:val="00CA3787"/>
    <w:rsid w:val="00CB0E39"/>
    <w:rsid w:val="00CB501D"/>
    <w:rsid w:val="00CB5078"/>
    <w:rsid w:val="00CB6327"/>
    <w:rsid w:val="00CB6678"/>
    <w:rsid w:val="00CC3186"/>
    <w:rsid w:val="00CC5A1E"/>
    <w:rsid w:val="00CC63CC"/>
    <w:rsid w:val="00CC66C1"/>
    <w:rsid w:val="00CD027D"/>
    <w:rsid w:val="00CD0784"/>
    <w:rsid w:val="00CE33CF"/>
    <w:rsid w:val="00CE6947"/>
    <w:rsid w:val="00CE6E32"/>
    <w:rsid w:val="00CE75AE"/>
    <w:rsid w:val="00CE7F26"/>
    <w:rsid w:val="00CF2193"/>
    <w:rsid w:val="00CF2230"/>
    <w:rsid w:val="00CF41B5"/>
    <w:rsid w:val="00CF7991"/>
    <w:rsid w:val="00D01BE8"/>
    <w:rsid w:val="00D030F0"/>
    <w:rsid w:val="00D03E74"/>
    <w:rsid w:val="00D06068"/>
    <w:rsid w:val="00D067EA"/>
    <w:rsid w:val="00D10C2A"/>
    <w:rsid w:val="00D1791F"/>
    <w:rsid w:val="00D21CC5"/>
    <w:rsid w:val="00D23395"/>
    <w:rsid w:val="00D25222"/>
    <w:rsid w:val="00D314F5"/>
    <w:rsid w:val="00D34355"/>
    <w:rsid w:val="00D35365"/>
    <w:rsid w:val="00D40234"/>
    <w:rsid w:val="00D4367F"/>
    <w:rsid w:val="00D43BD8"/>
    <w:rsid w:val="00D44479"/>
    <w:rsid w:val="00D459A8"/>
    <w:rsid w:val="00D55169"/>
    <w:rsid w:val="00D57610"/>
    <w:rsid w:val="00D6192F"/>
    <w:rsid w:val="00D62D05"/>
    <w:rsid w:val="00D63D68"/>
    <w:rsid w:val="00D70159"/>
    <w:rsid w:val="00D77350"/>
    <w:rsid w:val="00D776A1"/>
    <w:rsid w:val="00D840C8"/>
    <w:rsid w:val="00D84FD1"/>
    <w:rsid w:val="00D86A03"/>
    <w:rsid w:val="00D8707E"/>
    <w:rsid w:val="00D905E5"/>
    <w:rsid w:val="00D90ADA"/>
    <w:rsid w:val="00D916AB"/>
    <w:rsid w:val="00D9272F"/>
    <w:rsid w:val="00D95B89"/>
    <w:rsid w:val="00DA0C3B"/>
    <w:rsid w:val="00DA13F9"/>
    <w:rsid w:val="00DB0A2C"/>
    <w:rsid w:val="00DB126B"/>
    <w:rsid w:val="00DC1EB8"/>
    <w:rsid w:val="00DC20A1"/>
    <w:rsid w:val="00DC3554"/>
    <w:rsid w:val="00DC4374"/>
    <w:rsid w:val="00DC5149"/>
    <w:rsid w:val="00DC64D4"/>
    <w:rsid w:val="00DC783A"/>
    <w:rsid w:val="00DD31D9"/>
    <w:rsid w:val="00DD35EF"/>
    <w:rsid w:val="00DD3CFE"/>
    <w:rsid w:val="00DD4228"/>
    <w:rsid w:val="00DD5C81"/>
    <w:rsid w:val="00DD5DB0"/>
    <w:rsid w:val="00DE55DF"/>
    <w:rsid w:val="00DF235B"/>
    <w:rsid w:val="00DF786F"/>
    <w:rsid w:val="00E00C5B"/>
    <w:rsid w:val="00E07491"/>
    <w:rsid w:val="00E12CAC"/>
    <w:rsid w:val="00E171BA"/>
    <w:rsid w:val="00E17469"/>
    <w:rsid w:val="00E2088B"/>
    <w:rsid w:val="00E20A6F"/>
    <w:rsid w:val="00E2103F"/>
    <w:rsid w:val="00E225F7"/>
    <w:rsid w:val="00E229ED"/>
    <w:rsid w:val="00E241DF"/>
    <w:rsid w:val="00E2554F"/>
    <w:rsid w:val="00E27AEF"/>
    <w:rsid w:val="00E33A5A"/>
    <w:rsid w:val="00E35E64"/>
    <w:rsid w:val="00E40BDA"/>
    <w:rsid w:val="00E40BFC"/>
    <w:rsid w:val="00E41367"/>
    <w:rsid w:val="00E42278"/>
    <w:rsid w:val="00E44457"/>
    <w:rsid w:val="00E44605"/>
    <w:rsid w:val="00E46273"/>
    <w:rsid w:val="00E46C7C"/>
    <w:rsid w:val="00E5061C"/>
    <w:rsid w:val="00E51F96"/>
    <w:rsid w:val="00E52895"/>
    <w:rsid w:val="00E54FEF"/>
    <w:rsid w:val="00E552A3"/>
    <w:rsid w:val="00E56C9C"/>
    <w:rsid w:val="00E579FE"/>
    <w:rsid w:val="00E60649"/>
    <w:rsid w:val="00E64571"/>
    <w:rsid w:val="00E649B3"/>
    <w:rsid w:val="00E64E66"/>
    <w:rsid w:val="00E6767A"/>
    <w:rsid w:val="00E73348"/>
    <w:rsid w:val="00E74157"/>
    <w:rsid w:val="00E7445E"/>
    <w:rsid w:val="00E746C9"/>
    <w:rsid w:val="00E77B1B"/>
    <w:rsid w:val="00E77DE0"/>
    <w:rsid w:val="00E81738"/>
    <w:rsid w:val="00E967B5"/>
    <w:rsid w:val="00EA3C8E"/>
    <w:rsid w:val="00EA686B"/>
    <w:rsid w:val="00EA6995"/>
    <w:rsid w:val="00EA6D5E"/>
    <w:rsid w:val="00EA6D90"/>
    <w:rsid w:val="00EA6FB7"/>
    <w:rsid w:val="00EA78E4"/>
    <w:rsid w:val="00EB38A2"/>
    <w:rsid w:val="00EB4BC2"/>
    <w:rsid w:val="00EB4CCA"/>
    <w:rsid w:val="00EB586C"/>
    <w:rsid w:val="00EC0BB1"/>
    <w:rsid w:val="00EC2AB9"/>
    <w:rsid w:val="00EC2ABF"/>
    <w:rsid w:val="00EC4AEE"/>
    <w:rsid w:val="00EC4E99"/>
    <w:rsid w:val="00EC5739"/>
    <w:rsid w:val="00EC7759"/>
    <w:rsid w:val="00EC7EC8"/>
    <w:rsid w:val="00ED0512"/>
    <w:rsid w:val="00ED066B"/>
    <w:rsid w:val="00ED0FE1"/>
    <w:rsid w:val="00ED2D16"/>
    <w:rsid w:val="00ED4A9C"/>
    <w:rsid w:val="00ED65B8"/>
    <w:rsid w:val="00ED7250"/>
    <w:rsid w:val="00EE01E8"/>
    <w:rsid w:val="00EE209B"/>
    <w:rsid w:val="00EE24B4"/>
    <w:rsid w:val="00EE2618"/>
    <w:rsid w:val="00EE340B"/>
    <w:rsid w:val="00EE4DFD"/>
    <w:rsid w:val="00EE53E8"/>
    <w:rsid w:val="00EE75EC"/>
    <w:rsid w:val="00EE77C2"/>
    <w:rsid w:val="00EF13A5"/>
    <w:rsid w:val="00EF1F90"/>
    <w:rsid w:val="00EF2605"/>
    <w:rsid w:val="00EF3804"/>
    <w:rsid w:val="00EF447B"/>
    <w:rsid w:val="00EF6A37"/>
    <w:rsid w:val="00EF6BE5"/>
    <w:rsid w:val="00F0024F"/>
    <w:rsid w:val="00F012C0"/>
    <w:rsid w:val="00F04946"/>
    <w:rsid w:val="00F04A60"/>
    <w:rsid w:val="00F05996"/>
    <w:rsid w:val="00F06111"/>
    <w:rsid w:val="00F07FB3"/>
    <w:rsid w:val="00F10CB5"/>
    <w:rsid w:val="00F12EB4"/>
    <w:rsid w:val="00F2081F"/>
    <w:rsid w:val="00F22FF3"/>
    <w:rsid w:val="00F23760"/>
    <w:rsid w:val="00F243BA"/>
    <w:rsid w:val="00F24B4A"/>
    <w:rsid w:val="00F25F7C"/>
    <w:rsid w:val="00F30934"/>
    <w:rsid w:val="00F32279"/>
    <w:rsid w:val="00F3624B"/>
    <w:rsid w:val="00F37431"/>
    <w:rsid w:val="00F40A6E"/>
    <w:rsid w:val="00F447D5"/>
    <w:rsid w:val="00F450CA"/>
    <w:rsid w:val="00F4534A"/>
    <w:rsid w:val="00F464EE"/>
    <w:rsid w:val="00F47827"/>
    <w:rsid w:val="00F50A2A"/>
    <w:rsid w:val="00F55145"/>
    <w:rsid w:val="00F55BD5"/>
    <w:rsid w:val="00F55C9A"/>
    <w:rsid w:val="00F57574"/>
    <w:rsid w:val="00F57C6A"/>
    <w:rsid w:val="00F604F6"/>
    <w:rsid w:val="00F62858"/>
    <w:rsid w:val="00F62C53"/>
    <w:rsid w:val="00F63D5D"/>
    <w:rsid w:val="00F67855"/>
    <w:rsid w:val="00F67F43"/>
    <w:rsid w:val="00F71390"/>
    <w:rsid w:val="00F71B18"/>
    <w:rsid w:val="00F71DAE"/>
    <w:rsid w:val="00F72095"/>
    <w:rsid w:val="00F72D0E"/>
    <w:rsid w:val="00F76E02"/>
    <w:rsid w:val="00F81F42"/>
    <w:rsid w:val="00F8306C"/>
    <w:rsid w:val="00F834F1"/>
    <w:rsid w:val="00F84D36"/>
    <w:rsid w:val="00F85C9E"/>
    <w:rsid w:val="00F87511"/>
    <w:rsid w:val="00F87D32"/>
    <w:rsid w:val="00F91CB1"/>
    <w:rsid w:val="00F947AA"/>
    <w:rsid w:val="00F949D0"/>
    <w:rsid w:val="00F95FF6"/>
    <w:rsid w:val="00F96190"/>
    <w:rsid w:val="00F9722A"/>
    <w:rsid w:val="00FA1D61"/>
    <w:rsid w:val="00FA4244"/>
    <w:rsid w:val="00FB0ACA"/>
    <w:rsid w:val="00FB1E32"/>
    <w:rsid w:val="00FB51FB"/>
    <w:rsid w:val="00FC1B49"/>
    <w:rsid w:val="00FC3225"/>
    <w:rsid w:val="00FC3234"/>
    <w:rsid w:val="00FC3255"/>
    <w:rsid w:val="00FC6B71"/>
    <w:rsid w:val="00FC7056"/>
    <w:rsid w:val="00FD1EE1"/>
    <w:rsid w:val="00FD3197"/>
    <w:rsid w:val="00FD5A56"/>
    <w:rsid w:val="00FD7BC5"/>
    <w:rsid w:val="00FE1E4F"/>
    <w:rsid w:val="00FE3B60"/>
    <w:rsid w:val="00FE4727"/>
    <w:rsid w:val="00FE53A6"/>
    <w:rsid w:val="00FE725B"/>
    <w:rsid w:val="00FE7661"/>
    <w:rsid w:val="00FF26B7"/>
    <w:rsid w:val="00FF4B88"/>
    <w:rsid w:val="00FF4E7A"/>
    <w:rsid w:val="00FF616D"/>
    <w:rsid w:val="00FF7417"/>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247"/>
    <w:rPr>
      <w:sz w:val="24"/>
      <w:szCs w:val="24"/>
    </w:rPr>
  </w:style>
  <w:style w:type="paragraph" w:styleId="Heading1">
    <w:name w:val="heading 1"/>
    <w:basedOn w:val="Normal"/>
    <w:next w:val="Normal"/>
    <w:qFormat/>
    <w:rsid w:val="00B573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5734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57341"/>
    <w:pPr>
      <w:keepNext/>
      <w:spacing w:before="240" w:after="60"/>
      <w:outlineLvl w:val="2"/>
    </w:pPr>
    <w:rPr>
      <w:rFonts w:ascii="Arial" w:hAnsi="Arial" w:cs="Arial"/>
      <w:b/>
      <w:bCs/>
      <w:sz w:val="26"/>
      <w:szCs w:val="26"/>
    </w:rPr>
  </w:style>
  <w:style w:type="paragraph" w:styleId="Heading4">
    <w:name w:val="heading 4"/>
    <w:basedOn w:val="Normal"/>
    <w:next w:val="Normal"/>
    <w:qFormat/>
    <w:rsid w:val="008A2B39"/>
    <w:pPr>
      <w:keepNext/>
      <w:tabs>
        <w:tab w:val="num" w:pos="864"/>
      </w:tabs>
      <w:ind w:left="864" w:hanging="864"/>
      <w:outlineLvl w:val="3"/>
    </w:pPr>
  </w:style>
  <w:style w:type="paragraph" w:styleId="Heading5">
    <w:name w:val="heading 5"/>
    <w:basedOn w:val="Normal"/>
    <w:next w:val="Normal"/>
    <w:qFormat/>
    <w:rsid w:val="008A2B39"/>
    <w:pPr>
      <w:keepNext/>
      <w:tabs>
        <w:tab w:val="num" w:pos="1008"/>
      </w:tabs>
      <w:spacing w:after="240"/>
      <w:ind w:left="1008" w:hanging="1008"/>
      <w:jc w:val="center"/>
      <w:outlineLvl w:val="4"/>
    </w:pPr>
    <w:rPr>
      <w:rFonts w:ascii="Garamond" w:hAnsi="Garamond" w:cs="TF Arrow"/>
      <w:b/>
      <w:bCs/>
    </w:rPr>
  </w:style>
  <w:style w:type="paragraph" w:styleId="Heading6">
    <w:name w:val="heading 6"/>
    <w:basedOn w:val="Normal"/>
    <w:next w:val="Normal"/>
    <w:qFormat/>
    <w:rsid w:val="008A2B39"/>
    <w:pPr>
      <w:keepNext/>
      <w:tabs>
        <w:tab w:val="num" w:pos="1152"/>
      </w:tabs>
      <w:spacing w:after="240"/>
      <w:ind w:left="1152" w:hanging="1152"/>
      <w:jc w:val="center"/>
      <w:outlineLvl w:val="5"/>
    </w:pPr>
    <w:rPr>
      <w:rFonts w:ascii="Garamond" w:hAnsi="Garamond" w:cs="TF Arrow"/>
      <w:b/>
      <w:bCs/>
      <w:sz w:val="26"/>
      <w:szCs w:val="26"/>
    </w:rPr>
  </w:style>
  <w:style w:type="paragraph" w:styleId="Heading7">
    <w:name w:val="heading 7"/>
    <w:basedOn w:val="Normal"/>
    <w:next w:val="Normal"/>
    <w:qFormat/>
    <w:rsid w:val="008A2B39"/>
    <w:pPr>
      <w:keepNext/>
      <w:tabs>
        <w:tab w:val="num" w:pos="1296"/>
      </w:tabs>
      <w:spacing w:after="120" w:line="360" w:lineRule="auto"/>
      <w:ind w:left="1296" w:hanging="1296"/>
      <w:jc w:val="both"/>
      <w:outlineLvl w:val="6"/>
    </w:pPr>
    <w:rPr>
      <w:rFonts w:ascii="Garamond" w:hAnsi="Garamond" w:cs="TF Arrow"/>
      <w:b/>
      <w:bCs/>
      <w:lang w:val="en-US"/>
    </w:rPr>
  </w:style>
  <w:style w:type="paragraph" w:styleId="Heading8">
    <w:name w:val="heading 8"/>
    <w:basedOn w:val="Normal"/>
    <w:next w:val="Normal"/>
    <w:qFormat/>
    <w:rsid w:val="008A2B39"/>
    <w:pPr>
      <w:keepNext/>
      <w:tabs>
        <w:tab w:val="num" w:pos="1440"/>
      </w:tabs>
      <w:spacing w:after="120" w:line="360" w:lineRule="auto"/>
      <w:ind w:left="1440" w:hanging="1440"/>
      <w:jc w:val="both"/>
      <w:outlineLvl w:val="7"/>
    </w:pPr>
    <w:rPr>
      <w:rFonts w:ascii="Garamond" w:hAnsi="Garamond" w:cs="TF Arrow"/>
      <w:i/>
      <w:iCs/>
    </w:rPr>
  </w:style>
  <w:style w:type="paragraph" w:styleId="Heading9">
    <w:name w:val="heading 9"/>
    <w:basedOn w:val="Normal"/>
    <w:next w:val="Normal"/>
    <w:qFormat/>
    <w:rsid w:val="008A2B39"/>
    <w:pPr>
      <w:keepNext/>
      <w:tabs>
        <w:tab w:val="num" w:pos="1584"/>
      </w:tabs>
      <w:spacing w:after="240"/>
      <w:ind w:left="1584" w:hanging="1584"/>
      <w:jc w:val="both"/>
      <w:outlineLvl w:val="8"/>
    </w:pPr>
    <w:rPr>
      <w:rFonts w:ascii="TF Arrow" w:cs="Tahoma"/>
      <w:sz w:val="86"/>
      <w:szCs w:val="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ubHeading"/>
    <w:rsid w:val="00B57341"/>
    <w:rPr>
      <w:sz w:val="26"/>
    </w:rPr>
  </w:style>
  <w:style w:type="paragraph" w:customStyle="1" w:styleId="SubHeading">
    <w:name w:val="Sub Heading"/>
    <w:basedOn w:val="Normal"/>
    <w:next w:val="Header"/>
    <w:rsid w:val="00B57341"/>
    <w:pPr>
      <w:keepNext/>
      <w:spacing w:before="240" w:after="60"/>
      <w:outlineLvl w:val="0"/>
    </w:pPr>
    <w:rPr>
      <w:rFonts w:cs="Arial"/>
      <w:b/>
      <w:kern w:val="32"/>
      <w:szCs w:val="32"/>
    </w:rPr>
  </w:style>
  <w:style w:type="paragraph" w:styleId="Header">
    <w:name w:val="header"/>
    <w:basedOn w:val="Normal"/>
    <w:rsid w:val="008F0247"/>
    <w:pPr>
      <w:tabs>
        <w:tab w:val="center" w:pos="4153"/>
        <w:tab w:val="right" w:pos="8306"/>
      </w:tabs>
    </w:pPr>
  </w:style>
  <w:style w:type="table" w:styleId="TableGrid">
    <w:name w:val="Table Grid"/>
    <w:basedOn w:val="TableNormal"/>
    <w:rsid w:val="008F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8F0247"/>
    <w:pPr>
      <w:tabs>
        <w:tab w:val="center" w:pos="4153"/>
        <w:tab w:val="right" w:pos="8306"/>
      </w:tabs>
    </w:pPr>
  </w:style>
  <w:style w:type="character" w:styleId="PageNumber">
    <w:name w:val="page number"/>
    <w:basedOn w:val="DefaultParagraphFont"/>
    <w:rsid w:val="008F0247"/>
  </w:style>
  <w:style w:type="paragraph" w:styleId="BalloonText">
    <w:name w:val="Balloon Text"/>
    <w:basedOn w:val="Normal"/>
    <w:semiHidden/>
    <w:rsid w:val="003B2F7F"/>
    <w:rPr>
      <w:rFonts w:ascii="Tahoma" w:hAnsi="Tahoma" w:cs="Tahoma"/>
      <w:sz w:val="16"/>
      <w:szCs w:val="16"/>
    </w:rPr>
  </w:style>
  <w:style w:type="paragraph" w:customStyle="1" w:styleId="Text">
    <w:name w:val="Text"/>
    <w:basedOn w:val="Normal"/>
    <w:rsid w:val="008968BA"/>
    <w:pPr>
      <w:spacing w:after="360" w:line="360" w:lineRule="exact"/>
      <w:jc w:val="both"/>
    </w:pPr>
    <w:rPr>
      <w:rFonts w:ascii="Garamond" w:hAnsi="Garamond" w:cs="TF Arrow"/>
    </w:rPr>
  </w:style>
  <w:style w:type="paragraph" w:customStyle="1" w:styleId="StyleHeading2TrebuchetMSLeft">
    <w:name w:val="Style Heading 2 + Trebuchet MS Left"/>
    <w:basedOn w:val="Heading2"/>
    <w:rsid w:val="008968BA"/>
    <w:pPr>
      <w:spacing w:before="0" w:after="240" w:line="360" w:lineRule="auto"/>
    </w:pPr>
    <w:rPr>
      <w:rFonts w:ascii="Trebuchet MS" w:hAnsi="Trebuchet MS" w:cs="Times New Roman"/>
      <w:i w:val="0"/>
      <w:iCs w:val="0"/>
      <w:sz w:val="24"/>
      <w:szCs w:val="20"/>
    </w:rPr>
  </w:style>
  <w:style w:type="character" w:styleId="CommentReference">
    <w:name w:val="annotation reference"/>
    <w:basedOn w:val="DefaultParagraphFont"/>
    <w:semiHidden/>
    <w:rsid w:val="00C8141C"/>
    <w:rPr>
      <w:sz w:val="16"/>
      <w:szCs w:val="16"/>
    </w:rPr>
  </w:style>
  <w:style w:type="paragraph" w:styleId="CommentText">
    <w:name w:val="annotation text"/>
    <w:basedOn w:val="Normal"/>
    <w:semiHidden/>
    <w:rsid w:val="00C8141C"/>
    <w:rPr>
      <w:sz w:val="20"/>
      <w:szCs w:val="20"/>
    </w:rPr>
  </w:style>
  <w:style w:type="paragraph" w:styleId="BodyText2">
    <w:name w:val="Body Text 2"/>
    <w:basedOn w:val="Normal"/>
    <w:rsid w:val="008C7AFB"/>
    <w:pPr>
      <w:spacing w:after="240" w:line="360" w:lineRule="auto"/>
    </w:pPr>
    <w:rPr>
      <w:sz w:val="28"/>
      <w:szCs w:val="20"/>
    </w:rPr>
  </w:style>
  <w:style w:type="paragraph" w:styleId="BodyText3">
    <w:name w:val="Body Text 3"/>
    <w:basedOn w:val="Normal"/>
    <w:rsid w:val="008C7AFB"/>
    <w:pPr>
      <w:jc w:val="both"/>
    </w:pPr>
    <w:rPr>
      <w:sz w:val="28"/>
      <w:szCs w:val="20"/>
    </w:rPr>
  </w:style>
  <w:style w:type="paragraph" w:styleId="BodyText">
    <w:name w:val="Body Text"/>
    <w:basedOn w:val="Normal"/>
    <w:rsid w:val="008C7AFB"/>
    <w:pPr>
      <w:spacing w:after="120"/>
    </w:pPr>
  </w:style>
  <w:style w:type="paragraph" w:styleId="FootnoteText">
    <w:name w:val="footnote text"/>
    <w:basedOn w:val="Normal"/>
    <w:semiHidden/>
    <w:rsid w:val="008C7AFB"/>
    <w:rPr>
      <w:sz w:val="20"/>
      <w:szCs w:val="20"/>
    </w:rPr>
  </w:style>
  <w:style w:type="character" w:styleId="FootnoteReference">
    <w:name w:val="footnote reference"/>
    <w:basedOn w:val="DefaultParagraphFont"/>
    <w:semiHidden/>
    <w:rsid w:val="008C7AFB"/>
    <w:rPr>
      <w:vertAlign w:val="superscript"/>
    </w:rPr>
  </w:style>
  <w:style w:type="character" w:styleId="Hyperlink">
    <w:name w:val="Hyperlink"/>
    <w:basedOn w:val="DefaultParagraphFont"/>
    <w:uiPriority w:val="99"/>
    <w:rsid w:val="00356B1D"/>
    <w:rPr>
      <w:color w:val="0000FF"/>
      <w:u w:val="single"/>
    </w:rPr>
  </w:style>
  <w:style w:type="character" w:styleId="FollowedHyperlink">
    <w:name w:val="FollowedHyperlink"/>
    <w:basedOn w:val="DefaultParagraphFont"/>
    <w:rsid w:val="00356B1D"/>
    <w:rPr>
      <w:color w:val="800080"/>
      <w:u w:val="single"/>
    </w:rPr>
  </w:style>
  <w:style w:type="paragraph" w:customStyle="1" w:styleId="StyleGaramondJustifiedAfter12ptLinespacingExactly18">
    <w:name w:val="Style Garamond Justified After:  12 pt Line spacing:  Exactly 18..."/>
    <w:basedOn w:val="Normal"/>
    <w:rsid w:val="00356B1D"/>
    <w:pPr>
      <w:spacing w:before="240" w:after="240"/>
      <w:jc w:val="both"/>
    </w:pPr>
    <w:rPr>
      <w:rFonts w:ascii="Garamond" w:hAnsi="Garamond"/>
      <w:szCs w:val="20"/>
    </w:rPr>
  </w:style>
  <w:style w:type="paragraph" w:customStyle="1" w:styleId="StyleGaramondJustified">
    <w:name w:val="Style Garamond Justified"/>
    <w:basedOn w:val="Normal"/>
    <w:rsid w:val="00356B1D"/>
    <w:pPr>
      <w:spacing w:before="240" w:after="240"/>
      <w:jc w:val="both"/>
    </w:pPr>
    <w:rPr>
      <w:rFonts w:ascii="Garamond" w:hAnsi="Garamond"/>
      <w:szCs w:val="20"/>
    </w:rPr>
  </w:style>
  <w:style w:type="paragraph" w:styleId="DocumentMap">
    <w:name w:val="Document Map"/>
    <w:basedOn w:val="Normal"/>
    <w:semiHidden/>
    <w:rsid w:val="00AC2584"/>
    <w:pPr>
      <w:shd w:val="clear" w:color="auto" w:fill="000080"/>
    </w:pPr>
    <w:rPr>
      <w:rFonts w:ascii="Tahoma" w:hAnsi="Tahoma" w:cs="Tahoma"/>
    </w:rPr>
  </w:style>
  <w:style w:type="paragraph" w:customStyle="1" w:styleId="StyleBodyText13ptCharCharChar">
    <w:name w:val="Style Body Text + 13 pt Char Char Char"/>
    <w:basedOn w:val="BodyText"/>
    <w:link w:val="StyleBodyText13ptCharCharCharChar"/>
    <w:rsid w:val="004445D9"/>
    <w:pPr>
      <w:numPr>
        <w:numId w:val="1"/>
      </w:numPr>
      <w:spacing w:after="240" w:line="360" w:lineRule="auto"/>
      <w:jc w:val="both"/>
    </w:pPr>
  </w:style>
  <w:style w:type="character" w:customStyle="1" w:styleId="StyleBodyText13ptCharCharCharChar">
    <w:name w:val="Style Body Text + 13 pt Char Char Char Char"/>
    <w:basedOn w:val="DefaultParagraphFont"/>
    <w:link w:val="StyleBodyText13ptCharCharChar"/>
    <w:rsid w:val="004445D9"/>
    <w:rPr>
      <w:sz w:val="24"/>
      <w:szCs w:val="24"/>
    </w:rPr>
  </w:style>
  <w:style w:type="paragraph" w:customStyle="1" w:styleId="NormaltextCharCharCharCharCharChar">
    <w:name w:val="Normal text Char Char Char Char Char Char"/>
    <w:basedOn w:val="BodyText"/>
    <w:link w:val="NormaltextCharCharCharCharCharCharChar"/>
    <w:rsid w:val="004445D9"/>
    <w:pPr>
      <w:tabs>
        <w:tab w:val="num" w:pos="720"/>
      </w:tabs>
      <w:spacing w:after="240"/>
      <w:ind w:left="720" w:hanging="360"/>
      <w:jc w:val="both"/>
    </w:pPr>
  </w:style>
  <w:style w:type="character" w:customStyle="1" w:styleId="NormaltextCharCharCharCharCharCharChar">
    <w:name w:val="Normal text Char Char Char Char Char Char Char"/>
    <w:basedOn w:val="DefaultParagraphFont"/>
    <w:link w:val="NormaltextCharCharCharCharCharChar"/>
    <w:rsid w:val="004445D9"/>
    <w:rPr>
      <w:sz w:val="24"/>
      <w:szCs w:val="24"/>
    </w:rPr>
  </w:style>
  <w:style w:type="paragraph" w:styleId="CommentSubject">
    <w:name w:val="annotation subject"/>
    <w:basedOn w:val="CommentText"/>
    <w:next w:val="CommentText"/>
    <w:semiHidden/>
    <w:rsid w:val="00CE7F26"/>
    <w:rPr>
      <w:b/>
      <w:bCs/>
    </w:rPr>
  </w:style>
  <w:style w:type="paragraph" w:customStyle="1" w:styleId="normaltextcharcharcharcharchar">
    <w:name w:val="normaltextcharcharcharcharchar"/>
    <w:basedOn w:val="Normal"/>
    <w:rsid w:val="001A1F36"/>
    <w:pPr>
      <w:spacing w:after="240"/>
      <w:ind w:left="567" w:hanging="567"/>
      <w:jc w:val="both"/>
    </w:pPr>
    <w:rPr>
      <w:rFonts w:ascii="Trebuchet MS" w:hAnsi="Trebuchet MS"/>
    </w:rPr>
  </w:style>
  <w:style w:type="paragraph" w:customStyle="1" w:styleId="Normalalpha">
    <w:name w:val="Normal alpha"/>
    <w:basedOn w:val="Normal"/>
    <w:rsid w:val="001A1F36"/>
    <w:pPr>
      <w:numPr>
        <w:numId w:val="4"/>
      </w:numPr>
      <w:spacing w:after="240"/>
      <w:jc w:val="both"/>
    </w:pPr>
    <w:rPr>
      <w:szCs w:val="20"/>
    </w:rPr>
  </w:style>
  <w:style w:type="paragraph" w:customStyle="1" w:styleId="PSHeading3">
    <w:name w:val="PS Heading 3"/>
    <w:basedOn w:val="Normal"/>
    <w:rsid w:val="001A1F36"/>
    <w:pPr>
      <w:keepNext/>
      <w:widowControl w:val="0"/>
      <w:spacing w:after="240"/>
      <w:outlineLvl w:val="0"/>
    </w:pPr>
    <w:rPr>
      <w:rFonts w:ascii="Arial" w:hAnsi="Arial"/>
      <w:b/>
      <w:szCs w:val="20"/>
      <w:lang w:val="en-US"/>
    </w:rPr>
  </w:style>
  <w:style w:type="paragraph" w:styleId="Title">
    <w:name w:val="Title"/>
    <w:basedOn w:val="Normal"/>
    <w:next w:val="ActTitle"/>
    <w:qFormat/>
    <w:rsid w:val="001B4657"/>
    <w:pPr>
      <w:spacing w:before="480"/>
    </w:pPr>
    <w:rPr>
      <w:rFonts w:ascii="Arial" w:hAnsi="Arial" w:cs="Arial"/>
      <w:b/>
      <w:bCs/>
      <w:sz w:val="40"/>
      <w:szCs w:val="40"/>
      <w:lang w:eastAsia="en-US"/>
    </w:rPr>
  </w:style>
  <w:style w:type="paragraph" w:styleId="TOC1">
    <w:name w:val="toc 1"/>
    <w:basedOn w:val="Heading"/>
    <w:next w:val="Normal"/>
    <w:autoRedefine/>
    <w:semiHidden/>
    <w:rsid w:val="0025566A"/>
    <w:pPr>
      <w:tabs>
        <w:tab w:val="right" w:leader="dot" w:pos="8296"/>
      </w:tabs>
      <w:spacing w:before="0" w:after="0"/>
    </w:pPr>
    <w:rPr>
      <w:rFonts w:ascii="Arial" w:hAnsi="Arial"/>
      <w:bCs/>
      <w:iCs/>
      <w:sz w:val="24"/>
      <w:szCs w:val="24"/>
    </w:rPr>
  </w:style>
  <w:style w:type="paragraph" w:styleId="TOC2">
    <w:name w:val="toc 2"/>
    <w:basedOn w:val="Heading2"/>
    <w:next w:val="Normal"/>
    <w:autoRedefine/>
    <w:semiHidden/>
    <w:rsid w:val="00270267"/>
    <w:pPr>
      <w:tabs>
        <w:tab w:val="right" w:leader="dot" w:pos="8296"/>
      </w:tabs>
      <w:spacing w:before="0" w:after="0"/>
    </w:pPr>
    <w:rPr>
      <w:i w:val="0"/>
      <w:noProof/>
      <w:sz w:val="24"/>
      <w:szCs w:val="24"/>
    </w:rPr>
  </w:style>
  <w:style w:type="paragraph" w:customStyle="1" w:styleId="ActTitle">
    <w:name w:val="Act Title"/>
    <w:basedOn w:val="Normal"/>
    <w:next w:val="IntroTo"/>
    <w:rsid w:val="001B4657"/>
    <w:pPr>
      <w:pBdr>
        <w:bottom w:val="single" w:sz="4" w:space="3" w:color="auto"/>
      </w:pBdr>
      <w:spacing w:before="480" w:after="240"/>
    </w:pPr>
    <w:rPr>
      <w:rFonts w:ascii="Arial" w:hAnsi="Arial"/>
      <w:i/>
      <w:iCs/>
      <w:sz w:val="28"/>
      <w:szCs w:val="20"/>
    </w:rPr>
  </w:style>
  <w:style w:type="paragraph" w:customStyle="1" w:styleId="IntroTo">
    <w:name w:val="IntroTo:"/>
    <w:basedOn w:val="Normal"/>
    <w:rsid w:val="001B4657"/>
    <w:pPr>
      <w:ind w:left="720" w:hanging="720"/>
    </w:pPr>
    <w:rPr>
      <w:szCs w:val="20"/>
      <w:lang w:eastAsia="en-US"/>
    </w:rPr>
  </w:style>
  <w:style w:type="paragraph" w:customStyle="1" w:styleId="IP">
    <w:name w:val="IP"/>
    <w:aliases w:val="Interpretation paragraph"/>
    <w:basedOn w:val="Normal"/>
    <w:next w:val="Normal"/>
    <w:rsid w:val="001B4657"/>
    <w:pPr>
      <w:keepNext/>
      <w:tabs>
        <w:tab w:val="right" w:pos="794"/>
      </w:tabs>
      <w:spacing w:before="120" w:line="260" w:lineRule="exact"/>
      <w:ind w:left="964" w:hanging="964"/>
      <w:jc w:val="both"/>
    </w:pPr>
    <w:rPr>
      <w:lang w:eastAsia="en-US"/>
    </w:rPr>
  </w:style>
  <w:style w:type="paragraph" w:customStyle="1" w:styleId="definition">
    <w:name w:val="definition"/>
    <w:basedOn w:val="Normal"/>
    <w:rsid w:val="001B4657"/>
    <w:pPr>
      <w:spacing w:before="80" w:line="260" w:lineRule="exact"/>
      <w:jc w:val="both"/>
    </w:pPr>
    <w:rPr>
      <w:lang w:eastAsia="en-US"/>
    </w:rPr>
  </w:style>
  <w:style w:type="paragraph" w:customStyle="1" w:styleId="AS">
    <w:name w:val="AS"/>
    <w:aliases w:val="Schedule title Amendment"/>
    <w:basedOn w:val="Normal"/>
    <w:next w:val="Normal"/>
    <w:rsid w:val="001B4657"/>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1B4657"/>
  </w:style>
  <w:style w:type="paragraph" w:customStyle="1" w:styleId="HeaderLiteEven">
    <w:name w:val="HeaderLiteEven"/>
    <w:basedOn w:val="Normal"/>
    <w:rsid w:val="00C118A4"/>
    <w:pPr>
      <w:tabs>
        <w:tab w:val="center" w:pos="3969"/>
        <w:tab w:val="right" w:pos="8505"/>
      </w:tabs>
      <w:spacing w:before="60"/>
    </w:pPr>
    <w:rPr>
      <w:rFonts w:ascii="Arial" w:hAnsi="Arial"/>
      <w:sz w:val="18"/>
      <w:lang w:eastAsia="en-US"/>
    </w:rPr>
  </w:style>
  <w:style w:type="paragraph" w:customStyle="1" w:styleId="CoverAct">
    <w:name w:val="CoverAct"/>
    <w:basedOn w:val="Normal"/>
    <w:next w:val="Normal"/>
    <w:rsid w:val="00C118A4"/>
    <w:pPr>
      <w:pBdr>
        <w:bottom w:val="single" w:sz="4" w:space="3" w:color="auto"/>
      </w:pBdr>
    </w:pPr>
    <w:rPr>
      <w:rFonts w:ascii="Arial" w:hAnsi="Arial"/>
      <w:i/>
      <w:noProof/>
      <w:sz w:val="28"/>
    </w:rPr>
  </w:style>
  <w:style w:type="paragraph" w:customStyle="1" w:styleId="CoverUpdate">
    <w:name w:val="CoverUpdate"/>
    <w:basedOn w:val="Normal"/>
    <w:rsid w:val="00C118A4"/>
    <w:pPr>
      <w:spacing w:before="240"/>
    </w:pPr>
    <w:rPr>
      <w:noProof/>
    </w:rPr>
  </w:style>
  <w:style w:type="paragraph" w:customStyle="1" w:styleId="CoverMade">
    <w:name w:val="CoverMade"/>
    <w:basedOn w:val="Normal"/>
    <w:rsid w:val="00C118A4"/>
    <w:pPr>
      <w:spacing w:before="240" w:after="240"/>
    </w:pPr>
    <w:rPr>
      <w:rFonts w:ascii="Arial" w:hAnsi="Arial"/>
      <w:noProof/>
    </w:rPr>
  </w:style>
  <w:style w:type="paragraph" w:customStyle="1" w:styleId="SigningPageBreak">
    <w:name w:val="SigningPageBreak"/>
    <w:basedOn w:val="Normal"/>
    <w:next w:val="Normal"/>
    <w:rsid w:val="00C118A4"/>
    <w:rPr>
      <w:lang w:eastAsia="en-US"/>
    </w:rPr>
  </w:style>
  <w:style w:type="paragraph" w:customStyle="1" w:styleId="HeaderBoldEven">
    <w:name w:val="HeaderBoldEven"/>
    <w:basedOn w:val="Normal"/>
    <w:rsid w:val="00C118A4"/>
    <w:pPr>
      <w:spacing w:before="120" w:after="60"/>
    </w:pPr>
    <w:rPr>
      <w:rFonts w:ascii="Arial" w:hAnsi="Arial"/>
      <w:b/>
      <w:sz w:val="20"/>
      <w:lang w:eastAsia="en-US"/>
    </w:rPr>
  </w:style>
  <w:style w:type="paragraph" w:customStyle="1" w:styleId="FooterPageOdd">
    <w:name w:val="FooterPageOdd"/>
    <w:basedOn w:val="Footer"/>
    <w:rsid w:val="00C118A4"/>
    <w:pPr>
      <w:jc w:val="right"/>
    </w:pPr>
    <w:rPr>
      <w:rFonts w:ascii="Arial" w:hAnsi="Arial"/>
      <w:sz w:val="22"/>
    </w:rPr>
  </w:style>
  <w:style w:type="paragraph" w:customStyle="1" w:styleId="Footerinfo">
    <w:name w:val="Footerinfo"/>
    <w:basedOn w:val="Footer"/>
    <w:rsid w:val="00C118A4"/>
    <w:rPr>
      <w:rFonts w:ascii="Arial" w:hAnsi="Arial"/>
      <w:sz w:val="12"/>
    </w:rPr>
  </w:style>
  <w:style w:type="paragraph" w:customStyle="1" w:styleId="FooterPageEven">
    <w:name w:val="FooterPageEven"/>
    <w:basedOn w:val="FooterPageOdd"/>
    <w:rsid w:val="00C118A4"/>
    <w:pPr>
      <w:jc w:val="left"/>
    </w:pPr>
  </w:style>
  <w:style w:type="paragraph" w:customStyle="1" w:styleId="CoverStatRule">
    <w:name w:val="CoverStatRule"/>
    <w:basedOn w:val="Normal"/>
    <w:next w:val="CoverMade"/>
    <w:rsid w:val="00C118A4"/>
    <w:pPr>
      <w:spacing w:before="240"/>
    </w:pPr>
    <w:rPr>
      <w:rFonts w:ascii="Arial" w:hAnsi="Arial"/>
      <w:b/>
    </w:rPr>
  </w:style>
  <w:style w:type="paragraph" w:customStyle="1" w:styleId="FooterCitation">
    <w:name w:val="FooterCitation"/>
    <w:basedOn w:val="Footer"/>
    <w:rsid w:val="00C118A4"/>
    <w:pPr>
      <w:spacing w:before="20"/>
      <w:jc w:val="center"/>
    </w:pPr>
    <w:rPr>
      <w:rFonts w:ascii="Arial" w:hAnsi="Arial"/>
      <w:i/>
      <w:sz w:val="18"/>
    </w:rPr>
  </w:style>
  <w:style w:type="character" w:customStyle="1" w:styleId="FooterChar">
    <w:name w:val="Footer Char"/>
    <w:basedOn w:val="DefaultParagraphFont"/>
    <w:link w:val="Footer"/>
    <w:uiPriority w:val="99"/>
    <w:rsid w:val="00C118A4"/>
    <w:rPr>
      <w:sz w:val="24"/>
      <w:szCs w:val="24"/>
    </w:rPr>
  </w:style>
  <w:style w:type="paragraph" w:styleId="NoteHeading">
    <w:name w:val="Note Heading"/>
    <w:aliases w:val="HN"/>
    <w:basedOn w:val="Normal"/>
    <w:next w:val="Normal"/>
    <w:link w:val="NoteHeadingChar"/>
    <w:rsid w:val="00A16B89"/>
    <w:pPr>
      <w:keepNext/>
      <w:keepLines/>
      <w:spacing w:before="120" w:line="240" w:lineRule="atLeast"/>
    </w:pPr>
    <w:rPr>
      <w:rFonts w:ascii="Arial" w:hAnsi="Arial"/>
      <w:b/>
      <w:sz w:val="32"/>
      <w:szCs w:val="32"/>
      <w:lang w:eastAsia="en-US"/>
    </w:rPr>
  </w:style>
  <w:style w:type="character" w:customStyle="1" w:styleId="NoteHeadingChar">
    <w:name w:val="Note Heading Char"/>
    <w:aliases w:val="HN Char"/>
    <w:basedOn w:val="DefaultParagraphFont"/>
    <w:link w:val="NoteHeading"/>
    <w:rsid w:val="00A16B89"/>
    <w:rPr>
      <w:rFonts w:ascii="Arial" w:hAnsi="Arial"/>
      <w:b/>
      <w:sz w:val="32"/>
      <w:szCs w:val="32"/>
      <w:lang w:eastAsia="en-US"/>
    </w:rPr>
  </w:style>
  <w:style w:type="paragraph" w:customStyle="1" w:styleId="EndNotes">
    <w:name w:val="EndNotes"/>
    <w:basedOn w:val="Normal"/>
    <w:rsid w:val="00A16B89"/>
    <w:pPr>
      <w:spacing w:before="120" w:line="260" w:lineRule="exact"/>
      <w:jc w:val="both"/>
    </w:pPr>
    <w:rPr>
      <w:noProof/>
    </w:rPr>
  </w:style>
  <w:style w:type="paragraph" w:customStyle="1" w:styleId="ENoteNo">
    <w:name w:val="ENoteNo"/>
    <w:basedOn w:val="EndNotes"/>
    <w:rsid w:val="00A16B89"/>
    <w:pPr>
      <w:ind w:left="357" w:hanging="357"/>
    </w:pPr>
    <w:rPr>
      <w:rFonts w:ascii="Arial" w:hAnsi="Arial"/>
      <w:b/>
    </w:rPr>
  </w:style>
  <w:style w:type="paragraph" w:customStyle="1" w:styleId="TableColHead">
    <w:name w:val="TableColHead"/>
    <w:basedOn w:val="Normal"/>
    <w:rsid w:val="00A16B89"/>
    <w:pPr>
      <w:keepNext/>
      <w:spacing w:before="120" w:after="60" w:line="200" w:lineRule="exact"/>
    </w:pPr>
    <w:rPr>
      <w:rFonts w:ascii="Arial" w:hAnsi="Arial"/>
      <w:b/>
      <w:sz w:val="18"/>
      <w:lang w:eastAsia="en-US"/>
    </w:rPr>
  </w:style>
  <w:style w:type="character" w:customStyle="1" w:styleId="CharENotesHeading">
    <w:name w:val="CharENotesHeading"/>
    <w:basedOn w:val="DefaultParagraphFont"/>
    <w:rsid w:val="00A16B89"/>
  </w:style>
  <w:style w:type="paragraph" w:customStyle="1" w:styleId="TableENotesHeading">
    <w:name w:val="TableENotesHeading"/>
    <w:basedOn w:val="NoteHeading"/>
    <w:next w:val="Normal"/>
    <w:rsid w:val="00A16B89"/>
    <w:pPr>
      <w:ind w:left="1800" w:hanging="1800"/>
    </w:pPr>
    <w:rPr>
      <w:sz w:val="28"/>
    </w:rPr>
  </w:style>
  <w:style w:type="paragraph" w:customStyle="1" w:styleId="TableOfStatRules">
    <w:name w:val="TableOfStatRules"/>
    <w:basedOn w:val="Normal"/>
    <w:rsid w:val="00A16B89"/>
    <w:pPr>
      <w:spacing w:before="60" w:line="200" w:lineRule="exact"/>
    </w:pPr>
    <w:rPr>
      <w:rFonts w:ascii="Arial" w:hAnsi="Arial"/>
      <w:sz w:val="18"/>
    </w:rPr>
  </w:style>
  <w:style w:type="paragraph" w:customStyle="1" w:styleId="TableENotesHeadingAmdt">
    <w:name w:val="TableENotesHeadingAmdt"/>
    <w:basedOn w:val="Normal"/>
    <w:next w:val="TableOfAmendHead"/>
    <w:rsid w:val="00A16B89"/>
    <w:pPr>
      <w:pageBreakBefore/>
      <w:spacing w:before="240" w:after="240" w:line="300" w:lineRule="exact"/>
      <w:ind w:left="2410" w:hanging="2410"/>
    </w:pPr>
    <w:rPr>
      <w:rFonts w:ascii="Arial" w:hAnsi="Arial"/>
      <w:b/>
      <w:noProof/>
      <w:sz w:val="28"/>
    </w:rPr>
  </w:style>
  <w:style w:type="paragraph" w:customStyle="1" w:styleId="TableOfAmendHead">
    <w:name w:val="TableOfAmendHead"/>
    <w:basedOn w:val="TableOfAmend"/>
    <w:next w:val="Normal"/>
    <w:rsid w:val="00A16B89"/>
    <w:pPr>
      <w:spacing w:after="60"/>
    </w:pPr>
    <w:rPr>
      <w:sz w:val="16"/>
    </w:rPr>
  </w:style>
  <w:style w:type="paragraph" w:customStyle="1" w:styleId="TableOfAmend">
    <w:name w:val="TableOfAmend"/>
    <w:basedOn w:val="Normal"/>
    <w:rsid w:val="00A16B89"/>
    <w:pPr>
      <w:tabs>
        <w:tab w:val="right" w:leader="dot" w:pos="2268"/>
      </w:tabs>
      <w:spacing w:before="60" w:line="200" w:lineRule="exact"/>
      <w:ind w:left="170" w:right="-11" w:hanging="170"/>
    </w:pPr>
    <w:rPr>
      <w:rFonts w:ascii="Arial" w:hAnsi="Arial"/>
      <w:sz w:val="18"/>
    </w:rPr>
  </w:style>
  <w:style w:type="paragraph" w:customStyle="1" w:styleId="Note">
    <w:name w:val="Note"/>
    <w:basedOn w:val="Normal"/>
    <w:rsid w:val="00733968"/>
    <w:pPr>
      <w:numPr>
        <w:numId w:val="29"/>
      </w:numPr>
      <w:spacing w:before="120" w:line="220" w:lineRule="exact"/>
      <w:jc w:val="both"/>
    </w:pPr>
    <w:rPr>
      <w:sz w:val="20"/>
      <w:lang w:eastAsia="en-US"/>
    </w:rPr>
  </w:style>
  <w:style w:type="paragraph" w:customStyle="1" w:styleId="alphabullet">
    <w:name w:val="alpha bullet"/>
    <w:basedOn w:val="Normal"/>
    <w:rsid w:val="00433AA3"/>
    <w:pPr>
      <w:numPr>
        <w:ilvl w:val="1"/>
        <w:numId w:val="35"/>
      </w:numPr>
      <w:tabs>
        <w:tab w:val="left" w:pos="993"/>
      </w:tabs>
      <w:spacing w:after="240"/>
    </w:pPr>
    <w:rPr>
      <w:snapToGrid w:val="0"/>
      <w:color w:val="000000"/>
    </w:rPr>
  </w:style>
  <w:style w:type="paragraph" w:customStyle="1" w:styleId="numberedpara">
    <w:name w:val="numbered para"/>
    <w:basedOn w:val="Normal"/>
    <w:rsid w:val="00433AA3"/>
    <w:pPr>
      <w:spacing w:after="240"/>
    </w:pPr>
    <w:rPr>
      <w:snapToGrid w:val="0"/>
      <w:color w:val="000000"/>
      <w:lang w:eastAsia="en-US"/>
    </w:rPr>
  </w:style>
  <w:style w:type="character" w:customStyle="1" w:styleId="alphabulletChar">
    <w:name w:val="alpha bullet Char"/>
    <w:basedOn w:val="DefaultParagraphFont"/>
    <w:rsid w:val="00433AA3"/>
    <w:rPr>
      <w:noProof w:val="0"/>
      <w:snapToGrid w:val="0"/>
      <w:color w:val="000000"/>
      <w:sz w:val="24"/>
      <w:szCs w:val="24"/>
      <w:lang w:val="en-AU" w:eastAsia="en-US" w:bidi="ar-SA"/>
    </w:rPr>
  </w:style>
  <w:style w:type="paragraph" w:styleId="ListBullet">
    <w:name w:val="List Bullet"/>
    <w:basedOn w:val="Normal"/>
    <w:autoRedefine/>
    <w:rsid w:val="00433AA3"/>
    <w:pPr>
      <w:numPr>
        <w:numId w:val="36"/>
      </w:numPr>
    </w:pPr>
  </w:style>
  <w:style w:type="paragraph" w:customStyle="1" w:styleId="Indent1">
    <w:name w:val="Indent1"/>
    <w:basedOn w:val="Normal"/>
    <w:rsid w:val="00433AA3"/>
    <w:pPr>
      <w:spacing w:before="240" w:after="240" w:line="360" w:lineRule="auto"/>
    </w:pPr>
    <w:rPr>
      <w:sz w:val="26"/>
      <w:szCs w:val="20"/>
    </w:rPr>
  </w:style>
  <w:style w:type="paragraph" w:customStyle="1" w:styleId="Default">
    <w:name w:val="Default"/>
    <w:rsid w:val="00433AA3"/>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05477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ustlii.edu.au/au/legis/cth/consol_act/ba195972/s5.html"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5960</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39153</CharactersWithSpaces>
  <SharedDoc>false</SharedDoc>
  <HLinks>
    <vt:vector size="6" baseType="variant">
      <vt:variant>
        <vt:i4>3342419</vt:i4>
      </vt:variant>
      <vt:variant>
        <vt:i4>0</vt:i4>
      </vt:variant>
      <vt:variant>
        <vt:i4>0</vt:i4>
      </vt:variant>
      <vt:variant>
        <vt:i4>5</vt:i4>
      </vt:variant>
      <vt:variant>
        <vt:lpwstr>http://www.austlii.edu.au/au/legis/cth/consol_act/ba195972/s5.html</vt:lpwstr>
      </vt:variant>
      <vt:variant>
        <vt:lpwstr>authorised_deposit-taking_institution</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
  <cp:revision>1</cp:revision>
  <cp:lastPrinted>2007-11-16T05:48:00Z</cp:lastPrinted>
  <dcterms:created xsi:type="dcterms:W3CDTF">2012-11-15T22:03:00Z</dcterms:created>
  <dcterms:modified xsi:type="dcterms:W3CDTF">2012-12-05T22:35:00Z</dcterms:modified>
</cp:coreProperties>
</file>