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99EA3C" w14:textId="77777777" w:rsidR="00403FF0" w:rsidRPr="00403FF0" w:rsidRDefault="00403FF0" w:rsidP="00403FF0">
      <w:pPr>
        <w:spacing w:before="480" w:after="0"/>
        <w:rPr>
          <w:rFonts w:ascii="Arial" w:eastAsia="Times New Roman" w:hAnsi="Arial" w:cs="Arial"/>
          <w:b/>
          <w:bCs/>
          <w:color w:val="000000"/>
          <w:sz w:val="32"/>
          <w:szCs w:val="32"/>
          <w:lang w:eastAsia="en-US"/>
        </w:rPr>
      </w:pPr>
      <w:r w:rsidRPr="00403FF0">
        <w:rPr>
          <w:rFonts w:ascii="Arial" w:eastAsia="Times New Roman" w:hAnsi="Arial" w:cs="Arial"/>
          <w:b/>
          <w:bCs/>
          <w:noProof/>
          <w:color w:val="000000"/>
          <w:sz w:val="40"/>
          <w:szCs w:val="40"/>
        </w:rPr>
        <w:drawing>
          <wp:inline distT="0" distB="0" distL="0" distR="0" wp14:anchorId="2B9D0EB6" wp14:editId="434A3296">
            <wp:extent cx="1419225" cy="1104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19225" cy="1104900"/>
                    </a:xfrm>
                    <a:prstGeom prst="rect">
                      <a:avLst/>
                    </a:prstGeom>
                    <a:noFill/>
                    <a:ln>
                      <a:noFill/>
                    </a:ln>
                  </pic:spPr>
                </pic:pic>
              </a:graphicData>
            </a:graphic>
          </wp:inline>
        </w:drawing>
      </w:r>
    </w:p>
    <w:p w14:paraId="30BBDB10" w14:textId="77777777" w:rsidR="00403FF0" w:rsidRPr="00403FF0" w:rsidRDefault="00403FF0" w:rsidP="00403FF0">
      <w:pPr>
        <w:spacing w:before="480" w:after="0"/>
        <w:rPr>
          <w:rFonts w:ascii="Arial" w:eastAsia="Times New Roman" w:hAnsi="Arial" w:cs="Arial"/>
          <w:b/>
          <w:bCs/>
          <w:color w:val="000000"/>
          <w:sz w:val="32"/>
          <w:szCs w:val="32"/>
          <w:lang w:eastAsia="en-US"/>
        </w:rPr>
      </w:pPr>
      <w:r w:rsidRPr="00403FF0">
        <w:rPr>
          <w:rFonts w:ascii="Arial" w:eastAsia="Times New Roman" w:hAnsi="Arial" w:cs="Arial"/>
          <w:b/>
          <w:bCs/>
          <w:color w:val="000000"/>
          <w:sz w:val="32"/>
          <w:szCs w:val="32"/>
          <w:lang w:eastAsia="en-US"/>
        </w:rPr>
        <w:t xml:space="preserve">Banking, Insurance and Life Insurance (prudential standard) determination No. 3 of 2016 </w:t>
      </w:r>
    </w:p>
    <w:p w14:paraId="31CFB16E" w14:textId="77777777" w:rsidR="00403FF0" w:rsidRPr="00403FF0" w:rsidRDefault="00403FF0" w:rsidP="00403FF0">
      <w:pPr>
        <w:spacing w:before="480" w:after="0"/>
        <w:rPr>
          <w:rFonts w:ascii="Arial" w:eastAsia="Times New Roman" w:hAnsi="Arial" w:cs="Arial"/>
          <w:b/>
          <w:bCs/>
          <w:color w:val="000000"/>
          <w:sz w:val="28"/>
          <w:szCs w:val="28"/>
          <w:lang w:eastAsia="en-US"/>
        </w:rPr>
      </w:pPr>
      <w:r w:rsidRPr="00403FF0">
        <w:rPr>
          <w:rFonts w:ascii="Arial" w:eastAsia="Times New Roman" w:hAnsi="Arial" w:cs="Arial"/>
          <w:b/>
          <w:bCs/>
          <w:color w:val="000000"/>
          <w:sz w:val="28"/>
          <w:szCs w:val="28"/>
          <w:lang w:eastAsia="en-US"/>
        </w:rPr>
        <w:t>Prudential Standard 3PS 222 Intra-group Transactions and Exposures</w:t>
      </w:r>
    </w:p>
    <w:p w14:paraId="07D6A0C8" w14:textId="77777777" w:rsidR="00403FF0" w:rsidRPr="00403FF0" w:rsidRDefault="00403FF0" w:rsidP="00403FF0">
      <w:pPr>
        <w:pBdr>
          <w:bottom w:val="single" w:sz="4" w:space="3" w:color="auto"/>
        </w:pBdr>
        <w:spacing w:before="480" w:after="0"/>
        <w:rPr>
          <w:rFonts w:ascii="Arial" w:eastAsia="Times New Roman" w:hAnsi="Arial"/>
          <w:i/>
          <w:iCs/>
          <w:color w:val="000000"/>
          <w:sz w:val="28"/>
          <w:szCs w:val="20"/>
        </w:rPr>
      </w:pPr>
      <w:r w:rsidRPr="00403FF0">
        <w:rPr>
          <w:rFonts w:ascii="Arial" w:eastAsia="Times New Roman" w:hAnsi="Arial"/>
          <w:i/>
          <w:iCs/>
          <w:color w:val="000000"/>
          <w:sz w:val="28"/>
          <w:szCs w:val="20"/>
        </w:rPr>
        <w:t>Banking Act 1959</w:t>
      </w:r>
    </w:p>
    <w:p w14:paraId="4FE2C7A3" w14:textId="77777777" w:rsidR="00403FF0" w:rsidRPr="00403FF0" w:rsidRDefault="00403FF0" w:rsidP="00403FF0">
      <w:pPr>
        <w:pBdr>
          <w:bottom w:val="single" w:sz="4" w:space="3" w:color="auto"/>
        </w:pBdr>
        <w:spacing w:after="0"/>
        <w:rPr>
          <w:rFonts w:ascii="Arial" w:eastAsia="Times New Roman" w:hAnsi="Arial"/>
          <w:i/>
          <w:iCs/>
          <w:color w:val="000000"/>
          <w:sz w:val="28"/>
          <w:szCs w:val="20"/>
        </w:rPr>
      </w:pPr>
      <w:r w:rsidRPr="00403FF0">
        <w:rPr>
          <w:rFonts w:ascii="Arial" w:eastAsia="Times New Roman" w:hAnsi="Arial"/>
          <w:i/>
          <w:iCs/>
          <w:color w:val="000000"/>
          <w:sz w:val="28"/>
          <w:szCs w:val="20"/>
        </w:rPr>
        <w:t>Insurance Act 1973</w:t>
      </w:r>
    </w:p>
    <w:p w14:paraId="4A118DC8" w14:textId="77777777" w:rsidR="00403FF0" w:rsidRPr="00403FF0" w:rsidRDefault="00403FF0" w:rsidP="00403FF0">
      <w:pPr>
        <w:pBdr>
          <w:bottom w:val="single" w:sz="4" w:space="3" w:color="auto"/>
        </w:pBdr>
        <w:spacing w:after="0"/>
        <w:rPr>
          <w:rFonts w:ascii="Arial" w:eastAsia="Times New Roman" w:hAnsi="Arial"/>
          <w:i/>
          <w:iCs/>
          <w:sz w:val="28"/>
          <w:szCs w:val="20"/>
          <w:lang w:eastAsia="en-US"/>
        </w:rPr>
      </w:pPr>
      <w:r w:rsidRPr="00403FF0">
        <w:rPr>
          <w:rFonts w:ascii="Arial" w:eastAsia="Times New Roman" w:hAnsi="Arial"/>
          <w:i/>
          <w:iCs/>
          <w:color w:val="000000"/>
          <w:sz w:val="28"/>
          <w:szCs w:val="20"/>
        </w:rPr>
        <w:t>Life Insurance Act 1995</w:t>
      </w:r>
    </w:p>
    <w:p w14:paraId="1E791C22" w14:textId="77777777" w:rsidR="00403FF0" w:rsidRPr="00403FF0" w:rsidRDefault="00403FF0" w:rsidP="00403FF0">
      <w:pPr>
        <w:spacing w:after="0"/>
        <w:ind w:left="720" w:hanging="720"/>
        <w:rPr>
          <w:rFonts w:eastAsia="Times New Roman"/>
          <w:color w:val="000000"/>
          <w:szCs w:val="20"/>
          <w:lang w:eastAsia="en-US"/>
        </w:rPr>
      </w:pPr>
    </w:p>
    <w:p w14:paraId="2738FC1A" w14:textId="77777777" w:rsidR="00403FF0" w:rsidRPr="00403FF0" w:rsidRDefault="00403FF0" w:rsidP="00403FF0">
      <w:pPr>
        <w:spacing w:after="0"/>
        <w:jc w:val="both"/>
        <w:rPr>
          <w:rFonts w:eastAsia="Times New Roman"/>
          <w:color w:val="000000"/>
          <w:lang w:eastAsia="en-US"/>
        </w:rPr>
      </w:pPr>
      <w:r w:rsidRPr="00403FF0">
        <w:rPr>
          <w:rFonts w:eastAsia="Times New Roman"/>
          <w:lang w:eastAsia="en-US"/>
        </w:rPr>
        <w:t>I, Wayne Byres, delegate of APRA:</w:t>
      </w:r>
    </w:p>
    <w:p w14:paraId="502C2A51" w14:textId="77777777" w:rsidR="00403FF0" w:rsidRPr="00403FF0" w:rsidRDefault="00403FF0" w:rsidP="00403FF0">
      <w:pPr>
        <w:spacing w:after="0"/>
        <w:jc w:val="both"/>
        <w:rPr>
          <w:rFonts w:eastAsia="Times New Roman"/>
          <w:color w:val="000000"/>
          <w:lang w:eastAsia="en-US"/>
        </w:rPr>
      </w:pPr>
    </w:p>
    <w:p w14:paraId="49603A18" w14:textId="77777777" w:rsidR="00403FF0" w:rsidRPr="00403FF0" w:rsidRDefault="00403FF0" w:rsidP="00403FF0">
      <w:pPr>
        <w:numPr>
          <w:ilvl w:val="0"/>
          <w:numId w:val="36"/>
        </w:numPr>
        <w:spacing w:after="0"/>
        <w:jc w:val="both"/>
        <w:rPr>
          <w:rFonts w:eastAsia="Times New Roman"/>
          <w:color w:val="000000"/>
          <w:szCs w:val="20"/>
          <w:lang w:eastAsia="en-US"/>
        </w:rPr>
      </w:pPr>
      <w:r w:rsidRPr="00403FF0">
        <w:rPr>
          <w:rFonts w:eastAsia="Times New Roman"/>
          <w:color w:val="000000"/>
          <w:szCs w:val="20"/>
          <w:lang w:eastAsia="en-US"/>
        </w:rPr>
        <w:t xml:space="preserve">under subsection 11AF(1) of the </w:t>
      </w:r>
      <w:r w:rsidRPr="00403FF0">
        <w:rPr>
          <w:rFonts w:eastAsia="Times New Roman"/>
          <w:i/>
          <w:color w:val="000000"/>
          <w:szCs w:val="20"/>
          <w:lang w:eastAsia="en-US"/>
        </w:rPr>
        <w:t>Banking Act 1959</w:t>
      </w:r>
      <w:r w:rsidRPr="00403FF0">
        <w:rPr>
          <w:rFonts w:eastAsia="Times New Roman"/>
          <w:color w:val="000000"/>
          <w:szCs w:val="20"/>
          <w:lang w:eastAsia="en-US"/>
        </w:rPr>
        <w:t xml:space="preserve"> DETERMINE </w:t>
      </w:r>
      <w:r w:rsidRPr="00403FF0">
        <w:rPr>
          <w:rFonts w:eastAsia="Times New Roman"/>
          <w:i/>
          <w:color w:val="000000"/>
          <w:szCs w:val="20"/>
          <w:lang w:eastAsia="en-US"/>
        </w:rPr>
        <w:t>Prudential Standard 3PS 222 Intra-group Transactions and Exposures</w:t>
      </w:r>
      <w:r w:rsidRPr="00403FF0">
        <w:rPr>
          <w:rFonts w:eastAsia="Times New Roman"/>
          <w:color w:val="000000"/>
          <w:lang w:eastAsia="en-US"/>
        </w:rPr>
        <w:t xml:space="preserve"> </w:t>
      </w:r>
      <w:r w:rsidRPr="00403FF0">
        <w:rPr>
          <w:rFonts w:eastAsia="Times New Roman"/>
          <w:color w:val="000000"/>
          <w:szCs w:val="20"/>
          <w:lang w:eastAsia="en-US"/>
        </w:rPr>
        <w:t xml:space="preserve">in the form set out in the Schedule, to the extent that it applies to all ADIs and authorised banking NOHCs; </w:t>
      </w:r>
    </w:p>
    <w:p w14:paraId="0BA18E4D" w14:textId="77777777" w:rsidR="00403FF0" w:rsidRPr="00403FF0" w:rsidRDefault="00403FF0" w:rsidP="00403FF0">
      <w:pPr>
        <w:spacing w:after="0"/>
        <w:ind w:left="709" w:hanging="709"/>
        <w:jc w:val="both"/>
        <w:rPr>
          <w:rFonts w:eastAsia="Times New Roman"/>
          <w:color w:val="000000"/>
          <w:lang w:eastAsia="en-US"/>
        </w:rPr>
      </w:pPr>
    </w:p>
    <w:p w14:paraId="4FDCE2CF" w14:textId="77777777" w:rsidR="00403FF0" w:rsidRPr="00403FF0" w:rsidRDefault="00403FF0" w:rsidP="00403FF0">
      <w:pPr>
        <w:numPr>
          <w:ilvl w:val="0"/>
          <w:numId w:val="36"/>
        </w:numPr>
        <w:spacing w:after="0"/>
        <w:jc w:val="both"/>
        <w:rPr>
          <w:rFonts w:eastAsia="Times New Roman"/>
          <w:color w:val="000000"/>
          <w:szCs w:val="20"/>
          <w:lang w:eastAsia="en-US"/>
        </w:rPr>
      </w:pPr>
      <w:r w:rsidRPr="00403FF0">
        <w:rPr>
          <w:rFonts w:eastAsia="Times New Roman"/>
          <w:color w:val="000000"/>
          <w:szCs w:val="20"/>
          <w:lang w:eastAsia="en-US"/>
        </w:rPr>
        <w:t xml:space="preserve">under subsection 32(1) of the </w:t>
      </w:r>
      <w:r w:rsidRPr="00403FF0">
        <w:rPr>
          <w:rFonts w:eastAsia="Times New Roman"/>
          <w:i/>
          <w:color w:val="000000"/>
          <w:szCs w:val="20"/>
          <w:lang w:eastAsia="en-US"/>
        </w:rPr>
        <w:t>Insurance Act 1973</w:t>
      </w:r>
      <w:r w:rsidRPr="00403FF0">
        <w:rPr>
          <w:rFonts w:eastAsia="Times New Roman"/>
          <w:color w:val="000000"/>
          <w:szCs w:val="20"/>
          <w:lang w:eastAsia="en-US"/>
        </w:rPr>
        <w:t xml:space="preserve"> DETERMINE </w:t>
      </w:r>
      <w:r w:rsidRPr="00403FF0">
        <w:rPr>
          <w:rFonts w:eastAsia="Times New Roman"/>
          <w:i/>
          <w:color w:val="000000"/>
          <w:szCs w:val="20"/>
          <w:lang w:eastAsia="en-US"/>
        </w:rPr>
        <w:t>Prudential Standard 3PS 222 Intra-group Transactions and Exposures</w:t>
      </w:r>
      <w:r w:rsidRPr="00403FF0">
        <w:rPr>
          <w:rFonts w:eastAsia="Times New Roman"/>
          <w:color w:val="000000"/>
          <w:lang w:eastAsia="en-US"/>
        </w:rPr>
        <w:t xml:space="preserve"> </w:t>
      </w:r>
      <w:r w:rsidRPr="00403FF0">
        <w:rPr>
          <w:rFonts w:eastAsia="Times New Roman"/>
          <w:color w:val="000000"/>
          <w:szCs w:val="20"/>
          <w:lang w:eastAsia="en-US"/>
        </w:rPr>
        <w:t>in the form set out in the Schedule, to the extent that it applies to all general insurers, authorised insurance NOHCs, and subsidiaries of general insurers and authorised insurance NOHCs; and</w:t>
      </w:r>
    </w:p>
    <w:p w14:paraId="67F5F9EF" w14:textId="77777777" w:rsidR="00403FF0" w:rsidRPr="00403FF0" w:rsidRDefault="00403FF0" w:rsidP="00403FF0">
      <w:pPr>
        <w:spacing w:after="0"/>
        <w:ind w:left="780"/>
        <w:jc w:val="both"/>
        <w:rPr>
          <w:rFonts w:eastAsia="Times New Roman"/>
          <w:color w:val="000000"/>
          <w:lang w:eastAsia="en-US"/>
        </w:rPr>
      </w:pPr>
    </w:p>
    <w:p w14:paraId="628244C0" w14:textId="77777777" w:rsidR="00403FF0" w:rsidRPr="00403FF0" w:rsidRDefault="00403FF0" w:rsidP="00403FF0">
      <w:pPr>
        <w:numPr>
          <w:ilvl w:val="0"/>
          <w:numId w:val="36"/>
        </w:numPr>
        <w:spacing w:after="0"/>
        <w:jc w:val="both"/>
        <w:rPr>
          <w:rFonts w:eastAsia="Times New Roman"/>
          <w:color w:val="000000"/>
          <w:szCs w:val="20"/>
          <w:lang w:eastAsia="en-US"/>
        </w:rPr>
      </w:pPr>
      <w:r w:rsidRPr="00403FF0">
        <w:rPr>
          <w:rFonts w:eastAsia="Times New Roman"/>
          <w:color w:val="000000"/>
          <w:szCs w:val="20"/>
          <w:lang w:eastAsia="en-US"/>
        </w:rPr>
        <w:t xml:space="preserve">under subsection 230A(1) of the </w:t>
      </w:r>
      <w:r w:rsidRPr="00403FF0">
        <w:rPr>
          <w:rFonts w:eastAsia="Times New Roman"/>
          <w:i/>
          <w:color w:val="000000"/>
          <w:szCs w:val="20"/>
          <w:lang w:eastAsia="en-US"/>
        </w:rPr>
        <w:t>Life Insurance Act 1995</w:t>
      </w:r>
      <w:r w:rsidRPr="00403FF0">
        <w:rPr>
          <w:rFonts w:eastAsia="Times New Roman"/>
          <w:color w:val="000000"/>
          <w:szCs w:val="20"/>
          <w:lang w:eastAsia="en-US"/>
        </w:rPr>
        <w:t xml:space="preserve"> DETERMINE </w:t>
      </w:r>
      <w:r w:rsidRPr="00403FF0">
        <w:rPr>
          <w:rFonts w:eastAsia="Times New Roman"/>
          <w:i/>
          <w:color w:val="000000"/>
          <w:szCs w:val="20"/>
          <w:lang w:eastAsia="en-US"/>
        </w:rPr>
        <w:t>Prudential Standard 3PS 222 Intra-group Transactions and Exposures</w:t>
      </w:r>
      <w:r w:rsidRPr="00403FF0">
        <w:rPr>
          <w:rFonts w:eastAsia="Times New Roman"/>
          <w:color w:val="000000"/>
          <w:lang w:eastAsia="en-US"/>
        </w:rPr>
        <w:t xml:space="preserve"> </w:t>
      </w:r>
      <w:r w:rsidRPr="00403FF0">
        <w:rPr>
          <w:rFonts w:eastAsia="Times New Roman"/>
          <w:color w:val="000000"/>
          <w:szCs w:val="20"/>
          <w:lang w:eastAsia="en-US"/>
        </w:rPr>
        <w:t xml:space="preserve">in the form set out in the Schedule, to the extent that it applies to all life companies, friendly societies, registered life NOHCs, and subsidiaries of life companies and registered life NOHCs.  </w:t>
      </w:r>
    </w:p>
    <w:p w14:paraId="3A946E6A" w14:textId="77777777" w:rsidR="00403FF0" w:rsidRPr="00403FF0" w:rsidRDefault="00403FF0" w:rsidP="00403FF0">
      <w:pPr>
        <w:spacing w:after="0"/>
        <w:ind w:left="709" w:hanging="709"/>
        <w:jc w:val="both"/>
        <w:rPr>
          <w:rFonts w:eastAsia="Times New Roman"/>
          <w:szCs w:val="20"/>
          <w:lang w:eastAsia="en-US"/>
        </w:rPr>
      </w:pPr>
    </w:p>
    <w:p w14:paraId="6B5CAB3A" w14:textId="77777777" w:rsidR="00403FF0" w:rsidRPr="00403FF0" w:rsidRDefault="00403FF0" w:rsidP="00403FF0">
      <w:pPr>
        <w:spacing w:after="0"/>
        <w:rPr>
          <w:rFonts w:eastAsia="Times New Roman"/>
        </w:rPr>
      </w:pPr>
      <w:r w:rsidRPr="00403FF0">
        <w:rPr>
          <w:rFonts w:eastAsia="Times New Roman"/>
        </w:rPr>
        <w:t>This instrument commences on 1 July 2017.</w:t>
      </w:r>
    </w:p>
    <w:p w14:paraId="5D21BE4A" w14:textId="77777777" w:rsidR="00403FF0" w:rsidRPr="00403FF0" w:rsidRDefault="00403FF0" w:rsidP="00403FF0">
      <w:pPr>
        <w:spacing w:after="0"/>
        <w:rPr>
          <w:rFonts w:eastAsia="Times New Roman"/>
        </w:rPr>
      </w:pPr>
    </w:p>
    <w:p w14:paraId="728DFE36" w14:textId="77777777" w:rsidR="00403FF0" w:rsidRPr="00403FF0" w:rsidRDefault="00403FF0" w:rsidP="00403FF0">
      <w:pPr>
        <w:spacing w:after="0"/>
        <w:rPr>
          <w:rFonts w:eastAsia="Times New Roman"/>
        </w:rPr>
      </w:pPr>
      <w:r w:rsidRPr="00403FF0">
        <w:rPr>
          <w:rFonts w:eastAsia="Times New Roman"/>
        </w:rPr>
        <w:t>Dated: 8 September 2016</w:t>
      </w:r>
    </w:p>
    <w:p w14:paraId="4C5E5BF2" w14:textId="77777777" w:rsidR="00403FF0" w:rsidRPr="00403FF0" w:rsidRDefault="00403FF0" w:rsidP="00403FF0">
      <w:pPr>
        <w:spacing w:after="0"/>
        <w:rPr>
          <w:rFonts w:eastAsia="Times New Roman"/>
          <w:i/>
        </w:rPr>
      </w:pPr>
    </w:p>
    <w:p w14:paraId="5AFA3658" w14:textId="0F06627B" w:rsidR="00403FF0" w:rsidRPr="00403FF0" w:rsidRDefault="00346576" w:rsidP="00403FF0">
      <w:pPr>
        <w:spacing w:after="0"/>
        <w:rPr>
          <w:rFonts w:eastAsia="Times New Roman"/>
          <w:color w:val="000000"/>
        </w:rPr>
      </w:pPr>
      <w:r>
        <w:rPr>
          <w:rFonts w:eastAsia="Times New Roman"/>
          <w:color w:val="000000"/>
        </w:rPr>
        <w:t>[Signed]</w:t>
      </w:r>
      <w:bookmarkStart w:id="0" w:name="_GoBack"/>
      <w:bookmarkEnd w:id="0"/>
    </w:p>
    <w:p w14:paraId="4C03A93B" w14:textId="77777777" w:rsidR="00403FF0" w:rsidRPr="00403FF0" w:rsidRDefault="00403FF0" w:rsidP="00403FF0">
      <w:pPr>
        <w:spacing w:after="0"/>
        <w:rPr>
          <w:rFonts w:eastAsia="Times New Roman"/>
        </w:rPr>
      </w:pPr>
    </w:p>
    <w:p w14:paraId="43801F6A" w14:textId="77777777" w:rsidR="00403FF0" w:rsidRPr="00403FF0" w:rsidRDefault="00403FF0" w:rsidP="00403FF0">
      <w:pPr>
        <w:spacing w:after="0"/>
        <w:rPr>
          <w:rFonts w:eastAsia="Times New Roman"/>
        </w:rPr>
      </w:pPr>
      <w:r w:rsidRPr="00403FF0">
        <w:rPr>
          <w:rFonts w:eastAsia="Times New Roman"/>
        </w:rPr>
        <w:t>Wayne Byres</w:t>
      </w:r>
    </w:p>
    <w:p w14:paraId="2541FD53" w14:textId="77777777" w:rsidR="00403FF0" w:rsidRPr="00403FF0" w:rsidRDefault="00403FF0" w:rsidP="00403FF0">
      <w:pPr>
        <w:spacing w:after="0"/>
        <w:rPr>
          <w:rFonts w:eastAsia="Times New Roman"/>
        </w:rPr>
      </w:pPr>
      <w:r w:rsidRPr="00403FF0">
        <w:rPr>
          <w:rFonts w:eastAsia="Times New Roman"/>
        </w:rPr>
        <w:t>Chairman</w:t>
      </w:r>
    </w:p>
    <w:p w14:paraId="6FA02E7E" w14:textId="77777777" w:rsidR="00403FF0" w:rsidRPr="00403FF0" w:rsidRDefault="00403FF0" w:rsidP="00403FF0">
      <w:pPr>
        <w:keepNext/>
        <w:spacing w:before="480" w:after="0"/>
        <w:rPr>
          <w:rFonts w:eastAsia="Times New Roman"/>
          <w:b/>
          <w:color w:val="000000"/>
          <w:lang w:eastAsia="en-US"/>
        </w:rPr>
      </w:pPr>
      <w:r w:rsidRPr="00403FF0">
        <w:rPr>
          <w:rFonts w:eastAsia="Times New Roman"/>
          <w:b/>
          <w:color w:val="000000"/>
          <w:lang w:eastAsia="en-US"/>
        </w:rPr>
        <w:lastRenderedPageBreak/>
        <w:t>Interpretation</w:t>
      </w:r>
    </w:p>
    <w:p w14:paraId="6F2493B4" w14:textId="77777777" w:rsidR="00403FF0" w:rsidRPr="00403FF0" w:rsidRDefault="00403FF0" w:rsidP="00403FF0">
      <w:pPr>
        <w:keepNext/>
        <w:tabs>
          <w:tab w:val="right" w:pos="794"/>
        </w:tabs>
        <w:spacing w:before="120" w:after="0" w:line="260" w:lineRule="exact"/>
        <w:ind w:left="964" w:hanging="964"/>
        <w:jc w:val="both"/>
        <w:rPr>
          <w:rFonts w:eastAsia="Times New Roman"/>
          <w:color w:val="000000"/>
          <w:lang w:eastAsia="en-US"/>
        </w:rPr>
      </w:pPr>
      <w:r w:rsidRPr="00403FF0">
        <w:rPr>
          <w:rFonts w:eastAsia="Times New Roman"/>
          <w:color w:val="000000"/>
          <w:lang w:eastAsia="en-US"/>
        </w:rPr>
        <w:t>In this Determination:</w:t>
      </w:r>
    </w:p>
    <w:p w14:paraId="69434B03" w14:textId="77777777" w:rsidR="00403FF0" w:rsidRPr="00403FF0" w:rsidRDefault="00403FF0" w:rsidP="00403FF0">
      <w:pPr>
        <w:spacing w:before="120" w:after="0"/>
        <w:ind w:left="720" w:hanging="720"/>
        <w:jc w:val="both"/>
        <w:rPr>
          <w:rFonts w:eastAsia="Times New Roman"/>
          <w:color w:val="000000"/>
          <w:szCs w:val="20"/>
          <w:lang w:eastAsia="en-US"/>
        </w:rPr>
      </w:pPr>
      <w:r w:rsidRPr="00403FF0">
        <w:rPr>
          <w:rFonts w:eastAsia="Times New Roman"/>
          <w:b/>
          <w:bCs/>
          <w:i/>
          <w:iCs/>
          <w:color w:val="000000"/>
          <w:szCs w:val="20"/>
          <w:lang w:eastAsia="en-US"/>
        </w:rPr>
        <w:t xml:space="preserve">ADI </w:t>
      </w:r>
      <w:r w:rsidRPr="00403FF0">
        <w:rPr>
          <w:rFonts w:eastAsia="Times New Roman"/>
          <w:bCs/>
          <w:iCs/>
          <w:color w:val="000000"/>
          <w:szCs w:val="20"/>
          <w:lang w:eastAsia="en-US"/>
        </w:rPr>
        <w:t xml:space="preserve">has the meaning given in section 5 of the </w:t>
      </w:r>
      <w:r w:rsidRPr="00403FF0">
        <w:rPr>
          <w:rFonts w:eastAsia="Times New Roman"/>
          <w:bCs/>
          <w:i/>
          <w:iCs/>
          <w:color w:val="000000"/>
          <w:szCs w:val="20"/>
          <w:lang w:eastAsia="en-US"/>
        </w:rPr>
        <w:t>Banking Act</w:t>
      </w:r>
      <w:r w:rsidRPr="00403FF0">
        <w:rPr>
          <w:rFonts w:eastAsia="Times New Roman"/>
          <w:color w:val="000000"/>
          <w:szCs w:val="20"/>
          <w:lang w:eastAsia="en-US"/>
        </w:rPr>
        <w:t xml:space="preserve"> </w:t>
      </w:r>
      <w:r w:rsidRPr="00403FF0">
        <w:rPr>
          <w:rFonts w:eastAsia="Times New Roman"/>
          <w:i/>
          <w:color w:val="000000"/>
          <w:szCs w:val="20"/>
          <w:lang w:eastAsia="en-US"/>
        </w:rPr>
        <w:t>1959</w:t>
      </w:r>
      <w:r w:rsidRPr="00403FF0">
        <w:rPr>
          <w:rFonts w:eastAsia="Times New Roman"/>
          <w:color w:val="000000"/>
          <w:szCs w:val="20"/>
          <w:lang w:eastAsia="en-US"/>
        </w:rPr>
        <w:t>.</w:t>
      </w:r>
    </w:p>
    <w:p w14:paraId="55A19E36" w14:textId="77777777" w:rsidR="00403FF0" w:rsidRPr="00403FF0" w:rsidRDefault="00403FF0" w:rsidP="00403FF0">
      <w:pPr>
        <w:spacing w:before="120" w:after="0"/>
        <w:ind w:left="720" w:hanging="720"/>
        <w:jc w:val="both"/>
        <w:rPr>
          <w:rFonts w:eastAsia="Times New Roman"/>
          <w:color w:val="000000"/>
          <w:lang w:eastAsia="en-US"/>
        </w:rPr>
      </w:pPr>
      <w:r w:rsidRPr="00403FF0">
        <w:rPr>
          <w:rFonts w:eastAsia="Times New Roman"/>
          <w:b/>
          <w:i/>
          <w:color w:val="000000"/>
          <w:lang w:eastAsia="en-US"/>
        </w:rPr>
        <w:t>APRA</w:t>
      </w:r>
      <w:r w:rsidRPr="00403FF0">
        <w:rPr>
          <w:rFonts w:eastAsia="Times New Roman"/>
          <w:color w:val="000000"/>
          <w:lang w:eastAsia="en-US"/>
        </w:rPr>
        <w:t xml:space="preserve"> means the Australian Prudential Regulation Authority.</w:t>
      </w:r>
    </w:p>
    <w:p w14:paraId="343F5B94" w14:textId="77777777" w:rsidR="00403FF0" w:rsidRPr="00403FF0" w:rsidRDefault="00403FF0" w:rsidP="00403FF0">
      <w:pPr>
        <w:spacing w:before="120" w:after="0"/>
        <w:jc w:val="both"/>
        <w:rPr>
          <w:rFonts w:eastAsia="Times New Roman"/>
          <w:color w:val="000000"/>
          <w:szCs w:val="20"/>
          <w:lang w:eastAsia="en-US"/>
        </w:rPr>
      </w:pPr>
      <w:r w:rsidRPr="00403FF0">
        <w:rPr>
          <w:rFonts w:eastAsia="Times New Roman"/>
          <w:b/>
          <w:bCs/>
          <w:i/>
          <w:iCs/>
          <w:color w:val="000000"/>
          <w:szCs w:val="20"/>
          <w:lang w:eastAsia="en-US"/>
        </w:rPr>
        <w:t>authorised banking NOHC</w:t>
      </w:r>
      <w:r w:rsidRPr="00403FF0">
        <w:rPr>
          <w:rFonts w:eastAsia="Times New Roman"/>
          <w:color w:val="000000"/>
          <w:szCs w:val="20"/>
          <w:lang w:eastAsia="en-US"/>
        </w:rPr>
        <w:t xml:space="preserve"> has the meaning given to the expression authorised NOHC in section 5 of the </w:t>
      </w:r>
      <w:r w:rsidRPr="00403FF0">
        <w:rPr>
          <w:rFonts w:eastAsia="Times New Roman"/>
          <w:i/>
          <w:color w:val="000000"/>
          <w:szCs w:val="20"/>
          <w:lang w:eastAsia="en-US"/>
        </w:rPr>
        <w:t>Banking Act</w:t>
      </w:r>
      <w:r w:rsidRPr="00403FF0">
        <w:rPr>
          <w:rFonts w:eastAsia="Times New Roman"/>
          <w:color w:val="000000"/>
          <w:szCs w:val="20"/>
          <w:lang w:eastAsia="en-US"/>
        </w:rPr>
        <w:t xml:space="preserve"> </w:t>
      </w:r>
      <w:r w:rsidRPr="00403FF0">
        <w:rPr>
          <w:rFonts w:eastAsia="Times New Roman"/>
          <w:i/>
          <w:color w:val="000000"/>
          <w:szCs w:val="20"/>
          <w:lang w:eastAsia="en-US"/>
        </w:rPr>
        <w:t>1959</w:t>
      </w:r>
      <w:r w:rsidRPr="00403FF0">
        <w:rPr>
          <w:rFonts w:eastAsia="Times New Roman"/>
          <w:color w:val="000000"/>
          <w:szCs w:val="20"/>
          <w:lang w:eastAsia="en-US"/>
        </w:rPr>
        <w:t>.</w:t>
      </w:r>
    </w:p>
    <w:p w14:paraId="7DA90E0F" w14:textId="77777777" w:rsidR="00403FF0" w:rsidRPr="00403FF0" w:rsidRDefault="00403FF0" w:rsidP="00403FF0">
      <w:pPr>
        <w:spacing w:before="120" w:after="0"/>
        <w:jc w:val="both"/>
        <w:rPr>
          <w:rFonts w:eastAsia="Times New Roman"/>
          <w:color w:val="000000"/>
          <w:szCs w:val="20"/>
          <w:lang w:eastAsia="en-US"/>
        </w:rPr>
      </w:pPr>
      <w:r w:rsidRPr="00403FF0">
        <w:rPr>
          <w:rFonts w:eastAsia="Times New Roman"/>
          <w:b/>
          <w:bCs/>
          <w:i/>
          <w:iCs/>
          <w:color w:val="000000"/>
          <w:szCs w:val="20"/>
          <w:lang w:eastAsia="en-US"/>
        </w:rPr>
        <w:t>authorised insurance NOHC</w:t>
      </w:r>
      <w:r w:rsidRPr="00403FF0">
        <w:rPr>
          <w:rFonts w:eastAsia="Times New Roman"/>
          <w:b/>
          <w:bCs/>
          <w:color w:val="000000"/>
          <w:szCs w:val="20"/>
          <w:lang w:eastAsia="en-US"/>
        </w:rPr>
        <w:t xml:space="preserve"> </w:t>
      </w:r>
      <w:r w:rsidRPr="00403FF0">
        <w:rPr>
          <w:rFonts w:eastAsia="Times New Roman"/>
          <w:color w:val="000000"/>
          <w:szCs w:val="20"/>
          <w:lang w:eastAsia="en-US"/>
        </w:rPr>
        <w:t xml:space="preserve">has the meaning given to the expression authorised NOHC in subsection 3(1) of the </w:t>
      </w:r>
      <w:r w:rsidRPr="00403FF0">
        <w:rPr>
          <w:rFonts w:eastAsia="Times New Roman"/>
          <w:i/>
          <w:color w:val="000000"/>
          <w:szCs w:val="20"/>
          <w:lang w:eastAsia="en-US"/>
        </w:rPr>
        <w:t>Insurance Act</w:t>
      </w:r>
      <w:r w:rsidRPr="00403FF0">
        <w:rPr>
          <w:rFonts w:eastAsia="Times New Roman"/>
          <w:color w:val="000000"/>
          <w:szCs w:val="20"/>
          <w:lang w:eastAsia="en-US"/>
        </w:rPr>
        <w:t xml:space="preserve"> </w:t>
      </w:r>
      <w:r w:rsidRPr="00403FF0">
        <w:rPr>
          <w:rFonts w:eastAsia="Times New Roman"/>
          <w:i/>
          <w:color w:val="000000"/>
          <w:szCs w:val="20"/>
          <w:lang w:eastAsia="en-US"/>
        </w:rPr>
        <w:t>1973</w:t>
      </w:r>
      <w:r w:rsidRPr="00403FF0">
        <w:rPr>
          <w:rFonts w:eastAsia="Times New Roman"/>
          <w:color w:val="000000"/>
          <w:szCs w:val="20"/>
          <w:lang w:eastAsia="en-US"/>
        </w:rPr>
        <w:t>.</w:t>
      </w:r>
    </w:p>
    <w:p w14:paraId="598D58B9" w14:textId="77777777" w:rsidR="00403FF0" w:rsidRPr="00403FF0" w:rsidRDefault="00403FF0" w:rsidP="00403FF0">
      <w:pPr>
        <w:spacing w:before="120" w:after="0"/>
        <w:ind w:left="720" w:hanging="720"/>
        <w:jc w:val="both"/>
        <w:rPr>
          <w:rFonts w:eastAsia="Times New Roman"/>
          <w:color w:val="000000"/>
          <w:szCs w:val="20"/>
          <w:lang w:eastAsia="en-US"/>
        </w:rPr>
      </w:pPr>
      <w:r w:rsidRPr="00403FF0">
        <w:rPr>
          <w:rFonts w:eastAsia="Times New Roman"/>
          <w:b/>
          <w:bCs/>
          <w:i/>
          <w:iCs/>
          <w:color w:val="000000"/>
          <w:szCs w:val="20"/>
          <w:lang w:eastAsia="en-US"/>
        </w:rPr>
        <w:t>friendly society</w:t>
      </w:r>
      <w:r w:rsidRPr="00403FF0">
        <w:rPr>
          <w:rFonts w:eastAsia="Times New Roman"/>
          <w:color w:val="000000"/>
          <w:szCs w:val="20"/>
          <w:lang w:eastAsia="en-US"/>
        </w:rPr>
        <w:t xml:space="preserve"> has the meaning given in section 16C of the </w:t>
      </w:r>
      <w:r w:rsidRPr="00403FF0">
        <w:rPr>
          <w:rFonts w:eastAsia="Times New Roman"/>
          <w:i/>
          <w:color w:val="000000"/>
          <w:szCs w:val="20"/>
          <w:lang w:eastAsia="en-US"/>
        </w:rPr>
        <w:t>Life Insurance Act 1995</w:t>
      </w:r>
      <w:r w:rsidRPr="00403FF0">
        <w:rPr>
          <w:rFonts w:eastAsia="Times New Roman"/>
          <w:color w:val="000000"/>
          <w:szCs w:val="20"/>
          <w:lang w:eastAsia="en-US"/>
        </w:rPr>
        <w:t>.</w:t>
      </w:r>
    </w:p>
    <w:p w14:paraId="1E91940A" w14:textId="77777777" w:rsidR="00403FF0" w:rsidRPr="00403FF0" w:rsidRDefault="00403FF0" w:rsidP="00403FF0">
      <w:pPr>
        <w:spacing w:before="120" w:after="0"/>
        <w:ind w:left="720" w:hanging="720"/>
        <w:jc w:val="both"/>
        <w:rPr>
          <w:rFonts w:eastAsia="Times New Roman"/>
          <w:color w:val="000000"/>
          <w:szCs w:val="20"/>
          <w:lang w:eastAsia="en-US"/>
        </w:rPr>
      </w:pPr>
      <w:r w:rsidRPr="00403FF0">
        <w:rPr>
          <w:rFonts w:eastAsia="Times New Roman"/>
          <w:b/>
          <w:bCs/>
          <w:i/>
          <w:iCs/>
          <w:color w:val="000000"/>
          <w:szCs w:val="20"/>
          <w:lang w:eastAsia="en-US"/>
        </w:rPr>
        <w:t>general insurer</w:t>
      </w:r>
      <w:r w:rsidRPr="00403FF0">
        <w:rPr>
          <w:rFonts w:eastAsia="Times New Roman"/>
          <w:b/>
          <w:bCs/>
          <w:color w:val="000000"/>
          <w:szCs w:val="20"/>
          <w:lang w:eastAsia="en-US"/>
        </w:rPr>
        <w:t xml:space="preserve"> </w:t>
      </w:r>
      <w:r w:rsidRPr="00403FF0">
        <w:rPr>
          <w:rFonts w:eastAsia="Times New Roman"/>
          <w:color w:val="000000"/>
          <w:szCs w:val="20"/>
          <w:lang w:eastAsia="en-US"/>
        </w:rPr>
        <w:t xml:space="preserve">has the meaning given in section 11 of the </w:t>
      </w:r>
      <w:r w:rsidRPr="00403FF0">
        <w:rPr>
          <w:rFonts w:eastAsia="Times New Roman"/>
          <w:i/>
          <w:color w:val="000000"/>
          <w:szCs w:val="20"/>
          <w:lang w:eastAsia="en-US"/>
        </w:rPr>
        <w:t>Insurance Act 1973</w:t>
      </w:r>
      <w:r w:rsidRPr="00403FF0">
        <w:rPr>
          <w:rFonts w:eastAsia="Times New Roman"/>
          <w:color w:val="000000"/>
          <w:szCs w:val="20"/>
          <w:lang w:eastAsia="en-US"/>
        </w:rPr>
        <w:t>.</w:t>
      </w:r>
    </w:p>
    <w:p w14:paraId="51E90D83" w14:textId="77777777" w:rsidR="00403FF0" w:rsidRPr="00403FF0" w:rsidRDefault="00403FF0" w:rsidP="00403FF0">
      <w:pPr>
        <w:spacing w:before="120" w:after="0"/>
        <w:ind w:left="720" w:hanging="720"/>
        <w:jc w:val="both"/>
        <w:rPr>
          <w:rFonts w:eastAsia="Times New Roman"/>
          <w:color w:val="000000"/>
          <w:szCs w:val="20"/>
          <w:lang w:eastAsia="en-US"/>
        </w:rPr>
      </w:pPr>
      <w:r w:rsidRPr="00403FF0">
        <w:rPr>
          <w:rFonts w:eastAsia="Times New Roman"/>
          <w:b/>
          <w:bCs/>
          <w:i/>
          <w:iCs/>
          <w:color w:val="000000"/>
          <w:szCs w:val="20"/>
          <w:lang w:eastAsia="en-US"/>
        </w:rPr>
        <w:t>life company</w:t>
      </w:r>
      <w:r w:rsidRPr="00403FF0">
        <w:rPr>
          <w:rFonts w:eastAsia="Times New Roman"/>
          <w:color w:val="000000"/>
          <w:szCs w:val="20"/>
          <w:lang w:eastAsia="en-US"/>
        </w:rPr>
        <w:t xml:space="preserve"> has the meaning given in the Schedule to the </w:t>
      </w:r>
      <w:r w:rsidRPr="00403FF0">
        <w:rPr>
          <w:rFonts w:eastAsia="Times New Roman"/>
          <w:i/>
          <w:color w:val="000000"/>
          <w:szCs w:val="20"/>
          <w:lang w:eastAsia="en-US"/>
        </w:rPr>
        <w:t>Life Insurance Act 1995</w:t>
      </w:r>
      <w:r w:rsidRPr="00403FF0">
        <w:rPr>
          <w:rFonts w:eastAsia="Times New Roman"/>
          <w:color w:val="000000"/>
          <w:szCs w:val="20"/>
          <w:lang w:eastAsia="en-US"/>
        </w:rPr>
        <w:t>.</w:t>
      </w:r>
    </w:p>
    <w:p w14:paraId="74B8382C" w14:textId="77777777" w:rsidR="00403FF0" w:rsidRPr="00403FF0" w:rsidRDefault="00403FF0" w:rsidP="00403FF0">
      <w:pPr>
        <w:spacing w:before="120" w:after="0"/>
        <w:jc w:val="both"/>
        <w:rPr>
          <w:rFonts w:eastAsia="Times New Roman"/>
          <w:color w:val="000000"/>
          <w:szCs w:val="20"/>
          <w:lang w:eastAsia="en-US"/>
        </w:rPr>
      </w:pPr>
      <w:r w:rsidRPr="00403FF0">
        <w:rPr>
          <w:rFonts w:eastAsia="Times New Roman"/>
          <w:b/>
          <w:bCs/>
          <w:i/>
          <w:iCs/>
          <w:color w:val="000000"/>
          <w:szCs w:val="20"/>
          <w:lang w:eastAsia="en-US"/>
        </w:rPr>
        <w:t>registered life NOHC</w:t>
      </w:r>
      <w:r w:rsidRPr="00403FF0">
        <w:rPr>
          <w:rFonts w:eastAsia="Times New Roman"/>
          <w:color w:val="000000"/>
          <w:szCs w:val="20"/>
          <w:lang w:eastAsia="en-US"/>
        </w:rPr>
        <w:t xml:space="preserve"> has the meaning given to the expression registered NOHC in the Schedule to the </w:t>
      </w:r>
      <w:r w:rsidRPr="00403FF0">
        <w:rPr>
          <w:rFonts w:eastAsia="Times New Roman"/>
          <w:i/>
          <w:color w:val="000000"/>
          <w:szCs w:val="20"/>
          <w:lang w:eastAsia="en-US"/>
        </w:rPr>
        <w:t>Life Insurance Act 1995</w:t>
      </w:r>
      <w:r w:rsidRPr="00403FF0">
        <w:rPr>
          <w:rFonts w:eastAsia="Times New Roman"/>
          <w:color w:val="000000"/>
          <w:szCs w:val="20"/>
          <w:lang w:eastAsia="en-US"/>
        </w:rPr>
        <w:t>.</w:t>
      </w:r>
    </w:p>
    <w:p w14:paraId="5A4FEB2A" w14:textId="77777777" w:rsidR="00403FF0" w:rsidRPr="00403FF0" w:rsidRDefault="00403FF0" w:rsidP="00403FF0">
      <w:pPr>
        <w:keepNext/>
        <w:autoSpaceDE w:val="0"/>
        <w:autoSpaceDN w:val="0"/>
        <w:spacing w:before="480" w:after="0"/>
        <w:rPr>
          <w:rFonts w:ascii="Arial" w:eastAsia="Times New Roman" w:hAnsi="Arial" w:cs="Arial"/>
          <w:b/>
          <w:bCs/>
          <w:color w:val="000000"/>
          <w:sz w:val="32"/>
          <w:szCs w:val="32"/>
        </w:rPr>
      </w:pPr>
    </w:p>
    <w:p w14:paraId="46FD9BC6" w14:textId="77777777" w:rsidR="00403FF0" w:rsidRPr="00403FF0" w:rsidRDefault="00403FF0" w:rsidP="00403FF0">
      <w:pPr>
        <w:keepNext/>
        <w:autoSpaceDE w:val="0"/>
        <w:autoSpaceDN w:val="0"/>
        <w:spacing w:before="480" w:after="0"/>
        <w:rPr>
          <w:rFonts w:ascii="Arial" w:eastAsia="Times New Roman" w:hAnsi="Arial" w:cs="Arial"/>
          <w:b/>
          <w:bCs/>
          <w:color w:val="000000"/>
          <w:sz w:val="32"/>
          <w:szCs w:val="32"/>
        </w:rPr>
      </w:pPr>
      <w:r w:rsidRPr="00403FF0">
        <w:rPr>
          <w:rFonts w:ascii="Arial" w:eastAsia="Times New Roman" w:hAnsi="Arial" w:cs="Arial"/>
          <w:b/>
          <w:bCs/>
          <w:color w:val="000000"/>
          <w:sz w:val="32"/>
          <w:szCs w:val="32"/>
        </w:rPr>
        <w:t xml:space="preserve">Schedule </w:t>
      </w:r>
    </w:p>
    <w:p w14:paraId="0A4DDBE4" w14:textId="77777777" w:rsidR="00403FF0" w:rsidRPr="00403FF0" w:rsidRDefault="00403FF0" w:rsidP="00403FF0">
      <w:pPr>
        <w:keepNext/>
        <w:autoSpaceDE w:val="0"/>
        <w:autoSpaceDN w:val="0"/>
        <w:spacing w:before="60" w:after="0" w:line="200" w:lineRule="exact"/>
        <w:ind w:left="2410"/>
        <w:rPr>
          <w:rFonts w:ascii="Arial" w:eastAsia="Times New Roman" w:hAnsi="Arial" w:cs="Arial"/>
          <w:color w:val="000000"/>
          <w:sz w:val="18"/>
          <w:szCs w:val="18"/>
        </w:rPr>
      </w:pPr>
    </w:p>
    <w:p w14:paraId="67F96EF3" w14:textId="77777777" w:rsidR="00403FF0" w:rsidRPr="00403FF0" w:rsidRDefault="00403FF0" w:rsidP="00403FF0">
      <w:pPr>
        <w:keepNext/>
        <w:spacing w:after="600"/>
        <w:outlineLvl w:val="0"/>
        <w:rPr>
          <w:rFonts w:eastAsia="Times New Roman"/>
          <w:b/>
          <w:sz w:val="56"/>
          <w:szCs w:val="20"/>
        </w:rPr>
      </w:pPr>
      <w:r w:rsidRPr="00403FF0">
        <w:rPr>
          <w:rFonts w:eastAsia="Times New Roman"/>
          <w:i/>
          <w:color w:val="000000"/>
        </w:rPr>
        <w:t xml:space="preserve">Prudential Standard 3PS 222 Intra-group Transactions and Exposures </w:t>
      </w:r>
      <w:r w:rsidRPr="00403FF0">
        <w:rPr>
          <w:rFonts w:eastAsia="Times New Roman"/>
          <w:bCs/>
        </w:rPr>
        <w:t>comprises the 5 pages commencing on the following page.</w:t>
      </w:r>
      <w:r w:rsidRPr="00403FF0">
        <w:rPr>
          <w:rFonts w:eastAsia="Times New Roman"/>
          <w:b/>
          <w:sz w:val="56"/>
          <w:szCs w:val="20"/>
        </w:rPr>
        <w:t xml:space="preserve"> </w:t>
      </w:r>
    </w:p>
    <w:p w14:paraId="67225829" w14:textId="77777777" w:rsidR="00403FF0" w:rsidRPr="00403FF0" w:rsidRDefault="00403FF0" w:rsidP="00403FF0">
      <w:pPr>
        <w:spacing w:after="0"/>
        <w:jc w:val="both"/>
        <w:rPr>
          <w:rFonts w:eastAsia="Times New Roman"/>
        </w:rPr>
      </w:pPr>
    </w:p>
    <w:p w14:paraId="5BA90D8C" w14:textId="77777777" w:rsidR="00403FF0" w:rsidRDefault="00403FF0" w:rsidP="003B52EB">
      <w:pPr>
        <w:spacing w:after="0"/>
        <w:sectPr w:rsidR="00403FF0" w:rsidSect="000D63A8">
          <w:headerReference w:type="default" r:id="rId9"/>
          <w:pgSz w:w="11906" w:h="16838" w:code="9"/>
          <w:pgMar w:top="1440" w:right="1797" w:bottom="1440" w:left="1797" w:header="709" w:footer="709" w:gutter="0"/>
          <w:cols w:space="708"/>
          <w:docGrid w:linePitch="360"/>
        </w:sectPr>
      </w:pPr>
    </w:p>
    <w:p w14:paraId="0130857C" w14:textId="5300AAE6" w:rsidR="003B52EB" w:rsidRDefault="00506079" w:rsidP="003B52EB">
      <w:pPr>
        <w:spacing w:after="0"/>
      </w:pPr>
      <w:r>
        <w:rPr>
          <w:noProof/>
        </w:rPr>
        <w:lastRenderedPageBreak/>
        <w:drawing>
          <wp:inline distT="0" distB="0" distL="0" distR="0" wp14:anchorId="069EED4A" wp14:editId="1A01DC3E">
            <wp:extent cx="1485900" cy="1095375"/>
            <wp:effectExtent l="0" t="0" r="0" b="9525"/>
            <wp:docPr id="2" name="Picture 1" descr="C:\Documents and Settings\rxtuck\Desktop\co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rxtuck\Desktop\co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85900" cy="1095375"/>
                    </a:xfrm>
                    <a:prstGeom prst="rect">
                      <a:avLst/>
                    </a:prstGeom>
                    <a:noFill/>
                    <a:ln>
                      <a:noFill/>
                    </a:ln>
                  </pic:spPr>
                </pic:pic>
              </a:graphicData>
            </a:graphic>
          </wp:inline>
        </w:drawing>
      </w:r>
    </w:p>
    <w:p w14:paraId="3D7D8631" w14:textId="77777777" w:rsidR="00DA3651" w:rsidRPr="009B6212" w:rsidRDefault="006A6A52" w:rsidP="001F6B8D">
      <w:pPr>
        <w:pStyle w:val="Title"/>
      </w:pPr>
      <w:bookmarkStart w:id="1" w:name="_Toc326937696"/>
      <w:r w:rsidRPr="001F6B8D">
        <w:t>Prudential</w:t>
      </w:r>
      <w:r w:rsidRPr="009B6212">
        <w:t xml:space="preserve"> Standard</w:t>
      </w:r>
      <w:r w:rsidRPr="00E07F40">
        <w:rPr>
          <w:rStyle w:val="PSNofieldtext"/>
        </w:rPr>
        <w:t xml:space="preserve"> </w:t>
      </w:r>
      <w:r w:rsidR="009F5A5F">
        <w:rPr>
          <w:rStyle w:val="PSNofieldtext"/>
        </w:rPr>
        <w:fldChar w:fldCharType="begin">
          <w:ffData>
            <w:name w:val="Text1"/>
            <w:enabled/>
            <w:calcOnExit w:val="0"/>
            <w:textInput>
              <w:default w:val="3PS 222"/>
            </w:textInput>
          </w:ffData>
        </w:fldChar>
      </w:r>
      <w:bookmarkStart w:id="2" w:name="Text1"/>
      <w:r w:rsidR="009F5A5F">
        <w:rPr>
          <w:rStyle w:val="PSNofieldtext"/>
        </w:rPr>
        <w:instrText xml:space="preserve"> FORMTEXT </w:instrText>
      </w:r>
      <w:r w:rsidR="009F5A5F">
        <w:rPr>
          <w:rStyle w:val="PSNofieldtext"/>
        </w:rPr>
      </w:r>
      <w:r w:rsidR="009F5A5F">
        <w:rPr>
          <w:rStyle w:val="PSNofieldtext"/>
        </w:rPr>
        <w:fldChar w:fldCharType="separate"/>
      </w:r>
      <w:r w:rsidR="00346576">
        <w:rPr>
          <w:rStyle w:val="PSNofieldtext"/>
          <w:noProof/>
        </w:rPr>
        <w:t>3PS 222</w:t>
      </w:r>
      <w:r w:rsidR="009F5A5F">
        <w:rPr>
          <w:rStyle w:val="PSNofieldtext"/>
        </w:rPr>
        <w:fldChar w:fldCharType="end"/>
      </w:r>
      <w:bookmarkEnd w:id="2"/>
      <w:r w:rsidR="009B6212" w:rsidRPr="009B6212">
        <w:t xml:space="preserve">  </w:t>
      </w:r>
    </w:p>
    <w:bookmarkEnd w:id="1"/>
    <w:p w14:paraId="1391DCB9" w14:textId="77777777" w:rsidR="00BC2D08" w:rsidRPr="00110917" w:rsidRDefault="009F5A5F" w:rsidP="001F6B8D">
      <w:pPr>
        <w:pStyle w:val="Title"/>
      </w:pPr>
      <w:r>
        <w:rPr>
          <w:rStyle w:val="PSNamefieldtext"/>
        </w:rPr>
        <w:fldChar w:fldCharType="begin">
          <w:ffData>
            <w:name w:val="Text2"/>
            <w:enabled/>
            <w:calcOnExit w:val="0"/>
            <w:textInput>
              <w:default w:val="Intra-Group Transactions and Exposures"/>
            </w:textInput>
          </w:ffData>
        </w:fldChar>
      </w:r>
      <w:bookmarkStart w:id="3" w:name="Text2"/>
      <w:r>
        <w:rPr>
          <w:rStyle w:val="PSNamefieldtext"/>
        </w:rPr>
        <w:instrText xml:space="preserve"> FORMTEXT </w:instrText>
      </w:r>
      <w:r>
        <w:rPr>
          <w:rStyle w:val="PSNamefieldtext"/>
        </w:rPr>
      </w:r>
      <w:r>
        <w:rPr>
          <w:rStyle w:val="PSNamefieldtext"/>
        </w:rPr>
        <w:fldChar w:fldCharType="separate"/>
      </w:r>
      <w:r w:rsidR="00346576">
        <w:rPr>
          <w:rStyle w:val="PSNamefieldtext"/>
          <w:noProof/>
        </w:rPr>
        <w:t>Intra-Group Transactions and Exposures</w:t>
      </w:r>
      <w:r>
        <w:rPr>
          <w:rStyle w:val="PSNamefieldtext"/>
        </w:rPr>
        <w:fldChar w:fldCharType="end"/>
      </w:r>
      <w:bookmarkEnd w:id="3"/>
      <w:r w:rsidR="00110917" w:rsidRPr="00110917">
        <w:t xml:space="preserve"> </w:t>
      </w:r>
      <w:r w:rsidR="00110917">
        <w:t xml:space="preserve"> </w:t>
      </w:r>
    </w:p>
    <w:tbl>
      <w:tblPr>
        <w:tblStyle w:val="TableGrid"/>
        <w:tblW w:w="0" w:type="auto"/>
        <w:shd w:val="clear" w:color="auto" w:fill="DDDDDD"/>
        <w:tblLook w:val="04A0" w:firstRow="1" w:lastRow="0" w:firstColumn="1" w:lastColumn="0" w:noHBand="0" w:noVBand="1"/>
        <w:tblCaption w:val="3PS 222 - Intra-Group Transactions and Exposures"/>
        <w:tblDescription w:val="This Prudential Standard requires a Level 3 Head to ensure that associations and dealings within the Level 3 group do not expose prudentially regulated institutions within the group to excessive risk."/>
      </w:tblPr>
      <w:tblGrid>
        <w:gridCol w:w="8302"/>
      </w:tblGrid>
      <w:tr w:rsidR="0048511B" w14:paraId="4D3CD806" w14:textId="77777777" w:rsidTr="00A97802">
        <w:trPr>
          <w:tblHeader/>
        </w:trPr>
        <w:tc>
          <w:tcPr>
            <w:tcW w:w="8528" w:type="dxa"/>
            <w:shd w:val="clear" w:color="auto" w:fill="DDDDDD"/>
          </w:tcPr>
          <w:p w14:paraId="5DCD58C2" w14:textId="1373749C" w:rsidR="003C46D7" w:rsidRPr="00B37C03" w:rsidRDefault="003C46D7" w:rsidP="00717F33">
            <w:pPr>
              <w:pStyle w:val="BoxHeading"/>
              <w:jc w:val="both"/>
            </w:pPr>
            <w:r w:rsidRPr="00B37C03">
              <w:t>Objective</w:t>
            </w:r>
            <w:r w:rsidR="00CA097B">
              <w:t>s</w:t>
            </w:r>
            <w:r w:rsidRPr="00B37C03">
              <w:t xml:space="preserve"> and key requirements of this Prudential </w:t>
            </w:r>
            <w:r w:rsidRPr="00173A04">
              <w:t>Standard</w:t>
            </w:r>
          </w:p>
          <w:p w14:paraId="29D2E31E" w14:textId="77777777" w:rsidR="0048511B" w:rsidRDefault="002E0DCB" w:rsidP="00717F33">
            <w:pPr>
              <w:jc w:val="both"/>
            </w:pPr>
            <w:r w:rsidRPr="002E0DCB">
              <w:t>This Prudential Standard requires a Level 3 Head to ensure that associations and dealings within the Level 3 group do not expose prudentially regulated institutions within the group to excessive risk.</w:t>
            </w:r>
          </w:p>
          <w:p w14:paraId="1A5FCB2B" w14:textId="77777777" w:rsidR="002E0DCB" w:rsidRDefault="002E0DCB" w:rsidP="00717F33">
            <w:pPr>
              <w:jc w:val="both"/>
            </w:pPr>
            <w:r w:rsidRPr="00406286">
              <w:t xml:space="preserve">The ultimate responsibility for the </w:t>
            </w:r>
            <w:r>
              <w:t xml:space="preserve">intra-group transactions and exposures </w:t>
            </w:r>
            <w:r w:rsidRPr="00406286">
              <w:t xml:space="preserve">policy of a </w:t>
            </w:r>
            <w:r w:rsidRPr="007A38F2">
              <w:t>Level 3 group</w:t>
            </w:r>
            <w:r>
              <w:t xml:space="preserve"> </w:t>
            </w:r>
            <w:r w:rsidRPr="00406286">
              <w:t xml:space="preserve">rests with </w:t>
            </w:r>
            <w:r>
              <w:t xml:space="preserve">the </w:t>
            </w:r>
            <w:r w:rsidRPr="007A38F2">
              <w:t>Board</w:t>
            </w:r>
            <w:r>
              <w:t xml:space="preserve"> of its </w:t>
            </w:r>
            <w:r w:rsidRPr="007A38F2">
              <w:t>Level 3 Head</w:t>
            </w:r>
            <w:r w:rsidRPr="00406286">
              <w:t>.</w:t>
            </w:r>
          </w:p>
          <w:p w14:paraId="6801FF38" w14:textId="77777777" w:rsidR="00173A04" w:rsidRDefault="00CC35B1" w:rsidP="00717F33">
            <w:pPr>
              <w:jc w:val="both"/>
            </w:pPr>
            <w:r w:rsidRPr="004570F1">
              <w:t xml:space="preserve">The key requirements of this Prudential Standard are that </w:t>
            </w:r>
            <w:r>
              <w:t>a</w:t>
            </w:r>
            <w:r w:rsidRPr="004570F1">
              <w:t xml:space="preserve"> </w:t>
            </w:r>
            <w:r w:rsidRPr="007A38F2">
              <w:t>Level 3 Head</w:t>
            </w:r>
            <w:r w:rsidRPr="004570F1">
              <w:t xml:space="preserve"> must</w:t>
            </w:r>
            <w:r>
              <w:t>:</w:t>
            </w:r>
          </w:p>
          <w:p w14:paraId="2FA8F5F0" w14:textId="77777777" w:rsidR="00CC35B1" w:rsidRDefault="00CC35B1" w:rsidP="00717F33">
            <w:pPr>
              <w:pStyle w:val="BoxBullet"/>
              <w:jc w:val="both"/>
            </w:pPr>
            <w:r>
              <w:t>have a policy for the Level 3 group that deals with the measurement, management and monitoring of, and reporting on, intra-group transactions and exposures between members of the group;</w:t>
            </w:r>
          </w:p>
          <w:p w14:paraId="7FEFD5EB" w14:textId="77777777" w:rsidR="00CC35B1" w:rsidRDefault="00CC35B1" w:rsidP="00717F33">
            <w:pPr>
              <w:pStyle w:val="BoxBullet"/>
              <w:jc w:val="both"/>
            </w:pPr>
            <w:r>
              <w:t>develop and implement effective systems and processes to manage, monitor and report on intra-group transactions and exposures; and</w:t>
            </w:r>
          </w:p>
          <w:p w14:paraId="2EEEA17E" w14:textId="77777777" w:rsidR="00CC35B1" w:rsidRPr="00B37C03" w:rsidRDefault="00CC35B1" w:rsidP="00717F33">
            <w:pPr>
              <w:pStyle w:val="BoxBullet"/>
              <w:jc w:val="both"/>
            </w:pPr>
            <w:r>
              <w:t>meet minimum requirements with respect to dealings between institutions in the Level 3 group and certain related matters.</w:t>
            </w:r>
          </w:p>
          <w:p w14:paraId="13B621D6" w14:textId="77777777" w:rsidR="00173A04" w:rsidRDefault="00CC35B1" w:rsidP="00717F33">
            <w:pPr>
              <w:keepNext/>
              <w:jc w:val="both"/>
            </w:pPr>
            <w:r w:rsidRPr="00CC35B1">
              <w:t>The requirements in this Prudential Standard are in addition to the obligations imposed on prudentially regulated institutions under other Prudential Standards.</w:t>
            </w:r>
          </w:p>
        </w:tc>
      </w:tr>
    </w:tbl>
    <w:p w14:paraId="2FBEC107" w14:textId="77777777" w:rsidR="00C67A76" w:rsidRDefault="00C67A76" w:rsidP="00C67A76">
      <w:pPr>
        <w:sectPr w:rsidR="00C67A76" w:rsidSect="00403FF0">
          <w:headerReference w:type="default" r:id="rId11"/>
          <w:footerReference w:type="default" r:id="rId12"/>
          <w:pgSz w:w="11906" w:h="16838" w:code="9"/>
          <w:pgMar w:top="1440" w:right="1797" w:bottom="1440" w:left="1797" w:header="709" w:footer="709" w:gutter="0"/>
          <w:pgNumType w:start="1"/>
          <w:cols w:space="708"/>
          <w:docGrid w:linePitch="360"/>
        </w:sectPr>
      </w:pPr>
    </w:p>
    <w:p w14:paraId="43FFF1B3" w14:textId="77777777" w:rsidR="00E07F40" w:rsidRPr="001F6B8D" w:rsidRDefault="00E07F40" w:rsidP="001F6B8D">
      <w:pPr>
        <w:pStyle w:val="Heading1"/>
      </w:pPr>
      <w:bookmarkStart w:id="4" w:name="_Toc314733116"/>
      <w:bookmarkStart w:id="5" w:name="_Toc341686774"/>
      <w:bookmarkStart w:id="6" w:name="_Toc454388925"/>
      <w:r w:rsidRPr="00B37C03">
        <w:lastRenderedPageBreak/>
        <w:t>Authority</w:t>
      </w:r>
      <w:bookmarkEnd w:id="4"/>
      <w:bookmarkEnd w:id="5"/>
      <w:bookmarkEnd w:id="6"/>
    </w:p>
    <w:p w14:paraId="4CE836CB" w14:textId="77777777" w:rsidR="00CC35B1" w:rsidRPr="0098383D" w:rsidRDefault="00CC35B1" w:rsidP="00CC35B1">
      <w:pPr>
        <w:pStyle w:val="BodyText1"/>
      </w:pPr>
      <w:bookmarkStart w:id="7" w:name="_Toc314733118"/>
      <w:bookmarkStart w:id="8" w:name="_Toc341686775"/>
      <w:bookmarkStart w:id="9" w:name="_Toc454388926"/>
      <w:r w:rsidRPr="0098383D">
        <w:t>This Prudential Standard is made under:</w:t>
      </w:r>
    </w:p>
    <w:p w14:paraId="038AF0A0" w14:textId="77777777" w:rsidR="00CC35B1" w:rsidRPr="0098383D" w:rsidRDefault="00CC35B1" w:rsidP="00CC35B1">
      <w:pPr>
        <w:pStyle w:val="BodyText2"/>
      </w:pPr>
      <w:r w:rsidRPr="0098383D">
        <w:t xml:space="preserve">section 11AF of the </w:t>
      </w:r>
      <w:r w:rsidRPr="0098383D">
        <w:rPr>
          <w:i/>
        </w:rPr>
        <w:t>Banking Act 1959</w:t>
      </w:r>
      <w:r w:rsidRPr="00066342">
        <w:t xml:space="preserve"> (</w:t>
      </w:r>
      <w:r w:rsidRPr="00923511">
        <w:t>Banking Act);</w:t>
      </w:r>
    </w:p>
    <w:p w14:paraId="043DECAA" w14:textId="77777777" w:rsidR="00CC35B1" w:rsidRPr="0098383D" w:rsidRDefault="00CC35B1" w:rsidP="00CC35B1">
      <w:pPr>
        <w:pStyle w:val="BodyText2"/>
      </w:pPr>
      <w:r w:rsidRPr="0098383D">
        <w:t xml:space="preserve">section 32 of the </w:t>
      </w:r>
      <w:r w:rsidRPr="0098383D">
        <w:rPr>
          <w:i/>
        </w:rPr>
        <w:t>Insurance Act 1973</w:t>
      </w:r>
      <w:r w:rsidRPr="00066342">
        <w:t xml:space="preserve"> (</w:t>
      </w:r>
      <w:r w:rsidRPr="00923511">
        <w:t>Insurance Act</w:t>
      </w:r>
      <w:r w:rsidRPr="00066342">
        <w:t>)</w:t>
      </w:r>
      <w:r w:rsidRPr="0098383D">
        <w:t>; and</w:t>
      </w:r>
    </w:p>
    <w:p w14:paraId="56ACF49F" w14:textId="77777777" w:rsidR="00CC35B1" w:rsidRPr="0098383D" w:rsidRDefault="00CC35B1" w:rsidP="00CC35B1">
      <w:pPr>
        <w:pStyle w:val="BodyText2"/>
      </w:pPr>
      <w:r>
        <w:t>section 230A</w:t>
      </w:r>
      <w:r w:rsidRPr="0098383D">
        <w:t xml:space="preserve"> of the </w:t>
      </w:r>
      <w:r w:rsidRPr="0098383D">
        <w:rPr>
          <w:i/>
        </w:rPr>
        <w:t>Life Insurance Act 1995</w:t>
      </w:r>
      <w:r>
        <w:t xml:space="preserve"> (</w:t>
      </w:r>
      <w:r w:rsidRPr="00923511">
        <w:t>Life Insurance Act</w:t>
      </w:r>
      <w:r>
        <w:t>)</w:t>
      </w:r>
      <w:r w:rsidRPr="0098383D">
        <w:t>.</w:t>
      </w:r>
    </w:p>
    <w:p w14:paraId="443160D0" w14:textId="77777777" w:rsidR="00E07F40" w:rsidRDefault="00E07F40" w:rsidP="001F6B8D">
      <w:pPr>
        <w:pStyle w:val="Heading1"/>
      </w:pPr>
      <w:r w:rsidRPr="00B37C03">
        <w:t>Application</w:t>
      </w:r>
      <w:bookmarkEnd w:id="7"/>
      <w:bookmarkEnd w:id="8"/>
      <w:bookmarkEnd w:id="9"/>
    </w:p>
    <w:p w14:paraId="355BD85D" w14:textId="77777777" w:rsidR="00CC35B1" w:rsidRPr="00FB5AA5" w:rsidRDefault="00CC35B1" w:rsidP="00CC35B1">
      <w:pPr>
        <w:pStyle w:val="BodyText1"/>
      </w:pPr>
      <w:bookmarkStart w:id="10" w:name="_Toc454388927"/>
      <w:r w:rsidRPr="00FB5AA5">
        <w:t xml:space="preserve">This Prudential Standard applies to each </w:t>
      </w:r>
      <w:r w:rsidRPr="007A38F2">
        <w:rPr>
          <w:b/>
        </w:rPr>
        <w:t>Level 3 Head</w:t>
      </w:r>
      <w:r w:rsidRPr="00FB5AA5">
        <w:t>.</w:t>
      </w:r>
    </w:p>
    <w:p w14:paraId="1F884898" w14:textId="77777777" w:rsidR="001F6B8D" w:rsidRDefault="00CC35B1" w:rsidP="00CC35B1">
      <w:pPr>
        <w:pStyle w:val="BodyText1"/>
      </w:pPr>
      <w:r w:rsidRPr="00FB5AA5">
        <w:t xml:space="preserve">This Prudential Standard </w:t>
      </w:r>
      <w:r>
        <w:t>commences on</w:t>
      </w:r>
      <w:r w:rsidRPr="00FB5AA5">
        <w:t xml:space="preserve"> </w:t>
      </w:r>
      <w:r w:rsidRPr="000F1303">
        <w:t>1 July 2017</w:t>
      </w:r>
      <w:r>
        <w:t>.</w:t>
      </w:r>
      <w:bookmarkEnd w:id="10"/>
    </w:p>
    <w:p w14:paraId="4A55BCC5" w14:textId="77777777" w:rsidR="00CC35B1" w:rsidRPr="00674D55" w:rsidRDefault="00CC35B1" w:rsidP="003A491C">
      <w:pPr>
        <w:pStyle w:val="Heading1"/>
      </w:pPr>
      <w:bookmarkStart w:id="11" w:name="_Toc337546692"/>
      <w:r w:rsidRPr="003A491C">
        <w:t>Interpretation</w:t>
      </w:r>
      <w:bookmarkEnd w:id="11"/>
    </w:p>
    <w:p w14:paraId="5637AB54" w14:textId="77777777" w:rsidR="00CC35B1" w:rsidRDefault="00CC35B1" w:rsidP="00CC35B1">
      <w:pPr>
        <w:pStyle w:val="BodyText1"/>
      </w:pPr>
      <w:r w:rsidRPr="0028116F">
        <w:t xml:space="preserve">Terms that are defined in </w:t>
      </w:r>
      <w:r w:rsidRPr="0028116F">
        <w:rPr>
          <w:i/>
        </w:rPr>
        <w:t>Prudential Standard 3PS 001 Definitions</w:t>
      </w:r>
      <w:r w:rsidRPr="0028116F">
        <w:t xml:space="preserve"> appear in bold the first time they are used in this Prudential Standard</w:t>
      </w:r>
      <w:r w:rsidRPr="0098383D">
        <w:t>.</w:t>
      </w:r>
    </w:p>
    <w:p w14:paraId="30B4A695" w14:textId="77777777" w:rsidR="00CC35B1" w:rsidRDefault="00CC35B1" w:rsidP="00CC35B1">
      <w:pPr>
        <w:pStyle w:val="BodyText1"/>
      </w:pPr>
      <w:r w:rsidRPr="00CA75FF">
        <w:t>Where this Prudential Standard provides for APRA to exercise a power or discretion, this power or discretion is to be exercised in writing.</w:t>
      </w:r>
    </w:p>
    <w:p w14:paraId="1D677FA4" w14:textId="77777777" w:rsidR="00CC35B1" w:rsidRPr="00674D55" w:rsidRDefault="00CC35B1" w:rsidP="003A491C">
      <w:pPr>
        <w:pStyle w:val="Heading1"/>
      </w:pPr>
      <w:bookmarkStart w:id="12" w:name="_Toc337546694"/>
      <w:r w:rsidRPr="00674D55">
        <w:t>Intra-</w:t>
      </w:r>
      <w:r w:rsidRPr="003A491C">
        <w:t>group</w:t>
      </w:r>
      <w:r w:rsidRPr="00674D55">
        <w:t xml:space="preserve"> transactions </w:t>
      </w:r>
      <w:r>
        <w:t>and</w:t>
      </w:r>
      <w:r w:rsidRPr="00674D55">
        <w:t xml:space="preserve"> exposures</w:t>
      </w:r>
      <w:bookmarkEnd w:id="12"/>
    </w:p>
    <w:p w14:paraId="2698846E" w14:textId="77777777" w:rsidR="00CC35B1" w:rsidRPr="00DD4AAA" w:rsidRDefault="00CC35B1" w:rsidP="00CC35B1">
      <w:pPr>
        <w:pStyle w:val="BodyText1"/>
      </w:pPr>
      <w:bookmarkStart w:id="13" w:name="_Ref250545691"/>
      <w:r>
        <w:t>For the purposes of this Prudential Standard, an intra-group transaction and exposure (</w:t>
      </w:r>
      <w:r w:rsidRPr="00923511">
        <w:t>ITE</w:t>
      </w:r>
      <w:r>
        <w:t>) is the total exposure, including</w:t>
      </w:r>
      <w:r w:rsidRPr="005C2D9A">
        <w:t xml:space="preserve"> on- and off-balance sheet exposures</w:t>
      </w:r>
      <w:r>
        <w:t xml:space="preserve">, of a </w:t>
      </w:r>
      <w:r w:rsidRPr="007A38F2">
        <w:rPr>
          <w:b/>
        </w:rPr>
        <w:t>Level 3 institution</w:t>
      </w:r>
      <w:r>
        <w:t xml:space="preserve"> to another </w:t>
      </w:r>
      <w:r w:rsidRPr="007A38F2">
        <w:t>Level 3 institution</w:t>
      </w:r>
      <w:r>
        <w:t xml:space="preserve"> within the same </w:t>
      </w:r>
      <w:r w:rsidRPr="007A38F2">
        <w:rPr>
          <w:b/>
        </w:rPr>
        <w:t>Level 3 group</w:t>
      </w:r>
      <w:bookmarkEnd w:id="13"/>
      <w:r w:rsidRPr="00DD4AAA">
        <w:t>.</w:t>
      </w:r>
    </w:p>
    <w:p w14:paraId="441D3F3C" w14:textId="77777777" w:rsidR="00CC35B1" w:rsidRDefault="00CC35B1" w:rsidP="00CC35B1">
      <w:pPr>
        <w:pStyle w:val="BodyText1"/>
      </w:pPr>
      <w:bookmarkStart w:id="14" w:name="Paragraph_7b"/>
      <w:bookmarkStart w:id="15" w:name="Paragraph_6"/>
      <w:bookmarkStart w:id="16" w:name="_Ref176321436"/>
      <w:bookmarkEnd w:id="14"/>
      <w:bookmarkEnd w:id="15"/>
      <w:r>
        <w:t>A</w:t>
      </w:r>
      <w:r w:rsidRPr="00D10BC8">
        <w:t xml:space="preserve"> </w:t>
      </w:r>
      <w:r w:rsidRPr="007A38F2">
        <w:t>Level 3 Head</w:t>
      </w:r>
      <w:r w:rsidRPr="00D10BC8">
        <w:t xml:space="preserve"> must have </w:t>
      </w:r>
      <w:r>
        <w:t xml:space="preserve">an ‘ITE policy’ that addresses all material risks arising in relation to ITEs associated with operations undertaken by </w:t>
      </w:r>
      <w:r w:rsidRPr="007A38F2">
        <w:t>Level 3 institutions</w:t>
      </w:r>
      <w:r>
        <w:t xml:space="preserve"> in the </w:t>
      </w:r>
      <w:r w:rsidRPr="007A38F2">
        <w:t>Level 3 group</w:t>
      </w:r>
      <w:r>
        <w:t>. The policy must include systems and</w:t>
      </w:r>
      <w:r w:rsidRPr="00D10BC8">
        <w:t xml:space="preserve"> procedures</w:t>
      </w:r>
      <w:r>
        <w:t xml:space="preserve"> </w:t>
      </w:r>
      <w:r w:rsidRPr="00D10BC8">
        <w:t xml:space="preserve">to </w:t>
      </w:r>
      <w:r>
        <w:t xml:space="preserve">identify, measure, monitor, </w:t>
      </w:r>
      <w:r>
        <w:rPr>
          <w:rFonts w:hint="eastAsia"/>
          <w:lang w:eastAsia="ko-KR"/>
        </w:rPr>
        <w:t xml:space="preserve">evaluate, </w:t>
      </w:r>
      <w:r>
        <w:t>report and control or mitigate all</w:t>
      </w:r>
      <w:r w:rsidRPr="00026A5B" w:rsidDel="006751ED">
        <w:t xml:space="preserve"> </w:t>
      </w:r>
      <w:r>
        <w:t xml:space="preserve">material </w:t>
      </w:r>
      <w:r w:rsidRPr="00D10BC8">
        <w:t>risk</w:t>
      </w:r>
      <w:r>
        <w:t>s</w:t>
      </w:r>
      <w:r w:rsidRPr="00D10BC8">
        <w:t xml:space="preserve"> arising from </w:t>
      </w:r>
      <w:r>
        <w:t xml:space="preserve">ITEs </w:t>
      </w:r>
      <w:r w:rsidRPr="00D10BC8">
        <w:t xml:space="preserve">between </w:t>
      </w:r>
      <w:r w:rsidRPr="007A38F2">
        <w:t>Level 3 institutions</w:t>
      </w:r>
      <w:r>
        <w:t xml:space="preserve"> in the group</w:t>
      </w:r>
      <w:r w:rsidRPr="00D10BC8">
        <w:t>.</w:t>
      </w:r>
    </w:p>
    <w:p w14:paraId="310FC161" w14:textId="77777777" w:rsidR="00CC35B1" w:rsidRPr="003E5EEF" w:rsidRDefault="00CC35B1" w:rsidP="00CC35B1">
      <w:pPr>
        <w:pStyle w:val="BodyText1"/>
      </w:pPr>
      <w:r w:rsidRPr="001B4768">
        <w:t xml:space="preserve">A </w:t>
      </w:r>
      <w:r w:rsidRPr="007A38F2">
        <w:t>Level 3 Head</w:t>
      </w:r>
      <w:r w:rsidRPr="001B4768">
        <w:t xml:space="preserve"> must conduct </w:t>
      </w:r>
      <w:r>
        <w:t xml:space="preserve">forward-looking scenario analysis and </w:t>
      </w:r>
      <w:r w:rsidRPr="001B4768">
        <w:t xml:space="preserve">stress testing </w:t>
      </w:r>
      <w:r>
        <w:t xml:space="preserve">of </w:t>
      </w:r>
      <w:r w:rsidRPr="001B4768">
        <w:t xml:space="preserve">the </w:t>
      </w:r>
      <w:r w:rsidRPr="007A38F2">
        <w:t>Level 3 group</w:t>
      </w:r>
      <w:r w:rsidRPr="001B4768">
        <w:t xml:space="preserve">’s </w:t>
      </w:r>
      <w:r>
        <w:t xml:space="preserve">material </w:t>
      </w:r>
      <w:r w:rsidRPr="001B4768">
        <w:t>ITEs</w:t>
      </w:r>
      <w:r>
        <w:t>. The analysis must</w:t>
      </w:r>
      <w:r w:rsidRPr="001B4768">
        <w:t xml:space="preserve"> assess the impact of changes in market conditions </w:t>
      </w:r>
      <w:r>
        <w:t xml:space="preserve">and </w:t>
      </w:r>
      <w:r w:rsidRPr="001B4768">
        <w:t xml:space="preserve">key risk factors on </w:t>
      </w:r>
      <w:r>
        <w:t>these ITEs, and how these changes impact the group’s</w:t>
      </w:r>
      <w:r w:rsidRPr="001B4768">
        <w:t xml:space="preserve"> risk profile</w:t>
      </w:r>
      <w:r>
        <w:t>, capital strength</w:t>
      </w:r>
      <w:r w:rsidRPr="001B4768">
        <w:t xml:space="preserve"> and earnings.</w:t>
      </w:r>
    </w:p>
    <w:p w14:paraId="447A853F" w14:textId="77777777" w:rsidR="00CC35B1" w:rsidRDefault="00CC35B1" w:rsidP="00CC35B1">
      <w:pPr>
        <w:pStyle w:val="BodyText1"/>
      </w:pPr>
      <w:r>
        <w:t xml:space="preserve">The management </w:t>
      </w:r>
      <w:r w:rsidRPr="0042562E">
        <w:t xml:space="preserve">of ITEs </w:t>
      </w:r>
      <w:r>
        <w:t>must be</w:t>
      </w:r>
      <w:r w:rsidRPr="0042562E">
        <w:t xml:space="preserve"> a part of </w:t>
      </w:r>
      <w:r>
        <w:t>a</w:t>
      </w:r>
      <w:r w:rsidRPr="0042562E">
        <w:t xml:space="preserve"> </w:t>
      </w:r>
      <w:r w:rsidRPr="007A38F2">
        <w:t>Level 3 group</w:t>
      </w:r>
      <w:r w:rsidRPr="0042562E">
        <w:t>’s risk management framework.</w:t>
      </w:r>
      <w:r>
        <w:rPr>
          <w:rStyle w:val="FootnoteReference"/>
        </w:rPr>
        <w:footnoteReference w:id="1"/>
      </w:r>
      <w:bookmarkEnd w:id="16"/>
    </w:p>
    <w:p w14:paraId="2B56A804" w14:textId="2A44317D" w:rsidR="00CC35B1" w:rsidRPr="00674D55" w:rsidRDefault="00CC35B1" w:rsidP="003A491C">
      <w:pPr>
        <w:pStyle w:val="Heading1"/>
      </w:pPr>
      <w:bookmarkStart w:id="17" w:name="_Toc337546696"/>
      <w:r>
        <w:t>The role</w:t>
      </w:r>
      <w:r w:rsidRPr="00674D55">
        <w:t xml:space="preserve"> o</w:t>
      </w:r>
      <w:r>
        <w:t>f</w:t>
      </w:r>
      <w:r w:rsidRPr="00674D55">
        <w:t xml:space="preserve"> the </w:t>
      </w:r>
      <w:r w:rsidRPr="003A491C">
        <w:t>Board</w:t>
      </w:r>
      <w:r w:rsidRPr="00674D55">
        <w:t xml:space="preserve"> of a </w:t>
      </w:r>
      <w:r w:rsidRPr="007A38F2">
        <w:t>Level 3 Head</w:t>
      </w:r>
      <w:bookmarkEnd w:id="17"/>
    </w:p>
    <w:p w14:paraId="36786B09" w14:textId="77777777" w:rsidR="00CC35B1" w:rsidRPr="0098383D" w:rsidRDefault="00CC35B1" w:rsidP="00CC35B1">
      <w:pPr>
        <w:pStyle w:val="BodyText1"/>
      </w:pPr>
      <w:bookmarkStart w:id="18" w:name="Paragraph_11"/>
      <w:bookmarkStart w:id="19" w:name="_Ref176229194"/>
      <w:bookmarkStart w:id="20" w:name="_Ref176321352"/>
      <w:bookmarkEnd w:id="18"/>
      <w:r>
        <w:t xml:space="preserve">The </w:t>
      </w:r>
      <w:r w:rsidRPr="007A38F2">
        <w:t>Board</w:t>
      </w:r>
      <w:r>
        <w:t xml:space="preserve"> of a </w:t>
      </w:r>
      <w:r w:rsidRPr="007A38F2">
        <w:t>Level 3 Head</w:t>
      </w:r>
      <w:r>
        <w:t xml:space="preserve"> must</w:t>
      </w:r>
      <w:r w:rsidRPr="0098383D">
        <w:t>:</w:t>
      </w:r>
    </w:p>
    <w:p w14:paraId="44AEF9FB" w14:textId="77777777" w:rsidR="00CC35B1" w:rsidRDefault="00CC35B1" w:rsidP="00CC35B1">
      <w:pPr>
        <w:pStyle w:val="BodyText2"/>
      </w:pPr>
      <w:r>
        <w:t>approve the</w:t>
      </w:r>
      <w:r w:rsidRPr="0098383D">
        <w:t xml:space="preserve"> </w:t>
      </w:r>
      <w:r>
        <w:t xml:space="preserve">ITE policy for the </w:t>
      </w:r>
      <w:r w:rsidRPr="007A38F2">
        <w:t>Level 3 group</w:t>
      </w:r>
      <w:r>
        <w:t>;</w:t>
      </w:r>
    </w:p>
    <w:p w14:paraId="07B8F77E" w14:textId="77777777" w:rsidR="00CC35B1" w:rsidRPr="004E1C58" w:rsidRDefault="00CC35B1" w:rsidP="00CC35B1">
      <w:pPr>
        <w:pStyle w:val="BodyText2"/>
      </w:pPr>
      <w:r w:rsidRPr="00252C06">
        <w:rPr>
          <w:b/>
        </w:rPr>
        <w:lastRenderedPageBreak/>
        <w:t>ensure</w:t>
      </w:r>
      <w:r w:rsidRPr="004E1C58">
        <w:t xml:space="preserve"> that adequate systems and controls are in place to identify</w:t>
      </w:r>
      <w:r>
        <w:t>, measure</w:t>
      </w:r>
      <w:r w:rsidRPr="004E1C58">
        <w:t xml:space="preserve">, </w:t>
      </w:r>
      <w:r>
        <w:t xml:space="preserve">manage, </w:t>
      </w:r>
      <w:r w:rsidRPr="004E1C58">
        <w:t xml:space="preserve">monitor and report on material ITEs in the </w:t>
      </w:r>
      <w:r w:rsidRPr="007A38F2">
        <w:t>Level 3 group</w:t>
      </w:r>
      <w:r w:rsidRPr="004E1C58">
        <w:t xml:space="preserve"> in a timely manner</w:t>
      </w:r>
      <w:r>
        <w:t xml:space="preserve"> and that those systems and controls are documented</w:t>
      </w:r>
      <w:r w:rsidRPr="004E1C58">
        <w:t>;</w:t>
      </w:r>
    </w:p>
    <w:p w14:paraId="5DFB4010" w14:textId="77777777" w:rsidR="00CC35B1" w:rsidRDefault="00CC35B1" w:rsidP="00CC35B1">
      <w:pPr>
        <w:pStyle w:val="BodyText2"/>
      </w:pPr>
      <w:r>
        <w:t xml:space="preserve">engage in oversight, which may be via </w:t>
      </w:r>
      <w:r w:rsidRPr="00BD7490">
        <w:t>a board committee</w:t>
      </w:r>
      <w:r>
        <w:t xml:space="preserve">, of the approach to the identification, measurement, management and monitoring of ITEs and compliance with the ITE policy, which </w:t>
      </w:r>
      <w:r w:rsidRPr="00200142">
        <w:t>includes receiving</w:t>
      </w:r>
      <w:r>
        <w:t xml:space="preserve"> regular reviews </w:t>
      </w:r>
      <w:r w:rsidRPr="003E5EEF">
        <w:t xml:space="preserve">of which ITEs are deemed to be material to the operations of the </w:t>
      </w:r>
      <w:r w:rsidRPr="007A38F2">
        <w:t>Level 3 group</w:t>
      </w:r>
      <w:r w:rsidRPr="003E5EEF">
        <w:t>;</w:t>
      </w:r>
      <w:r>
        <w:t xml:space="preserve"> and</w:t>
      </w:r>
    </w:p>
    <w:p w14:paraId="0AD594DC" w14:textId="77777777" w:rsidR="00CC35B1" w:rsidRDefault="00CC35B1" w:rsidP="00CC35B1">
      <w:pPr>
        <w:pStyle w:val="BodyText2"/>
      </w:pPr>
      <w:r w:rsidRPr="00BA215A">
        <w:t>review</w:t>
      </w:r>
      <w:r w:rsidRPr="00BA215A" w:rsidDel="000D6886">
        <w:t xml:space="preserve"> </w:t>
      </w:r>
      <w:r>
        <w:t xml:space="preserve">the </w:t>
      </w:r>
      <w:r w:rsidRPr="00BD7490">
        <w:t>ITE policy at least annually, to ensure that this policy remain</w:t>
      </w:r>
      <w:r>
        <w:t>s</w:t>
      </w:r>
      <w:r w:rsidRPr="00EB0B8B">
        <w:t xml:space="preserve"> adequate and appropriate </w:t>
      </w:r>
      <w:r w:rsidRPr="00590699">
        <w:t xml:space="preserve">for </w:t>
      </w:r>
      <w:r>
        <w:t>identifying, measuring, managing</w:t>
      </w:r>
      <w:r w:rsidRPr="00590699">
        <w:t xml:space="preserve"> an</w:t>
      </w:r>
      <w:r>
        <w:t>d monitoring material risks in relation to ITEs.</w:t>
      </w:r>
    </w:p>
    <w:p w14:paraId="3EBC76BE" w14:textId="77777777" w:rsidR="00CC35B1" w:rsidRDefault="00CC35B1" w:rsidP="00CC35B1">
      <w:pPr>
        <w:pStyle w:val="BodyText1"/>
      </w:pPr>
      <w:bookmarkStart w:id="21" w:name="_Ref317082207"/>
      <w:r w:rsidRPr="00E758A4">
        <w:t xml:space="preserve">If a </w:t>
      </w:r>
      <w:r w:rsidRPr="00062C15">
        <w:rPr>
          <w:b/>
        </w:rPr>
        <w:t>prudentially regulated institution</w:t>
      </w:r>
      <w:r>
        <w:t xml:space="preserve"> in the </w:t>
      </w:r>
      <w:r w:rsidRPr="007A38F2">
        <w:t>Level 3 group</w:t>
      </w:r>
      <w:r>
        <w:t xml:space="preserve"> proposes to accept </w:t>
      </w:r>
      <w:r w:rsidRPr="00E758A4">
        <w:t>terms and conditions</w:t>
      </w:r>
      <w:r>
        <w:t>, in</w:t>
      </w:r>
      <w:r w:rsidRPr="00E758A4">
        <w:t xml:space="preserve"> dealing with</w:t>
      </w:r>
      <w:r>
        <w:t xml:space="preserve"> </w:t>
      </w:r>
      <w:r w:rsidRPr="007A38F2">
        <w:t>Level 3 institutions</w:t>
      </w:r>
      <w:r w:rsidRPr="00E758A4">
        <w:t xml:space="preserve"> </w:t>
      </w:r>
      <w:r>
        <w:t xml:space="preserve">in the group, </w:t>
      </w:r>
      <w:r w:rsidRPr="00E758A4">
        <w:t xml:space="preserve">that are </w:t>
      </w:r>
      <w:r>
        <w:t>not consistent with terms and conditions that would be negotiated on an arms-length basis in such a dealing</w:t>
      </w:r>
      <w:r w:rsidRPr="00E758A4">
        <w:t>, th</w:t>
      </w:r>
      <w:r>
        <w:t>ose</w:t>
      </w:r>
      <w:r w:rsidRPr="00E758A4">
        <w:t xml:space="preserve"> </w:t>
      </w:r>
      <w:r>
        <w:t xml:space="preserve">terms and conditions </w:t>
      </w:r>
      <w:r w:rsidRPr="00E758A4">
        <w:t xml:space="preserve">must </w:t>
      </w:r>
      <w:r>
        <w:t xml:space="preserve">first </w:t>
      </w:r>
      <w:r w:rsidRPr="00E758A4">
        <w:t xml:space="preserve">be approved by the </w:t>
      </w:r>
      <w:r w:rsidRPr="007A38F2">
        <w:t>Board</w:t>
      </w:r>
      <w:r w:rsidRPr="00E758A4">
        <w:t xml:space="preserve"> of the </w:t>
      </w:r>
      <w:r w:rsidRPr="007A38F2">
        <w:t>Level 3 Head</w:t>
      </w:r>
      <w:r>
        <w:t xml:space="preserve"> </w:t>
      </w:r>
      <w:r w:rsidRPr="00E758A4">
        <w:t>with justification fully and clearly documented.</w:t>
      </w:r>
    </w:p>
    <w:p w14:paraId="5F24210D" w14:textId="77777777" w:rsidR="00CC35B1" w:rsidRPr="006C35AD" w:rsidRDefault="00CC35B1" w:rsidP="003A491C">
      <w:pPr>
        <w:pStyle w:val="Heading1"/>
      </w:pPr>
      <w:bookmarkStart w:id="22" w:name="_Toc337546697"/>
      <w:r w:rsidRPr="006C35AD">
        <w:t xml:space="preserve">The </w:t>
      </w:r>
      <w:r w:rsidRPr="003A491C">
        <w:t>ITE</w:t>
      </w:r>
      <w:r w:rsidRPr="006C35AD">
        <w:t xml:space="preserve"> policy</w:t>
      </w:r>
      <w:bookmarkEnd w:id="22"/>
    </w:p>
    <w:p w14:paraId="0814DB40" w14:textId="77777777" w:rsidR="00CC35B1" w:rsidRPr="006C35AD" w:rsidRDefault="00CC35B1" w:rsidP="00CC35B1">
      <w:pPr>
        <w:pStyle w:val="BodyText1"/>
      </w:pPr>
      <w:r w:rsidRPr="006C35AD">
        <w:t xml:space="preserve">The ITE policy for a </w:t>
      </w:r>
      <w:r w:rsidRPr="007A38F2">
        <w:t>Level 3 group</w:t>
      </w:r>
      <w:r w:rsidRPr="006C35AD">
        <w:t xml:space="preserve"> must:</w:t>
      </w:r>
    </w:p>
    <w:p w14:paraId="232BCC77" w14:textId="77777777" w:rsidR="00CC35B1" w:rsidRPr="006C35AD" w:rsidRDefault="00CC35B1" w:rsidP="00CC35B1">
      <w:pPr>
        <w:pStyle w:val="BodyText2"/>
      </w:pPr>
      <w:r w:rsidRPr="006C35AD">
        <w:t xml:space="preserve">be conceptually sound, consistently implemented, transparent and </w:t>
      </w:r>
      <w:r>
        <w:t>be subject to</w:t>
      </w:r>
      <w:r w:rsidRPr="006C35AD">
        <w:t xml:space="preserve"> independent review</w:t>
      </w:r>
      <w:r>
        <w:t>;</w:t>
      </w:r>
    </w:p>
    <w:p w14:paraId="624FBD22" w14:textId="77777777" w:rsidR="00CC35B1" w:rsidRDefault="00CC35B1" w:rsidP="00CC35B1">
      <w:pPr>
        <w:pStyle w:val="BodyText2"/>
      </w:pPr>
      <w:r>
        <w:t xml:space="preserve">capture all material </w:t>
      </w:r>
      <w:r w:rsidRPr="006C35AD">
        <w:t>ITEs</w:t>
      </w:r>
      <w:r>
        <w:t>;</w:t>
      </w:r>
    </w:p>
    <w:p w14:paraId="28179B44" w14:textId="77777777" w:rsidR="00CC35B1" w:rsidRDefault="00CC35B1" w:rsidP="00CC35B1">
      <w:pPr>
        <w:pStyle w:val="BodyText2"/>
      </w:pPr>
      <w:r>
        <w:t xml:space="preserve">include limits on acceptable </w:t>
      </w:r>
      <w:r w:rsidRPr="006A7919">
        <w:t>levels of ITEs</w:t>
      </w:r>
      <w:r>
        <w:t xml:space="preserve"> for a </w:t>
      </w:r>
      <w:r w:rsidRPr="007A38F2">
        <w:t>Level 3 institution</w:t>
      </w:r>
      <w:r>
        <w:t xml:space="preserve"> in the </w:t>
      </w:r>
      <w:r w:rsidRPr="007A38F2">
        <w:t>Level 3 group</w:t>
      </w:r>
      <w:r>
        <w:t xml:space="preserve"> having regard to:</w:t>
      </w:r>
    </w:p>
    <w:p w14:paraId="2CAC5858" w14:textId="77777777" w:rsidR="00CC35B1" w:rsidRPr="00101A33" w:rsidRDefault="00CC35B1" w:rsidP="00491BC7">
      <w:pPr>
        <w:pStyle w:val="BodyText3"/>
      </w:pPr>
      <w:r w:rsidRPr="006A7919">
        <w:t xml:space="preserve">the </w:t>
      </w:r>
      <w:r w:rsidRPr="007A38F2">
        <w:t>Level 3 institution</w:t>
      </w:r>
      <w:r>
        <w:t xml:space="preserve">’s </w:t>
      </w:r>
      <w:r w:rsidRPr="007A38F2">
        <w:t>Board</w:t>
      </w:r>
      <w:r>
        <w:t xml:space="preserve">-approved limits on </w:t>
      </w:r>
      <w:r w:rsidRPr="006A7919">
        <w:t xml:space="preserve">exposures </w:t>
      </w:r>
      <w:r>
        <w:t xml:space="preserve">to unrelated institutions </w:t>
      </w:r>
      <w:r w:rsidRPr="006A7919">
        <w:t>of broadly equivalent credit status; and</w:t>
      </w:r>
    </w:p>
    <w:p w14:paraId="6AC5FD3C" w14:textId="77777777" w:rsidR="00CC35B1" w:rsidRPr="00101A33" w:rsidRDefault="00CC35B1" w:rsidP="00491BC7">
      <w:pPr>
        <w:pStyle w:val="BodyText3"/>
      </w:pPr>
      <w:r w:rsidRPr="006C35AD">
        <w:t xml:space="preserve">the </w:t>
      </w:r>
      <w:r>
        <w:t xml:space="preserve">potential </w:t>
      </w:r>
      <w:r w:rsidRPr="006C35AD">
        <w:t xml:space="preserve">impact on the </w:t>
      </w:r>
      <w:r w:rsidRPr="007A38F2">
        <w:t>Level 3 group</w:t>
      </w:r>
      <w:r w:rsidRPr="006C35AD">
        <w:t xml:space="preserve">’s capital and liquidity positions, as well as </w:t>
      </w:r>
      <w:r>
        <w:t xml:space="preserve">the institution’s </w:t>
      </w:r>
      <w:r w:rsidRPr="006C35AD">
        <w:t xml:space="preserve">ability to continue operating, </w:t>
      </w:r>
      <w:r>
        <w:t xml:space="preserve">as a result </w:t>
      </w:r>
      <w:r w:rsidRPr="006C35AD">
        <w:t xml:space="preserve">of a failure of any </w:t>
      </w:r>
      <w:r>
        <w:t>other institution</w:t>
      </w:r>
      <w:r w:rsidRPr="006C35AD">
        <w:t xml:space="preserve"> in the group</w:t>
      </w:r>
      <w:r>
        <w:t>;</w:t>
      </w:r>
      <w:r>
        <w:rPr>
          <w:rFonts w:hint="eastAsia"/>
          <w:lang w:eastAsia="ko-KR"/>
        </w:rPr>
        <w:t xml:space="preserve"> and</w:t>
      </w:r>
    </w:p>
    <w:p w14:paraId="4890DBC2" w14:textId="77777777" w:rsidR="00CC35B1" w:rsidRPr="00B673B6" w:rsidRDefault="00CC35B1" w:rsidP="00CC35B1">
      <w:pPr>
        <w:pStyle w:val="BodyText2"/>
      </w:pPr>
      <w:r w:rsidRPr="00B673B6">
        <w:t xml:space="preserve">include </w:t>
      </w:r>
      <w:bookmarkStart w:id="23" w:name="_Ref337482582"/>
      <w:r w:rsidRPr="00B673B6">
        <w:t xml:space="preserve">a description of the procedures for identifying, reviewing, controlling and reporting material ITEs within the </w:t>
      </w:r>
      <w:r w:rsidRPr="007A38F2">
        <w:t>Level 3 group</w:t>
      </w:r>
      <w:r w:rsidRPr="00B673B6">
        <w:t>. This must include:</w:t>
      </w:r>
      <w:bookmarkEnd w:id="23"/>
    </w:p>
    <w:p w14:paraId="784B9024" w14:textId="77777777" w:rsidR="00CC35B1" w:rsidRPr="00491BC7" w:rsidRDefault="00CC35B1" w:rsidP="00491BC7">
      <w:pPr>
        <w:pStyle w:val="BodyText3"/>
      </w:pPr>
      <w:r w:rsidRPr="00491BC7">
        <w:t xml:space="preserve">a clear statement of the respective responsibilities and compliance obligations on the Board of the Level 3 Head, its board committees and </w:t>
      </w:r>
      <w:r w:rsidRPr="00491BC7">
        <w:rPr>
          <w:b/>
        </w:rPr>
        <w:t>senior management</w:t>
      </w:r>
      <w:r w:rsidRPr="00491BC7">
        <w:t xml:space="preserve"> of the Level 3 group in relation to the monitoring and management of material ITEs;</w:t>
      </w:r>
    </w:p>
    <w:p w14:paraId="05E5C026" w14:textId="77777777" w:rsidR="00CC35B1" w:rsidRDefault="00CC35B1" w:rsidP="00491BC7">
      <w:pPr>
        <w:pStyle w:val="BodyText3"/>
      </w:pPr>
      <w:r w:rsidRPr="00101A33">
        <w:t xml:space="preserve">escalation procedures for ITEs </w:t>
      </w:r>
      <w:r>
        <w:t>that</w:t>
      </w:r>
      <w:r w:rsidRPr="00101A33">
        <w:t xml:space="preserve"> facilitate responses to identified policy breaches between formal reporting cycles;</w:t>
      </w:r>
    </w:p>
    <w:p w14:paraId="5A092A13" w14:textId="77777777" w:rsidR="00CC35B1" w:rsidRDefault="00CC35B1" w:rsidP="00491BC7">
      <w:pPr>
        <w:pStyle w:val="BodyText3"/>
      </w:pPr>
      <w:r w:rsidRPr="00C37E60">
        <w:lastRenderedPageBreak/>
        <w:t xml:space="preserve">the circumstances in which </w:t>
      </w:r>
      <w:r>
        <w:t xml:space="preserve">ITE </w:t>
      </w:r>
      <w:r w:rsidRPr="00C37E60">
        <w:t>limits may be exceeded and the authority required for approving such excesses;</w:t>
      </w:r>
    </w:p>
    <w:p w14:paraId="2CA0048E" w14:textId="77777777" w:rsidR="00CC35B1" w:rsidRPr="0098383D" w:rsidRDefault="00CC35B1" w:rsidP="00491BC7">
      <w:pPr>
        <w:pStyle w:val="BodyText3"/>
      </w:pPr>
      <w:r w:rsidRPr="0098383D">
        <w:t xml:space="preserve">procedures for resolving any conflict of interest arising </w:t>
      </w:r>
      <w:r>
        <w:t>in relation to</w:t>
      </w:r>
      <w:r w:rsidRPr="0098383D">
        <w:t xml:space="preserve"> </w:t>
      </w:r>
      <w:r>
        <w:t>ITEs</w:t>
      </w:r>
      <w:r w:rsidRPr="0098383D">
        <w:t>;</w:t>
      </w:r>
    </w:p>
    <w:p w14:paraId="11DB7369" w14:textId="77777777" w:rsidR="00CC35B1" w:rsidRPr="0098383D" w:rsidRDefault="00CC35B1" w:rsidP="00491BC7">
      <w:pPr>
        <w:pStyle w:val="BodyText3"/>
      </w:pPr>
      <w:r>
        <w:t>procedures for the</w:t>
      </w:r>
      <w:r w:rsidRPr="0098383D">
        <w:t xml:space="preserve"> participation </w:t>
      </w:r>
      <w:r>
        <w:t xml:space="preserve">of prudentially regulated institutions </w:t>
      </w:r>
      <w:r w:rsidRPr="0098383D">
        <w:t xml:space="preserve">in </w:t>
      </w:r>
      <w:r w:rsidRPr="007A38F2">
        <w:t>Level 3 group</w:t>
      </w:r>
      <w:r>
        <w:t>-wide</w:t>
      </w:r>
      <w:r w:rsidRPr="0098383D">
        <w:t xml:space="preserve"> operations;</w:t>
      </w:r>
    </w:p>
    <w:p w14:paraId="2AE742FC" w14:textId="77777777" w:rsidR="00CC35B1" w:rsidRDefault="00CC35B1" w:rsidP="00491BC7">
      <w:pPr>
        <w:pStyle w:val="BodyText3"/>
      </w:pPr>
      <w:r>
        <w:t>processes to ensure the transparency of dealings with entities external to the Level 3 group that are</w:t>
      </w:r>
      <w:r w:rsidRPr="0098383D">
        <w:t xml:space="preserve"> associated with </w:t>
      </w:r>
      <w:r>
        <w:t>ITEs;</w:t>
      </w:r>
    </w:p>
    <w:p w14:paraId="05018E19" w14:textId="77777777" w:rsidR="00CC35B1" w:rsidRDefault="00CC35B1" w:rsidP="00491BC7">
      <w:pPr>
        <w:pStyle w:val="BodyText3"/>
      </w:pPr>
      <w:r>
        <w:t xml:space="preserve">thresholds and procedures for reporting material changes to the </w:t>
      </w:r>
      <w:r w:rsidRPr="007A38F2">
        <w:t>Board</w:t>
      </w:r>
      <w:r>
        <w:t xml:space="preserve"> of the </w:t>
      </w:r>
      <w:r w:rsidRPr="007A38F2">
        <w:t>Level 3 Head</w:t>
      </w:r>
      <w:r>
        <w:t>, in both formal reporting cycles and outside formal reporting cycles; and</w:t>
      </w:r>
    </w:p>
    <w:p w14:paraId="27B512AD" w14:textId="77777777" w:rsidR="00CC35B1" w:rsidRDefault="00CC35B1" w:rsidP="00491BC7">
      <w:pPr>
        <w:pStyle w:val="BodyText3"/>
      </w:pPr>
      <w:r>
        <w:t xml:space="preserve">a timetable for a regular review of the reports by the </w:t>
      </w:r>
      <w:r w:rsidRPr="007A38F2">
        <w:t>Board</w:t>
      </w:r>
      <w:r>
        <w:t xml:space="preserve"> of the </w:t>
      </w:r>
      <w:r w:rsidRPr="007A38F2">
        <w:t>Level 3 Head</w:t>
      </w:r>
      <w:r>
        <w:t>.</w:t>
      </w:r>
    </w:p>
    <w:p w14:paraId="689A3629" w14:textId="77777777" w:rsidR="006D4309" w:rsidRPr="00674D55" w:rsidRDefault="006D4309" w:rsidP="003A491C">
      <w:pPr>
        <w:pStyle w:val="Heading1"/>
      </w:pPr>
      <w:r w:rsidRPr="003A491C">
        <w:t>Participation</w:t>
      </w:r>
      <w:r w:rsidRPr="00674D55">
        <w:t xml:space="preserve"> in group</w:t>
      </w:r>
      <w:r>
        <w:t>-wide</w:t>
      </w:r>
      <w:r w:rsidRPr="00674D55">
        <w:t xml:space="preserve"> operations</w:t>
      </w:r>
    </w:p>
    <w:p w14:paraId="7F1CAF63" w14:textId="77777777" w:rsidR="006D4309" w:rsidRDefault="006D4309" w:rsidP="006D4309">
      <w:pPr>
        <w:pStyle w:val="BodyText1"/>
      </w:pPr>
      <w:r>
        <w:t>A</w:t>
      </w:r>
      <w:r w:rsidRPr="0067408F">
        <w:t xml:space="preserve"> </w:t>
      </w:r>
      <w:r w:rsidRPr="007A38F2">
        <w:t>Level 3 Head</w:t>
      </w:r>
      <w:r w:rsidRPr="0067408F">
        <w:t xml:space="preserve"> must establish policies and procedures to address risks </w:t>
      </w:r>
      <w:r>
        <w:t>posed to the group</w:t>
      </w:r>
      <w:r w:rsidRPr="0067408F">
        <w:t xml:space="preserve"> from the participation of any </w:t>
      </w:r>
      <w:r>
        <w:t>prudentially regulated institution</w:t>
      </w:r>
      <w:r w:rsidRPr="0067408F">
        <w:t xml:space="preserve"> in </w:t>
      </w:r>
      <w:r w:rsidRPr="007A38F2">
        <w:t>Level 3 group</w:t>
      </w:r>
      <w:r>
        <w:t>-wide</w:t>
      </w:r>
      <w:r w:rsidRPr="0067408F">
        <w:t xml:space="preserve"> operations</w:t>
      </w:r>
      <w:r>
        <w:t xml:space="preserve"> including</w:t>
      </w:r>
      <w:r>
        <w:rPr>
          <w:rFonts w:hint="eastAsia"/>
          <w:lang w:eastAsia="ko-KR"/>
        </w:rPr>
        <w:t>,</w:t>
      </w:r>
      <w:r>
        <w:t xml:space="preserve"> but not limited to</w:t>
      </w:r>
      <w:r>
        <w:rPr>
          <w:rFonts w:hint="eastAsia"/>
          <w:lang w:eastAsia="ko-KR"/>
        </w:rPr>
        <w:t>,</w:t>
      </w:r>
      <w:r>
        <w:t xml:space="preserve"> </w:t>
      </w:r>
      <w:r w:rsidRPr="0067408F">
        <w:t>shar</w:t>
      </w:r>
      <w:r>
        <w:t>ing</w:t>
      </w:r>
      <w:r w:rsidRPr="0067408F">
        <w:t xml:space="preserve"> premises with other </w:t>
      </w:r>
      <w:r w:rsidRPr="007A38F2">
        <w:t>Level 3 institutions</w:t>
      </w:r>
      <w:r w:rsidRPr="0067408F">
        <w:t>, centralis</w:t>
      </w:r>
      <w:r>
        <w:t>ing</w:t>
      </w:r>
      <w:r w:rsidRPr="0067408F">
        <w:t xml:space="preserve"> back-office functions</w:t>
      </w:r>
      <w:r>
        <w:t xml:space="preserve"> or</w:t>
      </w:r>
      <w:r w:rsidRPr="0067408F">
        <w:t xml:space="preserve"> outsourc</w:t>
      </w:r>
      <w:r>
        <w:t>ing</w:t>
      </w:r>
      <w:r w:rsidRPr="0067408F">
        <w:t xml:space="preserve"> services to other </w:t>
      </w:r>
      <w:r w:rsidRPr="007A38F2">
        <w:t>Level 3 institutions</w:t>
      </w:r>
      <w:r w:rsidRPr="0067408F">
        <w:t>.</w:t>
      </w:r>
    </w:p>
    <w:p w14:paraId="0A8169C5" w14:textId="77777777" w:rsidR="006D4309" w:rsidRPr="0067408F" w:rsidRDefault="006D4309" w:rsidP="006D4309">
      <w:pPr>
        <w:pStyle w:val="BodyText1"/>
      </w:pPr>
      <w:r>
        <w:t xml:space="preserve">Where a prudentially regulated institution participates in </w:t>
      </w:r>
      <w:r w:rsidRPr="007A38F2">
        <w:t>Level 3 group</w:t>
      </w:r>
      <w:r>
        <w:t xml:space="preserve">-wide activities, a </w:t>
      </w:r>
      <w:r w:rsidRPr="007A38F2">
        <w:t>Level 3 Head</w:t>
      </w:r>
      <w:r>
        <w:t xml:space="preserve"> must</w:t>
      </w:r>
      <w:r w:rsidRPr="0067408F">
        <w:t>:</w:t>
      </w:r>
    </w:p>
    <w:p w14:paraId="21C36756" w14:textId="77777777" w:rsidR="006D4309" w:rsidRPr="006D4309" w:rsidRDefault="006D4309" w:rsidP="006D4309">
      <w:pPr>
        <w:pStyle w:val="BodyText2"/>
      </w:pPr>
      <w:r w:rsidRPr="006D4309">
        <w:t>consider the risks posed to that institution on a standalone basis as a result of its participation in such activities;</w:t>
      </w:r>
    </w:p>
    <w:p w14:paraId="60600DA1" w14:textId="77777777" w:rsidR="006D4309" w:rsidRPr="006D4309" w:rsidRDefault="006D4309" w:rsidP="006D4309">
      <w:pPr>
        <w:pStyle w:val="BodyText2"/>
      </w:pPr>
      <w:r w:rsidRPr="006D4309">
        <w:t>be satisfied that these ITEs are appropriately addressed by the Level 3 group’s risk management policies;</w:t>
      </w:r>
    </w:p>
    <w:p w14:paraId="5FF7CCF3" w14:textId="77777777" w:rsidR="006D4309" w:rsidRPr="006D4309" w:rsidRDefault="006D4309" w:rsidP="006D4309">
      <w:pPr>
        <w:pStyle w:val="BodyText2"/>
      </w:pPr>
      <w:r w:rsidRPr="006D4309">
        <w:t>ensure dealings with other parties arising from participation in group-wide operations are appropriately documented in written service agreements</w:t>
      </w:r>
      <w:r w:rsidRPr="006D4309">
        <w:rPr>
          <w:rStyle w:val="FootnoteReference"/>
        </w:rPr>
        <w:footnoteReference w:id="2"/>
      </w:r>
      <w:r w:rsidRPr="006D4309">
        <w:t>;</w:t>
      </w:r>
    </w:p>
    <w:p w14:paraId="407E82F5" w14:textId="77777777" w:rsidR="006D4309" w:rsidRPr="006D4309" w:rsidRDefault="006D4309" w:rsidP="006D4309">
      <w:pPr>
        <w:pStyle w:val="BodyText2"/>
      </w:pPr>
      <w:r w:rsidRPr="006D4309">
        <w:t>facilitate APRA being able to obtain information required for the supervision of either individual prudentially regu</w:t>
      </w:r>
      <w:r w:rsidR="003A491C">
        <w:t xml:space="preserve">lated institutions or the Level </w:t>
      </w:r>
      <w:r w:rsidRPr="006D4309">
        <w:t>3 group as a whole; and</w:t>
      </w:r>
    </w:p>
    <w:p w14:paraId="5072D46F" w14:textId="77777777" w:rsidR="006D4309" w:rsidRPr="006D4309" w:rsidRDefault="006D4309" w:rsidP="006D4309">
      <w:pPr>
        <w:pStyle w:val="BodyText2"/>
      </w:pPr>
      <w:r w:rsidRPr="006D4309">
        <w:t xml:space="preserve">ensure </w:t>
      </w:r>
      <w:r w:rsidRPr="006D4309">
        <w:rPr>
          <w:rFonts w:hint="eastAsia"/>
        </w:rPr>
        <w:t xml:space="preserve">that </w:t>
      </w:r>
      <w:r w:rsidRPr="006D4309">
        <w:t>there is a clear obligation under the written arrangements for any service provider to comply with any direction given by APRA in relation to the operations of any prudentially regulated institution within the Level 3 group.</w:t>
      </w:r>
    </w:p>
    <w:p w14:paraId="604C8196" w14:textId="77777777" w:rsidR="006D4309" w:rsidRPr="00674D55" w:rsidRDefault="006D4309" w:rsidP="003A491C">
      <w:pPr>
        <w:pStyle w:val="Heading1"/>
      </w:pPr>
      <w:bookmarkStart w:id="24" w:name="_Toc337546699"/>
      <w:r w:rsidRPr="00674D55">
        <w:lastRenderedPageBreak/>
        <w:t>Internal reporting systems</w:t>
      </w:r>
      <w:bookmarkEnd w:id="24"/>
    </w:p>
    <w:p w14:paraId="72143A78" w14:textId="77777777" w:rsidR="006D4309" w:rsidRPr="005A04E1" w:rsidRDefault="006D4309" w:rsidP="006D4309">
      <w:pPr>
        <w:pStyle w:val="BodyText1"/>
      </w:pPr>
      <w:r>
        <w:t xml:space="preserve">A </w:t>
      </w:r>
      <w:r w:rsidRPr="007A38F2">
        <w:t>Level 3 Head</w:t>
      </w:r>
      <w:r>
        <w:t xml:space="preserve">’s management information systems must incorporate reporting systems in relation to ITEs across the </w:t>
      </w:r>
      <w:r w:rsidRPr="007A38F2">
        <w:t>Level 3 group</w:t>
      </w:r>
      <w:r>
        <w:t>.</w:t>
      </w:r>
      <w:r w:rsidRPr="006D4309">
        <w:rPr>
          <w:rStyle w:val="FootnoteReference"/>
        </w:rPr>
        <w:footnoteReference w:id="3"/>
      </w:r>
    </w:p>
    <w:p w14:paraId="0D140BC7" w14:textId="77777777" w:rsidR="006D4309" w:rsidRDefault="006D4309" w:rsidP="006D4309">
      <w:pPr>
        <w:pStyle w:val="BodyText1"/>
      </w:pPr>
      <w:r>
        <w:t>Reports on material ITEs must be provided to APRA on request.</w:t>
      </w:r>
    </w:p>
    <w:p w14:paraId="55148046" w14:textId="77777777" w:rsidR="006D4309" w:rsidRPr="00674D55" w:rsidRDefault="006D4309" w:rsidP="003A491C">
      <w:pPr>
        <w:pStyle w:val="Heading1"/>
      </w:pPr>
      <w:bookmarkStart w:id="25" w:name="Paragraph_8"/>
      <w:bookmarkStart w:id="26" w:name="Support"/>
      <w:bookmarkStart w:id="27" w:name="Paragraph_15"/>
      <w:bookmarkStart w:id="28" w:name="Paragraph_16"/>
      <w:bookmarkStart w:id="29" w:name="Badging"/>
      <w:bookmarkStart w:id="30" w:name="Distribution"/>
      <w:bookmarkStart w:id="31" w:name="Operations"/>
      <w:bookmarkStart w:id="32" w:name="Limits"/>
      <w:bookmarkStart w:id="33" w:name="Approval"/>
      <w:bookmarkStart w:id="34" w:name="_Toc337546700"/>
      <w:bookmarkEnd w:id="25"/>
      <w:bookmarkEnd w:id="26"/>
      <w:bookmarkEnd w:id="27"/>
      <w:bookmarkEnd w:id="28"/>
      <w:bookmarkEnd w:id="29"/>
      <w:bookmarkEnd w:id="30"/>
      <w:bookmarkEnd w:id="31"/>
      <w:bookmarkEnd w:id="32"/>
      <w:bookmarkEnd w:id="33"/>
      <w:r w:rsidRPr="003A491C">
        <w:t>Limits</w:t>
      </w:r>
      <w:r w:rsidRPr="00674D55">
        <w:t xml:space="preserve"> and approvals</w:t>
      </w:r>
      <w:bookmarkEnd w:id="34"/>
    </w:p>
    <w:p w14:paraId="0E89D300" w14:textId="77777777" w:rsidR="006D4309" w:rsidRPr="005077FD" w:rsidRDefault="006D4309" w:rsidP="006D4309">
      <w:pPr>
        <w:pStyle w:val="BodyText1"/>
        <w:rPr>
          <w:b/>
        </w:rPr>
      </w:pPr>
      <w:r w:rsidRPr="006D4309">
        <w:rPr>
          <w:rFonts w:eastAsia="Calibri"/>
        </w:rPr>
        <w:t xml:space="preserve">Where, in APRA’s </w:t>
      </w:r>
      <w:r w:rsidRPr="006D4309">
        <w:rPr>
          <w:rFonts w:eastAsia="Calibri" w:hint="eastAsia"/>
        </w:rPr>
        <w:t>view</w:t>
      </w:r>
      <w:r w:rsidRPr="006D4309">
        <w:rPr>
          <w:rFonts w:eastAsia="Calibri"/>
        </w:rPr>
        <w:t>, the Level 3 group is exposed to a significant level of ITEs, APRA may require a Level 3 Head to limit or reduce the Level 3 group’s level of ITEs. APRA may also determine how a Level 3 Head must calculate the ITEs. In determining any requirement to limit or reduce the Level 3 group’s level of ITEs, or how a Level 3 Head must calculate an ITE, APRA may take account of the following factors</w:t>
      </w:r>
      <w:r w:rsidRPr="005077FD">
        <w:t>:</w:t>
      </w:r>
    </w:p>
    <w:p w14:paraId="58706B1C" w14:textId="77777777" w:rsidR="006D4309" w:rsidRPr="000F1303" w:rsidRDefault="006D4309" w:rsidP="006D4309">
      <w:pPr>
        <w:pStyle w:val="BodyText2"/>
      </w:pPr>
      <w:r w:rsidRPr="000F1303">
        <w:t xml:space="preserve">whether the Level 3 group has been acting in a manner that is consistent with the </w:t>
      </w:r>
      <w:r>
        <w:t>ITE</w:t>
      </w:r>
      <w:r w:rsidRPr="000F1303">
        <w:t xml:space="preserve"> policy;</w:t>
      </w:r>
    </w:p>
    <w:p w14:paraId="6BC9EF48" w14:textId="77777777" w:rsidR="006D4309" w:rsidRPr="000F1303" w:rsidRDefault="006D4309" w:rsidP="006D4309">
      <w:pPr>
        <w:pStyle w:val="BodyText2"/>
      </w:pPr>
      <w:r w:rsidRPr="000F1303">
        <w:t xml:space="preserve">the characteristics of </w:t>
      </w:r>
      <w:r>
        <w:t>ITEs</w:t>
      </w:r>
      <w:r w:rsidRPr="000F1303">
        <w:t>, including their number, size and nature;</w:t>
      </w:r>
    </w:p>
    <w:p w14:paraId="3CED7C64" w14:textId="77777777" w:rsidR="006D4309" w:rsidRPr="000F1303" w:rsidRDefault="006D4309" w:rsidP="006D4309">
      <w:pPr>
        <w:pStyle w:val="BodyText2"/>
      </w:pPr>
      <w:r w:rsidRPr="000F1303">
        <w:t>the characteristics of the Level 3 group, including the nature of its business and the experience of its management; and</w:t>
      </w:r>
    </w:p>
    <w:p w14:paraId="7DC9DD12" w14:textId="77777777" w:rsidR="00CC35B1" w:rsidRDefault="006D4309" w:rsidP="006D4309">
      <w:pPr>
        <w:pStyle w:val="BodyText2"/>
      </w:pPr>
      <w:r w:rsidRPr="000F1303">
        <w:t>other relevant factors to be considered on a case-by-case basis.</w:t>
      </w:r>
    </w:p>
    <w:p w14:paraId="4432E616" w14:textId="77777777" w:rsidR="006D4309" w:rsidRPr="00EE6197" w:rsidRDefault="006D4309" w:rsidP="003A491C">
      <w:pPr>
        <w:pStyle w:val="Heading1"/>
      </w:pPr>
      <w:bookmarkStart w:id="35" w:name="_Toc337546701"/>
      <w:bookmarkEnd w:id="19"/>
      <w:bookmarkEnd w:id="20"/>
      <w:bookmarkEnd w:id="21"/>
      <w:r w:rsidRPr="003A491C">
        <w:t>Notification</w:t>
      </w:r>
      <w:r w:rsidRPr="00EE6197">
        <w:t xml:space="preserve"> requirements</w:t>
      </w:r>
      <w:bookmarkEnd w:id="35"/>
    </w:p>
    <w:p w14:paraId="6FB1BF38" w14:textId="77777777" w:rsidR="006D4309" w:rsidRDefault="006D4309" w:rsidP="006D4309">
      <w:pPr>
        <w:pStyle w:val="BodyText1"/>
      </w:pPr>
      <w:bookmarkStart w:id="36" w:name="_Ref370913113"/>
      <w:bookmarkStart w:id="37" w:name="_Ref176229238"/>
      <w:r>
        <w:t xml:space="preserve">A </w:t>
      </w:r>
      <w:r w:rsidRPr="007A38F2">
        <w:t>Level 3 Head</w:t>
      </w:r>
      <w:r>
        <w:t xml:space="preserve"> must notify APRA as soon as practicable, and no more than 10 business days, after it becomes aware:</w:t>
      </w:r>
      <w:bookmarkEnd w:id="36"/>
    </w:p>
    <w:p w14:paraId="1101B065" w14:textId="77777777" w:rsidR="006D4309" w:rsidRDefault="006D4309" w:rsidP="006D4309">
      <w:pPr>
        <w:pStyle w:val="BodyText2"/>
      </w:pPr>
      <w:r>
        <w:t>of a breach of the limits in the ITE policy;</w:t>
      </w:r>
    </w:p>
    <w:p w14:paraId="08D8DFA5" w14:textId="77777777" w:rsidR="006D4309" w:rsidRDefault="006D4309" w:rsidP="006D4309">
      <w:pPr>
        <w:pStyle w:val="BodyText2"/>
      </w:pPr>
      <w:r>
        <w:t>of any significant breach o</w:t>
      </w:r>
      <w:r w:rsidRPr="00B06F98">
        <w:t>f</w:t>
      </w:r>
      <w:r>
        <w:t>, or material deviation from, the ITE policy; or</w:t>
      </w:r>
    </w:p>
    <w:p w14:paraId="03088554" w14:textId="77777777" w:rsidR="006D4309" w:rsidRDefault="006D4309" w:rsidP="006D4309">
      <w:pPr>
        <w:pStyle w:val="BodyText2"/>
      </w:pPr>
      <w:r>
        <w:t>that the ITE policy did not adequately address a material risk,</w:t>
      </w:r>
    </w:p>
    <w:p w14:paraId="78EF8675" w14:textId="77777777" w:rsidR="006D4309" w:rsidRPr="00CA2969" w:rsidRDefault="006D4309" w:rsidP="006D4309">
      <w:pPr>
        <w:pStyle w:val="BodyText1"/>
        <w:numPr>
          <w:ilvl w:val="0"/>
          <w:numId w:val="0"/>
        </w:numPr>
        <w:ind w:left="567"/>
      </w:pPr>
      <w:r>
        <w:t xml:space="preserve">and advise of </w:t>
      </w:r>
      <w:r w:rsidRPr="00CA2969">
        <w:t>remedial actions taken</w:t>
      </w:r>
      <w:r>
        <w:t>,</w:t>
      </w:r>
      <w:r w:rsidRPr="00CA2969">
        <w:t xml:space="preserve"> or planned</w:t>
      </w:r>
      <w:r>
        <w:t xml:space="preserve"> to be taken,</w:t>
      </w:r>
      <w:r w:rsidRPr="00CA2969">
        <w:t xml:space="preserve"> to deal with the </w:t>
      </w:r>
      <w:r>
        <w:t>issue</w:t>
      </w:r>
      <w:r w:rsidRPr="00CA2969">
        <w:t>.</w:t>
      </w:r>
      <w:bookmarkEnd w:id="37"/>
    </w:p>
    <w:p w14:paraId="18063763" w14:textId="77777777" w:rsidR="006D4309" w:rsidRPr="00B06F98" w:rsidRDefault="006D4309" w:rsidP="006D4309">
      <w:pPr>
        <w:pStyle w:val="BodyText1"/>
      </w:pPr>
      <w:r>
        <w:t xml:space="preserve">A </w:t>
      </w:r>
      <w:r w:rsidRPr="007A38F2">
        <w:t>Level 3 Head</w:t>
      </w:r>
      <w:r>
        <w:t xml:space="preserve"> must submit to APRA a copy of its ITE policy as soon as practicable, and no more than 10 business days, after </w:t>
      </w:r>
      <w:r w:rsidRPr="007A38F2">
        <w:t>Board</w:t>
      </w:r>
      <w:r>
        <w:t xml:space="preserve"> approval.</w:t>
      </w:r>
    </w:p>
    <w:p w14:paraId="41878557" w14:textId="77777777" w:rsidR="006D4309" w:rsidRPr="00674D55" w:rsidRDefault="006D4309" w:rsidP="003A491C">
      <w:pPr>
        <w:pStyle w:val="Heading1"/>
      </w:pPr>
      <w:bookmarkStart w:id="38" w:name="_Toc337546702"/>
      <w:r w:rsidRPr="00674D55">
        <w:t xml:space="preserve">Adjustments and </w:t>
      </w:r>
      <w:r w:rsidRPr="003A491C">
        <w:t>exclusions</w:t>
      </w:r>
      <w:bookmarkEnd w:id="38"/>
    </w:p>
    <w:p w14:paraId="0713332D" w14:textId="77777777" w:rsidR="00CC35B1" w:rsidRPr="007D2D7F" w:rsidRDefault="006D4309" w:rsidP="006D4309">
      <w:pPr>
        <w:pStyle w:val="BodyText1"/>
      </w:pPr>
      <w:r w:rsidRPr="007A38F2">
        <w:t>APRA may adjust or exclude a specific requirement in this Prudential</w:t>
      </w:r>
      <w:r w:rsidRPr="00196EE8">
        <w:t xml:space="preserve"> </w:t>
      </w:r>
      <w:r w:rsidRPr="007A38F2">
        <w:t>Standard in relation to the Level 3 Head.</w:t>
      </w:r>
      <w:r w:rsidRPr="006D4309">
        <w:rPr>
          <w:rStyle w:val="FootnoteReference"/>
        </w:rPr>
        <w:footnoteReference w:id="4"/>
      </w:r>
    </w:p>
    <w:sectPr w:rsidR="00CC35B1" w:rsidRPr="007D2D7F" w:rsidSect="000D63A8">
      <w:pgSz w:w="11906" w:h="16838" w:code="9"/>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851424" w14:textId="77777777" w:rsidR="00B872F5" w:rsidRDefault="00B872F5" w:rsidP="006A6A52">
      <w:pPr>
        <w:spacing w:after="0"/>
      </w:pPr>
      <w:r>
        <w:separator/>
      </w:r>
    </w:p>
  </w:endnote>
  <w:endnote w:type="continuationSeparator" w:id="0">
    <w:p w14:paraId="0D5A92B6" w14:textId="77777777" w:rsidR="00B872F5" w:rsidRDefault="00B872F5" w:rsidP="006A6A5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Eras Light ITC">
    <w:charset w:val="00"/>
    <w:family w:val="swiss"/>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3A9A76" w14:textId="77777777" w:rsidR="00403FF0" w:rsidRPr="00842FBD" w:rsidRDefault="00346576" w:rsidP="00842FBD">
    <w:pPr>
      <w:pStyle w:val="Footer"/>
    </w:pPr>
    <w:r>
      <w:fldChar w:fldCharType="begin"/>
    </w:r>
    <w:r>
      <w:instrText xml:space="preserve"> STYLEREF  "PS No. field text"  \* MERGEFORMAT </w:instrText>
    </w:r>
    <w:r>
      <w:fldChar w:fldCharType="separate"/>
    </w:r>
    <w:r>
      <w:rPr>
        <w:noProof/>
      </w:rPr>
      <w:t>3PS 222</w:t>
    </w:r>
    <w:r>
      <w:rPr>
        <w:noProof/>
      </w:rPr>
      <w:fldChar w:fldCharType="end"/>
    </w:r>
    <w:r w:rsidR="00403FF0">
      <w:t xml:space="preserve"> - </w:t>
    </w:r>
    <w:r w:rsidR="00403FF0" w:rsidRPr="00842FBD">
      <w:fldChar w:fldCharType="begin"/>
    </w:r>
    <w:r w:rsidR="00403FF0" w:rsidRPr="00842FBD">
      <w:instrText xml:space="preserve"> PAGE </w:instrText>
    </w:r>
    <w:r w:rsidR="00403FF0" w:rsidRPr="00842FBD">
      <w:fldChar w:fldCharType="separate"/>
    </w:r>
    <w:r>
      <w:rPr>
        <w:noProof/>
      </w:rPr>
      <w:t>5</w:t>
    </w:r>
    <w:r w:rsidR="00403FF0" w:rsidRPr="00842FBD">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D5AD90" w14:textId="77777777" w:rsidR="00B872F5" w:rsidRDefault="00B872F5" w:rsidP="006A6A52">
      <w:pPr>
        <w:spacing w:after="0"/>
      </w:pPr>
      <w:r>
        <w:separator/>
      </w:r>
    </w:p>
  </w:footnote>
  <w:footnote w:type="continuationSeparator" w:id="0">
    <w:p w14:paraId="05931A7F" w14:textId="77777777" w:rsidR="00B872F5" w:rsidRDefault="00B872F5" w:rsidP="006A6A52">
      <w:pPr>
        <w:spacing w:after="0"/>
      </w:pPr>
      <w:r>
        <w:continuationSeparator/>
      </w:r>
    </w:p>
  </w:footnote>
  <w:footnote w:id="1">
    <w:p w14:paraId="0F80D4E2" w14:textId="77777777" w:rsidR="00CC35B1" w:rsidRPr="006D4309" w:rsidRDefault="00CC35B1" w:rsidP="006D4309">
      <w:pPr>
        <w:pStyle w:val="FootnoteText"/>
      </w:pPr>
      <w:r w:rsidRPr="00FE092E">
        <w:rPr>
          <w:rStyle w:val="FootnoteReference"/>
        </w:rPr>
        <w:footnoteRef/>
      </w:r>
      <w:r w:rsidRPr="006D4309">
        <w:t xml:space="preserve"> </w:t>
      </w:r>
      <w:r w:rsidRPr="006D4309">
        <w:tab/>
        <w:t xml:space="preserve">Refer to </w:t>
      </w:r>
      <w:r w:rsidRPr="003A491C">
        <w:rPr>
          <w:i/>
        </w:rPr>
        <w:t>Prudential Standard CPS 220 Risk Management</w:t>
      </w:r>
      <w:r w:rsidRPr="006D4309">
        <w:t xml:space="preserve"> (CPS 220).</w:t>
      </w:r>
    </w:p>
  </w:footnote>
  <w:footnote w:id="2">
    <w:p w14:paraId="5C738EAF" w14:textId="77777777" w:rsidR="006D4309" w:rsidRPr="006D4309" w:rsidRDefault="006D4309" w:rsidP="006D4309">
      <w:pPr>
        <w:pStyle w:val="FootnoteText"/>
      </w:pPr>
      <w:r w:rsidRPr="00FE092E">
        <w:rPr>
          <w:rStyle w:val="FootnoteReference"/>
        </w:rPr>
        <w:footnoteRef/>
      </w:r>
      <w:r w:rsidRPr="00FE092E">
        <w:rPr>
          <w:vertAlign w:val="superscript"/>
        </w:rPr>
        <w:t xml:space="preserve"> </w:t>
      </w:r>
      <w:r w:rsidRPr="006D4309">
        <w:tab/>
        <w:t xml:space="preserve">Outsourcing of material business activities to a related entity must satisfy the prudential requirements set out in </w:t>
      </w:r>
      <w:r w:rsidRPr="003A491C">
        <w:rPr>
          <w:i/>
        </w:rPr>
        <w:t>Prudential Standard CPS 231 Outsourcing</w:t>
      </w:r>
      <w:r w:rsidRPr="006D4309">
        <w:t>.</w:t>
      </w:r>
    </w:p>
  </w:footnote>
  <w:footnote w:id="3">
    <w:p w14:paraId="5835AC56" w14:textId="132CBD7F" w:rsidR="006D4309" w:rsidRPr="006D4309" w:rsidRDefault="006D4309" w:rsidP="006D4309">
      <w:pPr>
        <w:pStyle w:val="FootnoteText"/>
      </w:pPr>
      <w:r w:rsidRPr="00FE092E">
        <w:rPr>
          <w:rStyle w:val="FootnoteReference"/>
        </w:rPr>
        <w:footnoteRef/>
      </w:r>
      <w:r w:rsidRPr="00FE092E">
        <w:rPr>
          <w:vertAlign w:val="superscript"/>
        </w:rPr>
        <w:t xml:space="preserve"> </w:t>
      </w:r>
      <w:r w:rsidRPr="006D4309">
        <w:tab/>
        <w:t>Refer to CPS 220.</w:t>
      </w:r>
    </w:p>
  </w:footnote>
  <w:footnote w:id="4">
    <w:p w14:paraId="1E213423" w14:textId="77777777" w:rsidR="006D4309" w:rsidRPr="006D4309" w:rsidRDefault="006D4309" w:rsidP="006D4309">
      <w:pPr>
        <w:pStyle w:val="FootnoteText"/>
      </w:pPr>
      <w:r w:rsidRPr="00FE092E">
        <w:rPr>
          <w:rStyle w:val="FootnoteReference"/>
        </w:rPr>
        <w:footnoteRef/>
      </w:r>
      <w:r w:rsidRPr="00FE092E">
        <w:rPr>
          <w:vertAlign w:val="superscript"/>
        </w:rPr>
        <w:t xml:space="preserve"> </w:t>
      </w:r>
      <w:r w:rsidRPr="006D4309">
        <w:tab/>
        <w:t>Refer to subsection 11AF(2) of the Banking Act, subsection 32(3D) of the Insurance Act and subsection 230A(4) of the Life Insurance Act.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Look w:val="04A0" w:firstRow="1" w:lastRow="0" w:firstColumn="1" w:lastColumn="0" w:noHBand="0" w:noVBand="1"/>
    </w:tblPr>
    <w:tblGrid>
      <w:gridCol w:w="4156"/>
      <w:gridCol w:w="4156"/>
    </w:tblGrid>
    <w:tr w:rsidR="00745B81" w:rsidRPr="00E13D2D" w14:paraId="175CBE33" w14:textId="77777777" w:rsidTr="000D63A8">
      <w:tc>
        <w:tcPr>
          <w:tcW w:w="4264" w:type="dxa"/>
          <w:tcBorders>
            <w:top w:val="nil"/>
            <w:left w:val="nil"/>
            <w:bottom w:val="nil"/>
            <w:right w:val="nil"/>
          </w:tcBorders>
        </w:tcPr>
        <w:p w14:paraId="3071654A" w14:textId="77777777" w:rsidR="00745B81" w:rsidRPr="000C1CC2" w:rsidRDefault="00745B81" w:rsidP="00FF513E">
          <w:pPr>
            <w:pStyle w:val="Header"/>
            <w:rPr>
              <w:b w:val="0"/>
            </w:rPr>
          </w:pPr>
        </w:p>
      </w:tc>
      <w:tc>
        <w:tcPr>
          <w:tcW w:w="4264" w:type="dxa"/>
          <w:tcBorders>
            <w:top w:val="nil"/>
            <w:left w:val="nil"/>
            <w:bottom w:val="nil"/>
            <w:right w:val="nil"/>
          </w:tcBorders>
        </w:tcPr>
        <w:p w14:paraId="09478241" w14:textId="5BA68E28" w:rsidR="009F5A5F" w:rsidRPr="000C1CC2" w:rsidRDefault="009F5A5F" w:rsidP="009F5A5F">
          <w:pPr>
            <w:pStyle w:val="Header"/>
            <w:rPr>
              <w:b w:val="0"/>
            </w:rPr>
          </w:pPr>
        </w:p>
      </w:tc>
    </w:tr>
  </w:tbl>
  <w:p w14:paraId="5BF9620C" w14:textId="77777777" w:rsidR="00745B81" w:rsidRPr="000C1CC2" w:rsidRDefault="00745B81">
    <w:pPr>
      <w:pStyle w:val="Header"/>
      <w:rPr>
        <w:b w:val="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Look w:val="04A0" w:firstRow="1" w:lastRow="0" w:firstColumn="1" w:lastColumn="0" w:noHBand="0" w:noVBand="1"/>
    </w:tblPr>
    <w:tblGrid>
      <w:gridCol w:w="4149"/>
      <w:gridCol w:w="4163"/>
    </w:tblGrid>
    <w:tr w:rsidR="00403FF0" w:rsidRPr="00E13D2D" w14:paraId="6A05C144" w14:textId="77777777" w:rsidTr="000D63A8">
      <w:tc>
        <w:tcPr>
          <w:tcW w:w="4264" w:type="dxa"/>
          <w:tcBorders>
            <w:top w:val="nil"/>
            <w:left w:val="nil"/>
            <w:bottom w:val="nil"/>
            <w:right w:val="nil"/>
          </w:tcBorders>
        </w:tcPr>
        <w:p w14:paraId="607BE115" w14:textId="77777777" w:rsidR="00403FF0" w:rsidRPr="000C1CC2" w:rsidRDefault="00403FF0" w:rsidP="00FF513E">
          <w:pPr>
            <w:pStyle w:val="Header"/>
            <w:rPr>
              <w:b w:val="0"/>
            </w:rPr>
          </w:pPr>
        </w:p>
      </w:tc>
      <w:tc>
        <w:tcPr>
          <w:tcW w:w="4264" w:type="dxa"/>
          <w:tcBorders>
            <w:top w:val="nil"/>
            <w:left w:val="nil"/>
            <w:bottom w:val="nil"/>
            <w:right w:val="nil"/>
          </w:tcBorders>
        </w:tcPr>
        <w:p w14:paraId="0B76DCEA" w14:textId="77777777" w:rsidR="00403FF0" w:rsidRPr="000C1CC2" w:rsidRDefault="00403FF0" w:rsidP="009F5A5F">
          <w:pPr>
            <w:pStyle w:val="Header"/>
            <w:rPr>
              <w:b w:val="0"/>
            </w:rPr>
          </w:pPr>
          <w:r w:rsidRPr="000C1CC2">
            <w:rPr>
              <w:b w:val="0"/>
            </w:rPr>
            <w:t>July 2017</w:t>
          </w:r>
        </w:p>
      </w:tc>
    </w:tr>
  </w:tbl>
  <w:p w14:paraId="79D439BF" w14:textId="77777777" w:rsidR="00403FF0" w:rsidRPr="000C1CC2" w:rsidRDefault="00403FF0">
    <w:pPr>
      <w:pStyle w:val="Header"/>
      <w:rPr>
        <w:b w:val="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333044C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2988C7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F4A707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A54005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BC0CDA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778FA4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E08022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92C970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0A871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A048E4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FF31B20"/>
    <w:multiLevelType w:val="hybridMultilevel"/>
    <w:tmpl w:val="BC7EBFF4"/>
    <w:lvl w:ilvl="0" w:tplc="301E3FFA">
      <w:start w:val="1"/>
      <w:numFmt w:val="decimal"/>
      <w:lvlText w:val="%1."/>
      <w:lvlJc w:val="left"/>
      <w:pPr>
        <w:tabs>
          <w:tab w:val="num" w:pos="567"/>
        </w:tabs>
        <w:ind w:left="567" w:hanging="567"/>
      </w:pPr>
      <w:rPr>
        <w:rFonts w:ascii="Times New Roman" w:hAnsi="Times New Roman" w:hint="default"/>
        <w:b w:val="0"/>
        <w:i w:val="0"/>
        <w:sz w:val="24"/>
        <w:szCs w:val="24"/>
        <w:vertAlign w:val="baseline"/>
      </w:rPr>
    </w:lvl>
    <w:lvl w:ilvl="1" w:tplc="1DFE0F2A">
      <w:start w:val="1"/>
      <w:numFmt w:val="lowerLetter"/>
      <w:lvlText w:val="(%2)"/>
      <w:lvlJc w:val="left"/>
      <w:pPr>
        <w:tabs>
          <w:tab w:val="num" w:pos="1134"/>
        </w:tabs>
        <w:ind w:left="1134" w:hanging="567"/>
      </w:pPr>
      <w:rPr>
        <w:rFonts w:ascii="Times New Roman" w:hAnsi="Times New Roman" w:hint="default"/>
        <w:b w:val="0"/>
        <w:i w:val="0"/>
        <w:sz w:val="24"/>
        <w:szCs w:val="24"/>
        <w:vertAlign w:val="baseline"/>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1" w15:restartNumberingAfterBreak="0">
    <w:nsid w:val="12C67B4E"/>
    <w:multiLevelType w:val="hybridMultilevel"/>
    <w:tmpl w:val="A45617C8"/>
    <w:lvl w:ilvl="0" w:tplc="C23E6B70">
      <w:start w:val="1"/>
      <w:numFmt w:val="decimal"/>
      <w:lvlText w:val="%1."/>
      <w:lvlJc w:val="left"/>
      <w:pPr>
        <w:tabs>
          <w:tab w:val="num" w:pos="567"/>
        </w:tabs>
        <w:ind w:left="567" w:hanging="567"/>
      </w:pPr>
      <w:rPr>
        <w:rFonts w:ascii="Times New Roman" w:hAnsi="Times New Roman" w:hint="default"/>
        <w:b w:val="0"/>
        <w:i w:val="0"/>
        <w:sz w:val="24"/>
        <w:szCs w:val="24"/>
      </w:rPr>
    </w:lvl>
    <w:lvl w:ilvl="1" w:tplc="A590049C">
      <w:start w:val="1"/>
      <w:numFmt w:val="lowerLetter"/>
      <w:lvlText w:val="(%2)"/>
      <w:lvlJc w:val="left"/>
      <w:pPr>
        <w:tabs>
          <w:tab w:val="num" w:pos="567"/>
        </w:tabs>
        <w:ind w:left="567" w:hanging="567"/>
      </w:pPr>
      <w:rPr>
        <w:rFonts w:hint="default"/>
        <w:b w:val="0"/>
        <w:i w:val="0"/>
        <w:sz w:val="24"/>
        <w:szCs w:val="24"/>
      </w:rPr>
    </w:lvl>
    <w:lvl w:ilvl="2" w:tplc="A030F9C4">
      <w:start w:val="1"/>
      <w:numFmt w:val="lowerLetter"/>
      <w:lvlText w:val="(%3)"/>
      <w:lvlJc w:val="left"/>
      <w:pPr>
        <w:tabs>
          <w:tab w:val="num" w:pos="2160"/>
        </w:tabs>
        <w:ind w:left="2160" w:hanging="180"/>
      </w:pPr>
      <w:rPr>
        <w:rFonts w:ascii="Times New Roman" w:eastAsia="Eras Light ITC" w:hAnsi="Times New Roman" w:cs="Times New Roman" w:hint="default"/>
      </w:rPr>
    </w:lvl>
    <w:lvl w:ilvl="3" w:tplc="93CC9CAA">
      <w:start w:val="4"/>
      <w:numFmt w:val="lowerRoman"/>
      <w:lvlText w:val="(%4)"/>
      <w:lvlJc w:val="left"/>
      <w:pPr>
        <w:ind w:left="3240" w:hanging="720"/>
      </w:pPr>
      <w:rPr>
        <w:rFonts w:hint="default"/>
      </w:r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2" w15:restartNumberingAfterBreak="0">
    <w:nsid w:val="146512D5"/>
    <w:multiLevelType w:val="hybridMultilevel"/>
    <w:tmpl w:val="61545A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16463545"/>
    <w:multiLevelType w:val="multilevel"/>
    <w:tmpl w:val="B330B244"/>
    <w:lvl w:ilvl="0">
      <w:start w:val="1"/>
      <w:numFmt w:val="decimal"/>
      <w:pStyle w:val="BodyText1"/>
      <w:lvlText w:val="%1."/>
      <w:lvlJc w:val="left"/>
      <w:pPr>
        <w:tabs>
          <w:tab w:val="num" w:pos="567"/>
        </w:tabs>
        <w:ind w:left="567" w:hanging="567"/>
      </w:pPr>
      <w:rPr>
        <w:rFonts w:hint="default"/>
        <w:b w:val="0"/>
      </w:rPr>
    </w:lvl>
    <w:lvl w:ilvl="1">
      <w:start w:val="1"/>
      <w:numFmt w:val="lowerLetter"/>
      <w:pStyle w:val="BodyText2"/>
      <w:lvlText w:val="(%2)"/>
      <w:lvlJc w:val="left"/>
      <w:pPr>
        <w:tabs>
          <w:tab w:val="num" w:pos="1134"/>
        </w:tabs>
        <w:ind w:left="1134" w:hanging="567"/>
      </w:pPr>
      <w:rPr>
        <w:rFonts w:hint="default"/>
      </w:rPr>
    </w:lvl>
    <w:lvl w:ilvl="2">
      <w:start w:val="1"/>
      <w:numFmt w:val="lowerRoman"/>
      <w:pStyle w:val="BodyText3"/>
      <w:lvlText w:val="(%3)"/>
      <w:lvlJc w:val="right"/>
      <w:pPr>
        <w:tabs>
          <w:tab w:val="num" w:pos="1701"/>
        </w:tabs>
        <w:ind w:left="1701" w:hanging="56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23384EE9"/>
    <w:multiLevelType w:val="hybridMultilevel"/>
    <w:tmpl w:val="4230BD5E"/>
    <w:lvl w:ilvl="0" w:tplc="FA52CEA4">
      <w:start w:val="1"/>
      <w:numFmt w:val="bullet"/>
      <w:lvlText w:val=""/>
      <w:lvlJc w:val="left"/>
      <w:pPr>
        <w:tabs>
          <w:tab w:val="num" w:pos="360"/>
        </w:tabs>
        <w:ind w:left="360" w:hanging="360"/>
      </w:pPr>
      <w:rPr>
        <w:rFonts w:ascii="Symbol" w:hAnsi="Symbol" w:hint="default"/>
      </w:rPr>
    </w:lvl>
    <w:lvl w:ilvl="1" w:tplc="0C090003" w:tentative="1">
      <w:start w:val="1"/>
      <w:numFmt w:val="bullet"/>
      <w:lvlText w:val="o"/>
      <w:lvlJc w:val="left"/>
      <w:pPr>
        <w:tabs>
          <w:tab w:val="num" w:pos="720"/>
        </w:tabs>
        <w:ind w:left="720" w:hanging="360"/>
      </w:pPr>
      <w:rPr>
        <w:rFonts w:ascii="Courier New" w:hAnsi="Courier New" w:cs="Courier New" w:hint="default"/>
      </w:rPr>
    </w:lvl>
    <w:lvl w:ilvl="2" w:tplc="0C090005" w:tentative="1">
      <w:start w:val="1"/>
      <w:numFmt w:val="bullet"/>
      <w:lvlText w:val=""/>
      <w:lvlJc w:val="left"/>
      <w:pPr>
        <w:tabs>
          <w:tab w:val="num" w:pos="1440"/>
        </w:tabs>
        <w:ind w:left="1440" w:hanging="360"/>
      </w:pPr>
      <w:rPr>
        <w:rFonts w:ascii="Wingdings" w:hAnsi="Wingdings" w:hint="default"/>
      </w:rPr>
    </w:lvl>
    <w:lvl w:ilvl="3" w:tplc="0C090001" w:tentative="1">
      <w:start w:val="1"/>
      <w:numFmt w:val="bullet"/>
      <w:lvlText w:val=""/>
      <w:lvlJc w:val="left"/>
      <w:pPr>
        <w:tabs>
          <w:tab w:val="num" w:pos="2160"/>
        </w:tabs>
        <w:ind w:left="2160" w:hanging="360"/>
      </w:pPr>
      <w:rPr>
        <w:rFonts w:ascii="Symbol" w:hAnsi="Symbol" w:hint="default"/>
      </w:rPr>
    </w:lvl>
    <w:lvl w:ilvl="4" w:tplc="0C090003" w:tentative="1">
      <w:start w:val="1"/>
      <w:numFmt w:val="bullet"/>
      <w:lvlText w:val="o"/>
      <w:lvlJc w:val="left"/>
      <w:pPr>
        <w:tabs>
          <w:tab w:val="num" w:pos="2880"/>
        </w:tabs>
        <w:ind w:left="2880" w:hanging="360"/>
      </w:pPr>
      <w:rPr>
        <w:rFonts w:ascii="Courier New" w:hAnsi="Courier New" w:cs="Courier New" w:hint="default"/>
      </w:rPr>
    </w:lvl>
    <w:lvl w:ilvl="5" w:tplc="0C090005" w:tentative="1">
      <w:start w:val="1"/>
      <w:numFmt w:val="bullet"/>
      <w:lvlText w:val=""/>
      <w:lvlJc w:val="left"/>
      <w:pPr>
        <w:tabs>
          <w:tab w:val="num" w:pos="3600"/>
        </w:tabs>
        <w:ind w:left="3600" w:hanging="360"/>
      </w:pPr>
      <w:rPr>
        <w:rFonts w:ascii="Wingdings" w:hAnsi="Wingdings" w:hint="default"/>
      </w:rPr>
    </w:lvl>
    <w:lvl w:ilvl="6" w:tplc="0C090001" w:tentative="1">
      <w:start w:val="1"/>
      <w:numFmt w:val="bullet"/>
      <w:lvlText w:val=""/>
      <w:lvlJc w:val="left"/>
      <w:pPr>
        <w:tabs>
          <w:tab w:val="num" w:pos="4320"/>
        </w:tabs>
        <w:ind w:left="4320" w:hanging="360"/>
      </w:pPr>
      <w:rPr>
        <w:rFonts w:ascii="Symbol" w:hAnsi="Symbol" w:hint="default"/>
      </w:rPr>
    </w:lvl>
    <w:lvl w:ilvl="7" w:tplc="0C090003" w:tentative="1">
      <w:start w:val="1"/>
      <w:numFmt w:val="bullet"/>
      <w:lvlText w:val="o"/>
      <w:lvlJc w:val="left"/>
      <w:pPr>
        <w:tabs>
          <w:tab w:val="num" w:pos="5040"/>
        </w:tabs>
        <w:ind w:left="5040" w:hanging="360"/>
      </w:pPr>
      <w:rPr>
        <w:rFonts w:ascii="Courier New" w:hAnsi="Courier New" w:cs="Courier New" w:hint="default"/>
      </w:rPr>
    </w:lvl>
    <w:lvl w:ilvl="8" w:tplc="0C090005" w:tentative="1">
      <w:start w:val="1"/>
      <w:numFmt w:val="bullet"/>
      <w:lvlText w:val=""/>
      <w:lvlJc w:val="left"/>
      <w:pPr>
        <w:tabs>
          <w:tab w:val="num" w:pos="5760"/>
        </w:tabs>
        <w:ind w:left="5760" w:hanging="360"/>
      </w:pPr>
      <w:rPr>
        <w:rFonts w:ascii="Wingdings" w:hAnsi="Wingdings" w:hint="default"/>
      </w:rPr>
    </w:lvl>
  </w:abstractNum>
  <w:abstractNum w:abstractNumId="15" w15:restartNumberingAfterBreak="0">
    <w:nsid w:val="23CC6F58"/>
    <w:multiLevelType w:val="hybridMultilevel"/>
    <w:tmpl w:val="3528C512"/>
    <w:lvl w:ilvl="0" w:tplc="33FEF770">
      <w:start w:val="1"/>
      <w:numFmt w:val="lowerRoman"/>
      <w:lvlText w:val="(%1)"/>
      <w:lvlJc w:val="left"/>
      <w:pPr>
        <w:tabs>
          <w:tab w:val="num" w:pos="2127"/>
        </w:tabs>
        <w:ind w:left="2127" w:hanging="567"/>
      </w:pPr>
      <w:rPr>
        <w:rFonts w:hint="default"/>
        <w:b w:val="0"/>
        <w:i w:val="0"/>
        <w:sz w:val="24"/>
        <w:szCs w:val="24"/>
      </w:rPr>
    </w:lvl>
    <w:lvl w:ilvl="1" w:tplc="0C090019" w:tentative="1">
      <w:start w:val="1"/>
      <w:numFmt w:val="lowerLetter"/>
      <w:lvlText w:val="%2."/>
      <w:lvlJc w:val="left"/>
      <w:pPr>
        <w:ind w:left="3000" w:hanging="360"/>
      </w:pPr>
    </w:lvl>
    <w:lvl w:ilvl="2" w:tplc="0C09001B" w:tentative="1">
      <w:start w:val="1"/>
      <w:numFmt w:val="lowerRoman"/>
      <w:lvlText w:val="%3."/>
      <w:lvlJc w:val="right"/>
      <w:pPr>
        <w:ind w:left="3720" w:hanging="180"/>
      </w:pPr>
    </w:lvl>
    <w:lvl w:ilvl="3" w:tplc="0C09000F" w:tentative="1">
      <w:start w:val="1"/>
      <w:numFmt w:val="decimal"/>
      <w:lvlText w:val="%4."/>
      <w:lvlJc w:val="left"/>
      <w:pPr>
        <w:ind w:left="4440" w:hanging="360"/>
      </w:pPr>
    </w:lvl>
    <w:lvl w:ilvl="4" w:tplc="0C090019" w:tentative="1">
      <w:start w:val="1"/>
      <w:numFmt w:val="lowerLetter"/>
      <w:lvlText w:val="%5."/>
      <w:lvlJc w:val="left"/>
      <w:pPr>
        <w:ind w:left="5160" w:hanging="360"/>
      </w:pPr>
    </w:lvl>
    <w:lvl w:ilvl="5" w:tplc="0C09001B" w:tentative="1">
      <w:start w:val="1"/>
      <w:numFmt w:val="lowerRoman"/>
      <w:lvlText w:val="%6."/>
      <w:lvlJc w:val="right"/>
      <w:pPr>
        <w:ind w:left="5880" w:hanging="180"/>
      </w:pPr>
    </w:lvl>
    <w:lvl w:ilvl="6" w:tplc="0C09000F" w:tentative="1">
      <w:start w:val="1"/>
      <w:numFmt w:val="decimal"/>
      <w:lvlText w:val="%7."/>
      <w:lvlJc w:val="left"/>
      <w:pPr>
        <w:ind w:left="6600" w:hanging="360"/>
      </w:pPr>
    </w:lvl>
    <w:lvl w:ilvl="7" w:tplc="0C090019" w:tentative="1">
      <w:start w:val="1"/>
      <w:numFmt w:val="lowerLetter"/>
      <w:lvlText w:val="%8."/>
      <w:lvlJc w:val="left"/>
      <w:pPr>
        <w:ind w:left="7320" w:hanging="360"/>
      </w:pPr>
    </w:lvl>
    <w:lvl w:ilvl="8" w:tplc="0C09001B" w:tentative="1">
      <w:start w:val="1"/>
      <w:numFmt w:val="lowerRoman"/>
      <w:lvlText w:val="%9."/>
      <w:lvlJc w:val="right"/>
      <w:pPr>
        <w:ind w:left="8040" w:hanging="180"/>
      </w:pPr>
    </w:lvl>
  </w:abstractNum>
  <w:abstractNum w:abstractNumId="16" w15:restartNumberingAfterBreak="0">
    <w:nsid w:val="298F7C6A"/>
    <w:multiLevelType w:val="hybridMultilevel"/>
    <w:tmpl w:val="DD5A3E7C"/>
    <w:lvl w:ilvl="0" w:tplc="A030F9C4">
      <w:start w:val="1"/>
      <w:numFmt w:val="lowerLetter"/>
      <w:lvlText w:val="(%1)"/>
      <w:lvlJc w:val="left"/>
      <w:pPr>
        <w:tabs>
          <w:tab w:val="num" w:pos="1134"/>
        </w:tabs>
        <w:ind w:left="1134" w:hanging="567"/>
      </w:pPr>
      <w:rPr>
        <w:rFonts w:ascii="Times New Roman" w:eastAsia="Eras Light ITC" w:hAnsi="Times New Roman" w:cs="Times New Roman"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7" w15:restartNumberingAfterBreak="0">
    <w:nsid w:val="38A67A19"/>
    <w:multiLevelType w:val="hybridMultilevel"/>
    <w:tmpl w:val="C4DCAE3A"/>
    <w:lvl w:ilvl="0" w:tplc="E4FC2854">
      <w:start w:val="1"/>
      <w:numFmt w:val="lowerLetter"/>
      <w:lvlText w:val="(%1)"/>
      <w:lvlJc w:val="left"/>
      <w:pPr>
        <w:tabs>
          <w:tab w:val="num" w:pos="1134"/>
        </w:tabs>
        <w:ind w:left="1134" w:hanging="567"/>
      </w:pPr>
      <w:rPr>
        <w:rFonts w:hint="default"/>
        <w:b w:val="0"/>
        <w:i w:val="0"/>
      </w:rPr>
    </w:lvl>
    <w:lvl w:ilvl="1" w:tplc="4CF85F20">
      <w:start w:val="1"/>
      <w:numFmt w:val="lowerRoman"/>
      <w:lvlText w:val="(%2)"/>
      <w:lvlJc w:val="left"/>
      <w:pPr>
        <w:tabs>
          <w:tab w:val="num" w:pos="1701"/>
        </w:tabs>
        <w:ind w:left="1701" w:hanging="567"/>
      </w:pPr>
      <w:rPr>
        <w:rFonts w:hint="default"/>
        <w:b w:val="0"/>
        <w:i w:val="0"/>
        <w:sz w:val="24"/>
        <w:szCs w:val="24"/>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8" w15:restartNumberingAfterBreak="0">
    <w:nsid w:val="38D20E9F"/>
    <w:multiLevelType w:val="hybridMultilevel"/>
    <w:tmpl w:val="3D02E6AE"/>
    <w:lvl w:ilvl="0" w:tplc="1A20C782">
      <w:start w:val="1"/>
      <w:numFmt w:val="lowerLetter"/>
      <w:lvlText w:val="(%1)"/>
      <w:lvlJc w:val="left"/>
      <w:pPr>
        <w:tabs>
          <w:tab w:val="num" w:pos="1134"/>
        </w:tabs>
        <w:ind w:left="1134" w:hanging="567"/>
      </w:pPr>
      <w:rPr>
        <w:rFonts w:ascii="Times New Roman" w:hAnsi="Times New Roman" w:hint="default"/>
        <w:b w:val="0"/>
        <w:i w:val="0"/>
        <w:sz w:val="24"/>
        <w:szCs w:val="24"/>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9" w15:restartNumberingAfterBreak="0">
    <w:nsid w:val="450F0215"/>
    <w:multiLevelType w:val="hybridMultilevel"/>
    <w:tmpl w:val="54908966"/>
    <w:lvl w:ilvl="0" w:tplc="482C3B10">
      <w:numFmt w:val="bullet"/>
      <w:lvlText w:val=""/>
      <w:lvlJc w:val="left"/>
      <w:pPr>
        <w:tabs>
          <w:tab w:val="num" w:pos="360"/>
        </w:tabs>
        <w:ind w:left="360" w:hanging="360"/>
      </w:pPr>
      <w:rPr>
        <w:rFonts w:ascii="Symbol" w:hAnsi="Symbol" w:hint="default"/>
        <w:color w:val="333399"/>
      </w:rPr>
    </w:lvl>
    <w:lvl w:ilvl="1" w:tplc="0C090003" w:tentative="1">
      <w:start w:val="1"/>
      <w:numFmt w:val="bullet"/>
      <w:lvlText w:val="o"/>
      <w:lvlJc w:val="left"/>
      <w:pPr>
        <w:tabs>
          <w:tab w:val="num" w:pos="1156"/>
        </w:tabs>
        <w:ind w:left="1156" w:hanging="360"/>
      </w:pPr>
      <w:rPr>
        <w:rFonts w:ascii="Courier New" w:hAnsi="Courier New" w:cs="Courier New" w:hint="default"/>
      </w:rPr>
    </w:lvl>
    <w:lvl w:ilvl="2" w:tplc="0C090005" w:tentative="1">
      <w:start w:val="1"/>
      <w:numFmt w:val="bullet"/>
      <w:lvlText w:val=""/>
      <w:lvlJc w:val="left"/>
      <w:pPr>
        <w:tabs>
          <w:tab w:val="num" w:pos="1876"/>
        </w:tabs>
        <w:ind w:left="1876" w:hanging="360"/>
      </w:pPr>
      <w:rPr>
        <w:rFonts w:ascii="Wingdings" w:hAnsi="Wingdings" w:hint="default"/>
      </w:rPr>
    </w:lvl>
    <w:lvl w:ilvl="3" w:tplc="0C090001" w:tentative="1">
      <w:start w:val="1"/>
      <w:numFmt w:val="bullet"/>
      <w:lvlText w:val=""/>
      <w:lvlJc w:val="left"/>
      <w:pPr>
        <w:tabs>
          <w:tab w:val="num" w:pos="2596"/>
        </w:tabs>
        <w:ind w:left="2596" w:hanging="360"/>
      </w:pPr>
      <w:rPr>
        <w:rFonts w:ascii="Symbol" w:hAnsi="Symbol" w:hint="default"/>
      </w:rPr>
    </w:lvl>
    <w:lvl w:ilvl="4" w:tplc="0C090003" w:tentative="1">
      <w:start w:val="1"/>
      <w:numFmt w:val="bullet"/>
      <w:lvlText w:val="o"/>
      <w:lvlJc w:val="left"/>
      <w:pPr>
        <w:tabs>
          <w:tab w:val="num" w:pos="3316"/>
        </w:tabs>
        <w:ind w:left="3316" w:hanging="360"/>
      </w:pPr>
      <w:rPr>
        <w:rFonts w:ascii="Courier New" w:hAnsi="Courier New" w:cs="Courier New" w:hint="default"/>
      </w:rPr>
    </w:lvl>
    <w:lvl w:ilvl="5" w:tplc="0C090005" w:tentative="1">
      <w:start w:val="1"/>
      <w:numFmt w:val="bullet"/>
      <w:lvlText w:val=""/>
      <w:lvlJc w:val="left"/>
      <w:pPr>
        <w:tabs>
          <w:tab w:val="num" w:pos="4036"/>
        </w:tabs>
        <w:ind w:left="4036" w:hanging="360"/>
      </w:pPr>
      <w:rPr>
        <w:rFonts w:ascii="Wingdings" w:hAnsi="Wingdings" w:hint="default"/>
      </w:rPr>
    </w:lvl>
    <w:lvl w:ilvl="6" w:tplc="0C090001" w:tentative="1">
      <w:start w:val="1"/>
      <w:numFmt w:val="bullet"/>
      <w:lvlText w:val=""/>
      <w:lvlJc w:val="left"/>
      <w:pPr>
        <w:tabs>
          <w:tab w:val="num" w:pos="4756"/>
        </w:tabs>
        <w:ind w:left="4756" w:hanging="360"/>
      </w:pPr>
      <w:rPr>
        <w:rFonts w:ascii="Symbol" w:hAnsi="Symbol" w:hint="default"/>
      </w:rPr>
    </w:lvl>
    <w:lvl w:ilvl="7" w:tplc="0C090003" w:tentative="1">
      <w:start w:val="1"/>
      <w:numFmt w:val="bullet"/>
      <w:lvlText w:val="o"/>
      <w:lvlJc w:val="left"/>
      <w:pPr>
        <w:tabs>
          <w:tab w:val="num" w:pos="5476"/>
        </w:tabs>
        <w:ind w:left="5476" w:hanging="360"/>
      </w:pPr>
      <w:rPr>
        <w:rFonts w:ascii="Courier New" w:hAnsi="Courier New" w:cs="Courier New" w:hint="default"/>
      </w:rPr>
    </w:lvl>
    <w:lvl w:ilvl="8" w:tplc="0C090005" w:tentative="1">
      <w:start w:val="1"/>
      <w:numFmt w:val="bullet"/>
      <w:lvlText w:val=""/>
      <w:lvlJc w:val="left"/>
      <w:pPr>
        <w:tabs>
          <w:tab w:val="num" w:pos="6196"/>
        </w:tabs>
        <w:ind w:left="6196" w:hanging="360"/>
      </w:pPr>
      <w:rPr>
        <w:rFonts w:ascii="Wingdings" w:hAnsi="Wingdings" w:hint="default"/>
      </w:rPr>
    </w:lvl>
  </w:abstractNum>
  <w:abstractNum w:abstractNumId="20" w15:restartNumberingAfterBreak="0">
    <w:nsid w:val="47136269"/>
    <w:multiLevelType w:val="hybridMultilevel"/>
    <w:tmpl w:val="34146656"/>
    <w:lvl w:ilvl="0" w:tplc="5800855A">
      <w:start w:val="1"/>
      <w:numFmt w:val="bullet"/>
      <w:lvlText w:val=""/>
      <w:lvlJc w:val="left"/>
      <w:pPr>
        <w:ind w:left="259" w:hanging="360"/>
      </w:pPr>
      <w:rPr>
        <w:rFonts w:ascii="Symbol" w:hAnsi="Symbol" w:hint="default"/>
        <w:sz w:val="24"/>
        <w:szCs w:val="24"/>
      </w:rPr>
    </w:lvl>
    <w:lvl w:ilvl="1" w:tplc="0C090003" w:tentative="1">
      <w:start w:val="1"/>
      <w:numFmt w:val="bullet"/>
      <w:lvlText w:val="o"/>
      <w:lvlJc w:val="left"/>
      <w:pPr>
        <w:ind w:left="979" w:hanging="360"/>
      </w:pPr>
      <w:rPr>
        <w:rFonts w:ascii="Courier New" w:hAnsi="Courier New" w:cs="Courier New" w:hint="default"/>
      </w:rPr>
    </w:lvl>
    <w:lvl w:ilvl="2" w:tplc="0C090005" w:tentative="1">
      <w:start w:val="1"/>
      <w:numFmt w:val="bullet"/>
      <w:lvlText w:val=""/>
      <w:lvlJc w:val="left"/>
      <w:pPr>
        <w:ind w:left="1699" w:hanging="360"/>
      </w:pPr>
      <w:rPr>
        <w:rFonts w:ascii="Wingdings" w:hAnsi="Wingdings" w:hint="default"/>
      </w:rPr>
    </w:lvl>
    <w:lvl w:ilvl="3" w:tplc="0C090001" w:tentative="1">
      <w:start w:val="1"/>
      <w:numFmt w:val="bullet"/>
      <w:lvlText w:val=""/>
      <w:lvlJc w:val="left"/>
      <w:pPr>
        <w:ind w:left="2419" w:hanging="360"/>
      </w:pPr>
      <w:rPr>
        <w:rFonts w:ascii="Symbol" w:hAnsi="Symbol" w:hint="default"/>
      </w:rPr>
    </w:lvl>
    <w:lvl w:ilvl="4" w:tplc="0C090003" w:tentative="1">
      <w:start w:val="1"/>
      <w:numFmt w:val="bullet"/>
      <w:lvlText w:val="o"/>
      <w:lvlJc w:val="left"/>
      <w:pPr>
        <w:ind w:left="3139" w:hanging="360"/>
      </w:pPr>
      <w:rPr>
        <w:rFonts w:ascii="Courier New" w:hAnsi="Courier New" w:cs="Courier New" w:hint="default"/>
      </w:rPr>
    </w:lvl>
    <w:lvl w:ilvl="5" w:tplc="0C090005" w:tentative="1">
      <w:start w:val="1"/>
      <w:numFmt w:val="bullet"/>
      <w:lvlText w:val=""/>
      <w:lvlJc w:val="left"/>
      <w:pPr>
        <w:ind w:left="3859" w:hanging="360"/>
      </w:pPr>
      <w:rPr>
        <w:rFonts w:ascii="Wingdings" w:hAnsi="Wingdings" w:hint="default"/>
      </w:rPr>
    </w:lvl>
    <w:lvl w:ilvl="6" w:tplc="0C090001" w:tentative="1">
      <w:start w:val="1"/>
      <w:numFmt w:val="bullet"/>
      <w:lvlText w:val=""/>
      <w:lvlJc w:val="left"/>
      <w:pPr>
        <w:ind w:left="4579" w:hanging="360"/>
      </w:pPr>
      <w:rPr>
        <w:rFonts w:ascii="Symbol" w:hAnsi="Symbol" w:hint="default"/>
      </w:rPr>
    </w:lvl>
    <w:lvl w:ilvl="7" w:tplc="0C090003" w:tentative="1">
      <w:start w:val="1"/>
      <w:numFmt w:val="bullet"/>
      <w:lvlText w:val="o"/>
      <w:lvlJc w:val="left"/>
      <w:pPr>
        <w:ind w:left="5299" w:hanging="360"/>
      </w:pPr>
      <w:rPr>
        <w:rFonts w:ascii="Courier New" w:hAnsi="Courier New" w:cs="Courier New" w:hint="default"/>
      </w:rPr>
    </w:lvl>
    <w:lvl w:ilvl="8" w:tplc="0C090005" w:tentative="1">
      <w:start w:val="1"/>
      <w:numFmt w:val="bullet"/>
      <w:lvlText w:val=""/>
      <w:lvlJc w:val="left"/>
      <w:pPr>
        <w:ind w:left="6019" w:hanging="360"/>
      </w:pPr>
      <w:rPr>
        <w:rFonts w:ascii="Wingdings" w:hAnsi="Wingdings" w:hint="default"/>
      </w:rPr>
    </w:lvl>
  </w:abstractNum>
  <w:abstractNum w:abstractNumId="21" w15:restartNumberingAfterBreak="0">
    <w:nsid w:val="48BE6DA4"/>
    <w:multiLevelType w:val="multilevel"/>
    <w:tmpl w:val="FAF04EA0"/>
    <w:lvl w:ilvl="0">
      <w:start w:val="1"/>
      <w:numFmt w:val="bullet"/>
      <w:pStyle w:val="BoxBullet"/>
      <w:lvlText w:val=""/>
      <w:lvlJc w:val="left"/>
      <w:pPr>
        <w:tabs>
          <w:tab w:val="num" w:pos="567"/>
        </w:tabs>
        <w:ind w:left="567" w:hanging="567"/>
      </w:pPr>
      <w:rPr>
        <w:rFonts w:ascii="Symbol" w:hAnsi="Symbol" w:cs="Symbol" w:hint="default"/>
        <w:b/>
        <w:bCs/>
        <w:i w:val="0"/>
        <w:iCs w:val="0"/>
        <w:sz w:val="24"/>
        <w:szCs w:val="24"/>
      </w:rPr>
    </w:lvl>
    <w:lvl w:ilvl="1">
      <w:start w:val="1"/>
      <w:numFmt w:val="decimal"/>
      <w:isLgl/>
      <w:lvlText w:val="%1.%2"/>
      <w:lvlJc w:val="left"/>
      <w:pPr>
        <w:tabs>
          <w:tab w:val="num" w:pos="936"/>
        </w:tabs>
        <w:ind w:left="936" w:hanging="576"/>
      </w:pPr>
      <w:rPr>
        <w:rFonts w:ascii="Trebuchet MS" w:hAnsi="Trebuchet MS" w:cs="Trebuchet MS" w:hint="default"/>
        <w:b/>
        <w:bCs/>
        <w:i w:val="0"/>
        <w:iCs w:val="0"/>
        <w:sz w:val="24"/>
        <w:szCs w:val="24"/>
      </w:rPr>
    </w:lvl>
    <w:lvl w:ilvl="2">
      <w:start w:val="1"/>
      <w:numFmt w:val="decimal"/>
      <w:lvlText w:val="1%1.%2.%3"/>
      <w:lvlJc w:val="left"/>
      <w:pPr>
        <w:tabs>
          <w:tab w:val="num" w:pos="1080"/>
        </w:tabs>
        <w:ind w:left="1080" w:hanging="720"/>
      </w:pPr>
      <w:rPr>
        <w:rFonts w:ascii="Trebuchet MS" w:hAnsi="Trebuchet MS" w:cs="Trebuchet MS" w:hint="default"/>
        <w:b/>
        <w:bCs/>
        <w:i w:val="0"/>
        <w:iCs w:val="0"/>
        <w:sz w:val="24"/>
        <w:szCs w:val="24"/>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b/>
        <w:bCs/>
        <w:i w:val="0"/>
        <w:iCs w:val="0"/>
        <w:sz w:val="24"/>
        <w:szCs w:val="24"/>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22" w15:restartNumberingAfterBreak="0">
    <w:nsid w:val="494F0D1E"/>
    <w:multiLevelType w:val="hybridMultilevel"/>
    <w:tmpl w:val="F740FA28"/>
    <w:lvl w:ilvl="0" w:tplc="482C3B10">
      <w:numFmt w:val="bullet"/>
      <w:lvlText w:val=""/>
      <w:lvlJc w:val="left"/>
      <w:pPr>
        <w:tabs>
          <w:tab w:val="num" w:pos="360"/>
        </w:tabs>
        <w:ind w:left="360" w:hanging="360"/>
      </w:pPr>
      <w:rPr>
        <w:rFonts w:ascii="Symbol" w:hAnsi="Symbol" w:hint="default"/>
        <w:color w:val="333399"/>
      </w:rPr>
    </w:lvl>
    <w:lvl w:ilvl="1" w:tplc="0C090003" w:tentative="1">
      <w:start w:val="1"/>
      <w:numFmt w:val="bullet"/>
      <w:lvlText w:val="o"/>
      <w:lvlJc w:val="left"/>
      <w:pPr>
        <w:tabs>
          <w:tab w:val="num" w:pos="1156"/>
        </w:tabs>
        <w:ind w:left="1156" w:hanging="360"/>
      </w:pPr>
      <w:rPr>
        <w:rFonts w:ascii="Courier New" w:hAnsi="Courier New" w:cs="Courier New" w:hint="default"/>
      </w:rPr>
    </w:lvl>
    <w:lvl w:ilvl="2" w:tplc="0C090005" w:tentative="1">
      <w:start w:val="1"/>
      <w:numFmt w:val="bullet"/>
      <w:lvlText w:val=""/>
      <w:lvlJc w:val="left"/>
      <w:pPr>
        <w:tabs>
          <w:tab w:val="num" w:pos="1876"/>
        </w:tabs>
        <w:ind w:left="1876" w:hanging="360"/>
      </w:pPr>
      <w:rPr>
        <w:rFonts w:ascii="Wingdings" w:hAnsi="Wingdings" w:hint="default"/>
      </w:rPr>
    </w:lvl>
    <w:lvl w:ilvl="3" w:tplc="0C090001" w:tentative="1">
      <w:start w:val="1"/>
      <w:numFmt w:val="bullet"/>
      <w:lvlText w:val=""/>
      <w:lvlJc w:val="left"/>
      <w:pPr>
        <w:tabs>
          <w:tab w:val="num" w:pos="2596"/>
        </w:tabs>
        <w:ind w:left="2596" w:hanging="360"/>
      </w:pPr>
      <w:rPr>
        <w:rFonts w:ascii="Symbol" w:hAnsi="Symbol" w:hint="default"/>
      </w:rPr>
    </w:lvl>
    <w:lvl w:ilvl="4" w:tplc="0C090003" w:tentative="1">
      <w:start w:val="1"/>
      <w:numFmt w:val="bullet"/>
      <w:lvlText w:val="o"/>
      <w:lvlJc w:val="left"/>
      <w:pPr>
        <w:tabs>
          <w:tab w:val="num" w:pos="3316"/>
        </w:tabs>
        <w:ind w:left="3316" w:hanging="360"/>
      </w:pPr>
      <w:rPr>
        <w:rFonts w:ascii="Courier New" w:hAnsi="Courier New" w:cs="Courier New" w:hint="default"/>
      </w:rPr>
    </w:lvl>
    <w:lvl w:ilvl="5" w:tplc="0C090005" w:tentative="1">
      <w:start w:val="1"/>
      <w:numFmt w:val="bullet"/>
      <w:lvlText w:val=""/>
      <w:lvlJc w:val="left"/>
      <w:pPr>
        <w:tabs>
          <w:tab w:val="num" w:pos="4036"/>
        </w:tabs>
        <w:ind w:left="4036" w:hanging="360"/>
      </w:pPr>
      <w:rPr>
        <w:rFonts w:ascii="Wingdings" w:hAnsi="Wingdings" w:hint="default"/>
      </w:rPr>
    </w:lvl>
    <w:lvl w:ilvl="6" w:tplc="0C090001" w:tentative="1">
      <w:start w:val="1"/>
      <w:numFmt w:val="bullet"/>
      <w:lvlText w:val=""/>
      <w:lvlJc w:val="left"/>
      <w:pPr>
        <w:tabs>
          <w:tab w:val="num" w:pos="4756"/>
        </w:tabs>
        <w:ind w:left="4756" w:hanging="360"/>
      </w:pPr>
      <w:rPr>
        <w:rFonts w:ascii="Symbol" w:hAnsi="Symbol" w:hint="default"/>
      </w:rPr>
    </w:lvl>
    <w:lvl w:ilvl="7" w:tplc="0C090003" w:tentative="1">
      <w:start w:val="1"/>
      <w:numFmt w:val="bullet"/>
      <w:lvlText w:val="o"/>
      <w:lvlJc w:val="left"/>
      <w:pPr>
        <w:tabs>
          <w:tab w:val="num" w:pos="5476"/>
        </w:tabs>
        <w:ind w:left="5476" w:hanging="360"/>
      </w:pPr>
      <w:rPr>
        <w:rFonts w:ascii="Courier New" w:hAnsi="Courier New" w:cs="Courier New" w:hint="default"/>
      </w:rPr>
    </w:lvl>
    <w:lvl w:ilvl="8" w:tplc="0C090005" w:tentative="1">
      <w:start w:val="1"/>
      <w:numFmt w:val="bullet"/>
      <w:lvlText w:val=""/>
      <w:lvlJc w:val="left"/>
      <w:pPr>
        <w:tabs>
          <w:tab w:val="num" w:pos="6196"/>
        </w:tabs>
        <w:ind w:left="6196" w:hanging="360"/>
      </w:pPr>
      <w:rPr>
        <w:rFonts w:ascii="Wingdings" w:hAnsi="Wingdings" w:hint="default"/>
      </w:rPr>
    </w:lvl>
  </w:abstractNum>
  <w:abstractNum w:abstractNumId="23" w15:restartNumberingAfterBreak="0">
    <w:nsid w:val="4C6760EE"/>
    <w:multiLevelType w:val="hybridMultilevel"/>
    <w:tmpl w:val="AC0E13C4"/>
    <w:lvl w:ilvl="0" w:tplc="C23E6B70">
      <w:start w:val="1"/>
      <w:numFmt w:val="decimal"/>
      <w:lvlText w:val="%1."/>
      <w:lvlJc w:val="left"/>
      <w:pPr>
        <w:tabs>
          <w:tab w:val="num" w:pos="567"/>
        </w:tabs>
        <w:ind w:left="567" w:hanging="567"/>
      </w:pPr>
      <w:rPr>
        <w:rFonts w:ascii="Times New Roman" w:hAnsi="Times New Roman" w:hint="default"/>
        <w:b w:val="0"/>
        <w:i w:val="0"/>
        <w:sz w:val="24"/>
        <w:szCs w:val="24"/>
      </w:rPr>
    </w:lvl>
    <w:lvl w:ilvl="1" w:tplc="79286776">
      <w:start w:val="1"/>
      <w:numFmt w:val="decimal"/>
      <w:lvlText w:val="%2."/>
      <w:lvlJc w:val="left"/>
      <w:pPr>
        <w:tabs>
          <w:tab w:val="num" w:pos="567"/>
        </w:tabs>
        <w:ind w:left="567" w:hanging="567"/>
      </w:pPr>
      <w:rPr>
        <w:rFonts w:hint="default"/>
        <w:b w:val="0"/>
        <w:i w:val="0"/>
        <w:sz w:val="24"/>
        <w:szCs w:val="24"/>
      </w:rPr>
    </w:lvl>
    <w:lvl w:ilvl="2" w:tplc="A030F9C4">
      <w:start w:val="1"/>
      <w:numFmt w:val="lowerLetter"/>
      <w:lvlText w:val="(%3)"/>
      <w:lvlJc w:val="left"/>
      <w:pPr>
        <w:tabs>
          <w:tab w:val="num" w:pos="2160"/>
        </w:tabs>
        <w:ind w:left="2160" w:hanging="180"/>
      </w:pPr>
      <w:rPr>
        <w:rFonts w:ascii="Times New Roman" w:eastAsia="Eras Light ITC" w:hAnsi="Times New Roman" w:cs="Times New Roman" w:hint="default"/>
      </w:r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4" w15:restartNumberingAfterBreak="0">
    <w:nsid w:val="4D5E5CA2"/>
    <w:multiLevelType w:val="hybridMultilevel"/>
    <w:tmpl w:val="F774C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907A4D"/>
    <w:multiLevelType w:val="hybridMultilevel"/>
    <w:tmpl w:val="4CF6D6A4"/>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6" w15:restartNumberingAfterBreak="0">
    <w:nsid w:val="5B5B07DF"/>
    <w:multiLevelType w:val="hybridMultilevel"/>
    <w:tmpl w:val="3208DE5E"/>
    <w:lvl w:ilvl="0" w:tplc="FA52CEA4">
      <w:start w:val="1"/>
      <w:numFmt w:val="bullet"/>
      <w:lvlText w:val=""/>
      <w:lvlJc w:val="left"/>
      <w:pPr>
        <w:tabs>
          <w:tab w:val="num" w:pos="360"/>
        </w:tabs>
        <w:ind w:left="360" w:hanging="360"/>
      </w:pPr>
      <w:rPr>
        <w:rFonts w:ascii="Symbol" w:hAnsi="Symbol" w:hint="default"/>
        <w:color w:val="333399"/>
      </w:rPr>
    </w:lvl>
    <w:lvl w:ilvl="1" w:tplc="0C090003" w:tentative="1">
      <w:start w:val="1"/>
      <w:numFmt w:val="bullet"/>
      <w:lvlText w:val="o"/>
      <w:lvlJc w:val="left"/>
      <w:pPr>
        <w:tabs>
          <w:tab w:val="num" w:pos="1156"/>
        </w:tabs>
        <w:ind w:left="1156" w:hanging="360"/>
      </w:pPr>
      <w:rPr>
        <w:rFonts w:ascii="Courier New" w:hAnsi="Courier New" w:cs="Courier New" w:hint="default"/>
      </w:rPr>
    </w:lvl>
    <w:lvl w:ilvl="2" w:tplc="0C090005" w:tentative="1">
      <w:start w:val="1"/>
      <w:numFmt w:val="bullet"/>
      <w:lvlText w:val=""/>
      <w:lvlJc w:val="left"/>
      <w:pPr>
        <w:tabs>
          <w:tab w:val="num" w:pos="1876"/>
        </w:tabs>
        <w:ind w:left="1876" w:hanging="360"/>
      </w:pPr>
      <w:rPr>
        <w:rFonts w:ascii="Wingdings" w:hAnsi="Wingdings" w:hint="default"/>
      </w:rPr>
    </w:lvl>
    <w:lvl w:ilvl="3" w:tplc="0C090001" w:tentative="1">
      <w:start w:val="1"/>
      <w:numFmt w:val="bullet"/>
      <w:lvlText w:val=""/>
      <w:lvlJc w:val="left"/>
      <w:pPr>
        <w:tabs>
          <w:tab w:val="num" w:pos="2596"/>
        </w:tabs>
        <w:ind w:left="2596" w:hanging="360"/>
      </w:pPr>
      <w:rPr>
        <w:rFonts w:ascii="Symbol" w:hAnsi="Symbol" w:hint="default"/>
      </w:rPr>
    </w:lvl>
    <w:lvl w:ilvl="4" w:tplc="0C090003" w:tentative="1">
      <w:start w:val="1"/>
      <w:numFmt w:val="bullet"/>
      <w:lvlText w:val="o"/>
      <w:lvlJc w:val="left"/>
      <w:pPr>
        <w:tabs>
          <w:tab w:val="num" w:pos="3316"/>
        </w:tabs>
        <w:ind w:left="3316" w:hanging="360"/>
      </w:pPr>
      <w:rPr>
        <w:rFonts w:ascii="Courier New" w:hAnsi="Courier New" w:cs="Courier New" w:hint="default"/>
      </w:rPr>
    </w:lvl>
    <w:lvl w:ilvl="5" w:tplc="0C090005" w:tentative="1">
      <w:start w:val="1"/>
      <w:numFmt w:val="bullet"/>
      <w:lvlText w:val=""/>
      <w:lvlJc w:val="left"/>
      <w:pPr>
        <w:tabs>
          <w:tab w:val="num" w:pos="4036"/>
        </w:tabs>
        <w:ind w:left="4036" w:hanging="360"/>
      </w:pPr>
      <w:rPr>
        <w:rFonts w:ascii="Wingdings" w:hAnsi="Wingdings" w:hint="default"/>
      </w:rPr>
    </w:lvl>
    <w:lvl w:ilvl="6" w:tplc="0C090001" w:tentative="1">
      <w:start w:val="1"/>
      <w:numFmt w:val="bullet"/>
      <w:lvlText w:val=""/>
      <w:lvlJc w:val="left"/>
      <w:pPr>
        <w:tabs>
          <w:tab w:val="num" w:pos="4756"/>
        </w:tabs>
        <w:ind w:left="4756" w:hanging="360"/>
      </w:pPr>
      <w:rPr>
        <w:rFonts w:ascii="Symbol" w:hAnsi="Symbol" w:hint="default"/>
      </w:rPr>
    </w:lvl>
    <w:lvl w:ilvl="7" w:tplc="0C090003" w:tentative="1">
      <w:start w:val="1"/>
      <w:numFmt w:val="bullet"/>
      <w:lvlText w:val="o"/>
      <w:lvlJc w:val="left"/>
      <w:pPr>
        <w:tabs>
          <w:tab w:val="num" w:pos="5476"/>
        </w:tabs>
        <w:ind w:left="5476" w:hanging="360"/>
      </w:pPr>
      <w:rPr>
        <w:rFonts w:ascii="Courier New" w:hAnsi="Courier New" w:cs="Courier New" w:hint="default"/>
      </w:rPr>
    </w:lvl>
    <w:lvl w:ilvl="8" w:tplc="0C090005" w:tentative="1">
      <w:start w:val="1"/>
      <w:numFmt w:val="bullet"/>
      <w:lvlText w:val=""/>
      <w:lvlJc w:val="left"/>
      <w:pPr>
        <w:tabs>
          <w:tab w:val="num" w:pos="6196"/>
        </w:tabs>
        <w:ind w:left="6196" w:hanging="360"/>
      </w:pPr>
      <w:rPr>
        <w:rFonts w:ascii="Wingdings" w:hAnsi="Wingdings" w:hint="default"/>
      </w:rPr>
    </w:lvl>
  </w:abstractNum>
  <w:abstractNum w:abstractNumId="27" w15:restartNumberingAfterBreak="0">
    <w:nsid w:val="5D0422AA"/>
    <w:multiLevelType w:val="singleLevel"/>
    <w:tmpl w:val="F9EA2B7A"/>
    <w:lvl w:ilvl="0">
      <w:start w:val="1"/>
      <w:numFmt w:val="lowerLetter"/>
      <w:lvlText w:val="(%1)"/>
      <w:lvlJc w:val="left"/>
      <w:pPr>
        <w:tabs>
          <w:tab w:val="num" w:pos="1134"/>
        </w:tabs>
        <w:ind w:left="1134" w:hanging="567"/>
      </w:pPr>
      <w:rPr>
        <w:rFonts w:ascii="Times New Roman" w:hAnsi="Times New Roman" w:hint="default"/>
        <w:b w:val="0"/>
        <w:i w:val="0"/>
        <w:sz w:val="24"/>
        <w:szCs w:val="24"/>
      </w:rPr>
    </w:lvl>
  </w:abstractNum>
  <w:abstractNum w:abstractNumId="28" w15:restartNumberingAfterBreak="0">
    <w:nsid w:val="6DF34285"/>
    <w:multiLevelType w:val="hybridMultilevel"/>
    <w:tmpl w:val="BCDCB964"/>
    <w:lvl w:ilvl="0" w:tplc="A6327D4E">
      <w:start w:val="1"/>
      <w:numFmt w:val="bullet"/>
      <w:lvlText w:val=""/>
      <w:lvlJc w:val="left"/>
      <w:pPr>
        <w:tabs>
          <w:tab w:val="num" w:pos="567"/>
        </w:tabs>
        <w:ind w:left="567" w:hanging="567"/>
      </w:pPr>
      <w:rPr>
        <w:rFonts w:ascii="Symbol" w:hAnsi="Symbol" w:hint="default"/>
        <w:color w:val="auto"/>
      </w:rPr>
    </w:lvl>
    <w:lvl w:ilvl="1" w:tplc="0C090003">
      <w:start w:val="1"/>
      <w:numFmt w:val="bullet"/>
      <w:lvlText w:val="o"/>
      <w:lvlJc w:val="left"/>
      <w:pPr>
        <w:tabs>
          <w:tab w:val="num" w:pos="1156"/>
        </w:tabs>
        <w:ind w:left="1156" w:hanging="360"/>
      </w:pPr>
      <w:rPr>
        <w:rFonts w:ascii="Courier New" w:hAnsi="Courier New" w:cs="Courier New" w:hint="default"/>
      </w:rPr>
    </w:lvl>
    <w:lvl w:ilvl="2" w:tplc="0C090005" w:tentative="1">
      <w:start w:val="1"/>
      <w:numFmt w:val="bullet"/>
      <w:lvlText w:val=""/>
      <w:lvlJc w:val="left"/>
      <w:pPr>
        <w:tabs>
          <w:tab w:val="num" w:pos="1876"/>
        </w:tabs>
        <w:ind w:left="1876" w:hanging="360"/>
      </w:pPr>
      <w:rPr>
        <w:rFonts w:ascii="Wingdings" w:hAnsi="Wingdings" w:hint="default"/>
      </w:rPr>
    </w:lvl>
    <w:lvl w:ilvl="3" w:tplc="0C090001" w:tentative="1">
      <w:start w:val="1"/>
      <w:numFmt w:val="bullet"/>
      <w:lvlText w:val=""/>
      <w:lvlJc w:val="left"/>
      <w:pPr>
        <w:tabs>
          <w:tab w:val="num" w:pos="2596"/>
        </w:tabs>
        <w:ind w:left="2596" w:hanging="360"/>
      </w:pPr>
      <w:rPr>
        <w:rFonts w:ascii="Symbol" w:hAnsi="Symbol" w:hint="default"/>
      </w:rPr>
    </w:lvl>
    <w:lvl w:ilvl="4" w:tplc="0C090003" w:tentative="1">
      <w:start w:val="1"/>
      <w:numFmt w:val="bullet"/>
      <w:lvlText w:val="o"/>
      <w:lvlJc w:val="left"/>
      <w:pPr>
        <w:tabs>
          <w:tab w:val="num" w:pos="3316"/>
        </w:tabs>
        <w:ind w:left="3316" w:hanging="360"/>
      </w:pPr>
      <w:rPr>
        <w:rFonts w:ascii="Courier New" w:hAnsi="Courier New" w:cs="Courier New" w:hint="default"/>
      </w:rPr>
    </w:lvl>
    <w:lvl w:ilvl="5" w:tplc="0C090005" w:tentative="1">
      <w:start w:val="1"/>
      <w:numFmt w:val="bullet"/>
      <w:lvlText w:val=""/>
      <w:lvlJc w:val="left"/>
      <w:pPr>
        <w:tabs>
          <w:tab w:val="num" w:pos="4036"/>
        </w:tabs>
        <w:ind w:left="4036" w:hanging="360"/>
      </w:pPr>
      <w:rPr>
        <w:rFonts w:ascii="Wingdings" w:hAnsi="Wingdings" w:hint="default"/>
      </w:rPr>
    </w:lvl>
    <w:lvl w:ilvl="6" w:tplc="0C090001" w:tentative="1">
      <w:start w:val="1"/>
      <w:numFmt w:val="bullet"/>
      <w:lvlText w:val=""/>
      <w:lvlJc w:val="left"/>
      <w:pPr>
        <w:tabs>
          <w:tab w:val="num" w:pos="4756"/>
        </w:tabs>
        <w:ind w:left="4756" w:hanging="360"/>
      </w:pPr>
      <w:rPr>
        <w:rFonts w:ascii="Symbol" w:hAnsi="Symbol" w:hint="default"/>
      </w:rPr>
    </w:lvl>
    <w:lvl w:ilvl="7" w:tplc="0C090003" w:tentative="1">
      <w:start w:val="1"/>
      <w:numFmt w:val="bullet"/>
      <w:lvlText w:val="o"/>
      <w:lvlJc w:val="left"/>
      <w:pPr>
        <w:tabs>
          <w:tab w:val="num" w:pos="5476"/>
        </w:tabs>
        <w:ind w:left="5476" w:hanging="360"/>
      </w:pPr>
      <w:rPr>
        <w:rFonts w:ascii="Courier New" w:hAnsi="Courier New" w:cs="Courier New" w:hint="default"/>
      </w:rPr>
    </w:lvl>
    <w:lvl w:ilvl="8" w:tplc="0C090005" w:tentative="1">
      <w:start w:val="1"/>
      <w:numFmt w:val="bullet"/>
      <w:lvlText w:val=""/>
      <w:lvlJc w:val="left"/>
      <w:pPr>
        <w:tabs>
          <w:tab w:val="num" w:pos="6196"/>
        </w:tabs>
        <w:ind w:left="6196" w:hanging="360"/>
      </w:pPr>
      <w:rPr>
        <w:rFonts w:ascii="Wingdings" w:hAnsi="Wingdings" w:hint="default"/>
      </w:rPr>
    </w:lvl>
  </w:abstractNum>
  <w:abstractNum w:abstractNumId="29" w15:restartNumberingAfterBreak="0">
    <w:nsid w:val="710478C6"/>
    <w:multiLevelType w:val="hybridMultilevel"/>
    <w:tmpl w:val="39E8EFAC"/>
    <w:lvl w:ilvl="0" w:tplc="8A4CF756">
      <w:start w:val="1"/>
      <w:numFmt w:val="bullet"/>
      <w:lvlText w:val=""/>
      <w:lvlJc w:val="left"/>
      <w:pPr>
        <w:tabs>
          <w:tab w:val="num" w:pos="567"/>
        </w:tabs>
        <w:ind w:left="567" w:hanging="567"/>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79173FC8"/>
    <w:multiLevelType w:val="hybridMultilevel"/>
    <w:tmpl w:val="3528C512"/>
    <w:lvl w:ilvl="0" w:tplc="33FEF770">
      <w:start w:val="1"/>
      <w:numFmt w:val="lowerRoman"/>
      <w:lvlText w:val="(%1)"/>
      <w:lvlJc w:val="left"/>
      <w:pPr>
        <w:tabs>
          <w:tab w:val="num" w:pos="2127"/>
        </w:tabs>
        <w:ind w:left="2127" w:hanging="567"/>
      </w:pPr>
      <w:rPr>
        <w:rFonts w:hint="default"/>
        <w:b w:val="0"/>
        <w:i w:val="0"/>
        <w:sz w:val="24"/>
        <w:szCs w:val="24"/>
      </w:rPr>
    </w:lvl>
    <w:lvl w:ilvl="1" w:tplc="0C090019" w:tentative="1">
      <w:start w:val="1"/>
      <w:numFmt w:val="lowerLetter"/>
      <w:lvlText w:val="%2."/>
      <w:lvlJc w:val="left"/>
      <w:pPr>
        <w:ind w:left="3000" w:hanging="360"/>
      </w:pPr>
    </w:lvl>
    <w:lvl w:ilvl="2" w:tplc="0C09001B" w:tentative="1">
      <w:start w:val="1"/>
      <w:numFmt w:val="lowerRoman"/>
      <w:lvlText w:val="%3."/>
      <w:lvlJc w:val="right"/>
      <w:pPr>
        <w:ind w:left="3720" w:hanging="180"/>
      </w:pPr>
    </w:lvl>
    <w:lvl w:ilvl="3" w:tplc="0C09000F" w:tentative="1">
      <w:start w:val="1"/>
      <w:numFmt w:val="decimal"/>
      <w:lvlText w:val="%4."/>
      <w:lvlJc w:val="left"/>
      <w:pPr>
        <w:ind w:left="4440" w:hanging="360"/>
      </w:pPr>
    </w:lvl>
    <w:lvl w:ilvl="4" w:tplc="0C090019" w:tentative="1">
      <w:start w:val="1"/>
      <w:numFmt w:val="lowerLetter"/>
      <w:lvlText w:val="%5."/>
      <w:lvlJc w:val="left"/>
      <w:pPr>
        <w:ind w:left="5160" w:hanging="360"/>
      </w:pPr>
    </w:lvl>
    <w:lvl w:ilvl="5" w:tplc="0C09001B" w:tentative="1">
      <w:start w:val="1"/>
      <w:numFmt w:val="lowerRoman"/>
      <w:lvlText w:val="%6."/>
      <w:lvlJc w:val="right"/>
      <w:pPr>
        <w:ind w:left="5880" w:hanging="180"/>
      </w:pPr>
    </w:lvl>
    <w:lvl w:ilvl="6" w:tplc="0C09000F" w:tentative="1">
      <w:start w:val="1"/>
      <w:numFmt w:val="decimal"/>
      <w:lvlText w:val="%7."/>
      <w:lvlJc w:val="left"/>
      <w:pPr>
        <w:ind w:left="6600" w:hanging="360"/>
      </w:pPr>
    </w:lvl>
    <w:lvl w:ilvl="7" w:tplc="0C090019" w:tentative="1">
      <w:start w:val="1"/>
      <w:numFmt w:val="lowerLetter"/>
      <w:lvlText w:val="%8."/>
      <w:lvlJc w:val="left"/>
      <w:pPr>
        <w:ind w:left="7320" w:hanging="360"/>
      </w:pPr>
    </w:lvl>
    <w:lvl w:ilvl="8" w:tplc="0C09001B" w:tentative="1">
      <w:start w:val="1"/>
      <w:numFmt w:val="lowerRoman"/>
      <w:lvlText w:val="%9."/>
      <w:lvlJc w:val="right"/>
      <w:pPr>
        <w:ind w:left="8040" w:hanging="180"/>
      </w:pPr>
    </w:lvl>
  </w:abstractNum>
  <w:abstractNum w:abstractNumId="31" w15:restartNumberingAfterBreak="0">
    <w:nsid w:val="7CF93AA4"/>
    <w:multiLevelType w:val="hybridMultilevel"/>
    <w:tmpl w:val="046AB8C2"/>
    <w:lvl w:ilvl="0" w:tplc="19F63A82">
      <w:start w:val="1"/>
      <w:numFmt w:val="lowerLetter"/>
      <w:lvlText w:val="(%1)"/>
      <w:lvlJc w:val="left"/>
      <w:pPr>
        <w:tabs>
          <w:tab w:val="num" w:pos="567"/>
        </w:tabs>
        <w:ind w:left="567" w:hanging="567"/>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7E832A54"/>
    <w:multiLevelType w:val="hybridMultilevel"/>
    <w:tmpl w:val="1D3ABF7A"/>
    <w:lvl w:ilvl="0" w:tplc="6C7C485A">
      <w:start w:val="1"/>
      <w:numFmt w:val="lowerRoman"/>
      <w:lvlText w:val="(%1)"/>
      <w:lvlJc w:val="left"/>
      <w:pPr>
        <w:tabs>
          <w:tab w:val="num" w:pos="1701"/>
        </w:tabs>
        <w:ind w:left="1701" w:hanging="567"/>
      </w:pPr>
      <w:rPr>
        <w:rFonts w:hint="default"/>
        <w:b w:val="0"/>
        <w:i w:val="0"/>
        <w:sz w:val="24"/>
        <w:szCs w:val="24"/>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num w:numId="1">
    <w:abstractNumId w:val="19"/>
  </w:num>
  <w:num w:numId="2">
    <w:abstractNumId w:val="22"/>
  </w:num>
  <w:num w:numId="3">
    <w:abstractNumId w:val="10"/>
  </w:num>
  <w:num w:numId="4">
    <w:abstractNumId w:val="17"/>
  </w:num>
  <w:num w:numId="5">
    <w:abstractNumId w:val="32"/>
  </w:num>
  <w:num w:numId="6">
    <w:abstractNumId w:val="14"/>
  </w:num>
  <w:num w:numId="7">
    <w:abstractNumId w:val="29"/>
  </w:num>
  <w:num w:numId="8">
    <w:abstractNumId w:val="26"/>
  </w:num>
  <w:num w:numId="9">
    <w:abstractNumId w:val="28"/>
  </w:num>
  <w:num w:numId="10">
    <w:abstractNumId w:val="25"/>
  </w:num>
  <w:num w:numId="11">
    <w:abstractNumId w:val="9"/>
  </w:num>
  <w:num w:numId="12">
    <w:abstractNumId w:val="2"/>
  </w:num>
  <w:num w:numId="13">
    <w:abstractNumId w:val="8"/>
  </w:num>
  <w:num w:numId="14">
    <w:abstractNumId w:val="3"/>
  </w:num>
  <w:num w:numId="15">
    <w:abstractNumId w:val="24"/>
  </w:num>
  <w:num w:numId="16">
    <w:abstractNumId w:val="12"/>
  </w:num>
  <w:num w:numId="17">
    <w:abstractNumId w:val="21"/>
  </w:num>
  <w:num w:numId="18">
    <w:abstractNumId w:val="20"/>
  </w:num>
  <w:num w:numId="19">
    <w:abstractNumId w:val="13"/>
  </w:num>
  <w:num w:numId="2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3"/>
  </w:num>
  <w:num w:numId="23">
    <w:abstractNumId w:val="16"/>
  </w:num>
  <w:num w:numId="24">
    <w:abstractNumId w:val="7"/>
  </w:num>
  <w:num w:numId="25">
    <w:abstractNumId w:val="6"/>
  </w:num>
  <w:num w:numId="26">
    <w:abstractNumId w:val="11"/>
  </w:num>
  <w:num w:numId="27">
    <w:abstractNumId w:val="30"/>
  </w:num>
  <w:num w:numId="28">
    <w:abstractNumId w:val="15"/>
  </w:num>
  <w:num w:numId="29">
    <w:abstractNumId w:val="27"/>
  </w:num>
  <w:num w:numId="30">
    <w:abstractNumId w:val="18"/>
  </w:num>
  <w:num w:numId="31">
    <w:abstractNumId w:val="5"/>
  </w:num>
  <w:num w:numId="32">
    <w:abstractNumId w:val="4"/>
  </w:num>
  <w:num w:numId="33">
    <w:abstractNumId w:val="1"/>
  </w:num>
  <w:num w:numId="34">
    <w:abstractNumId w:val="0"/>
  </w:num>
  <w:num w:numId="35">
    <w:abstractNumId w:val="13"/>
    <w:lvlOverride w:ilvl="0">
      <w:lvl w:ilvl="0">
        <w:start w:val="1"/>
        <w:numFmt w:val="decimal"/>
        <w:pStyle w:val="BodyText1"/>
        <w:lvlText w:val="%1."/>
        <w:lvlJc w:val="left"/>
        <w:pPr>
          <w:tabs>
            <w:tab w:val="num" w:pos="567"/>
          </w:tabs>
          <w:ind w:left="567" w:hanging="567"/>
        </w:pPr>
        <w:rPr>
          <w:rFonts w:hint="default"/>
          <w:b w:val="0"/>
        </w:rPr>
      </w:lvl>
    </w:lvlOverride>
    <w:lvlOverride w:ilvl="1">
      <w:lvl w:ilvl="1">
        <w:start w:val="1"/>
        <w:numFmt w:val="lowerLetter"/>
        <w:pStyle w:val="BodyText2"/>
        <w:lvlText w:val="(%2)"/>
        <w:lvlJc w:val="left"/>
        <w:pPr>
          <w:tabs>
            <w:tab w:val="num" w:pos="1134"/>
          </w:tabs>
          <w:ind w:left="1134" w:hanging="567"/>
        </w:pPr>
        <w:rPr>
          <w:rFonts w:hint="default"/>
        </w:rPr>
      </w:lvl>
    </w:lvlOverride>
    <w:lvlOverride w:ilvl="2">
      <w:lvl w:ilvl="2">
        <w:start w:val="1"/>
        <w:numFmt w:val="lowerRoman"/>
        <w:pStyle w:val="BodyText3"/>
        <w:lvlText w:val="(%3)"/>
        <w:lvlJc w:val="left"/>
        <w:pPr>
          <w:tabs>
            <w:tab w:val="num" w:pos="1701"/>
          </w:tabs>
          <w:ind w:left="1701" w:hanging="567"/>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3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704" w:allStyles="0" w:customStyles="0" w:latentStyles="1" w:stylesInUse="0" w:headingStyles="0" w:numberingStyles="0" w:tableStyles="0" w:directFormattingOnRuns="1" w:directFormattingOnParagraphs="1" w:directFormattingOnNumbering="1" w:directFormattingOnTables="0" w:clearFormatting="1" w:top3HeadingStyles="0" w:visibleStyles="0" w:alternateStyleNames="0"/>
  <w:defaultTabStop w:val="567"/>
  <w:drawingGridHorizontalSpacing w:val="110"/>
  <w:displayHorizontalDrawingGridEvery w:val="2"/>
  <w:displayVerticalDrawingGridEvery w:val="2"/>
  <w:characterSpacingControl w:val="doNotCompress"/>
  <w:hdrShapeDefaults>
    <o:shapedefaults v:ext="edit" spidmax="3686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2B5C"/>
    <w:rsid w:val="0000183A"/>
    <w:rsid w:val="00001D43"/>
    <w:rsid w:val="000226DE"/>
    <w:rsid w:val="000518B9"/>
    <w:rsid w:val="0006337F"/>
    <w:rsid w:val="00074476"/>
    <w:rsid w:val="00087D3E"/>
    <w:rsid w:val="000C1CC2"/>
    <w:rsid w:val="000D033D"/>
    <w:rsid w:val="000D3F63"/>
    <w:rsid w:val="000D63A8"/>
    <w:rsid w:val="000D7A9C"/>
    <w:rsid w:val="00110917"/>
    <w:rsid w:val="00110A0F"/>
    <w:rsid w:val="0013237B"/>
    <w:rsid w:val="00141CA6"/>
    <w:rsid w:val="00173A04"/>
    <w:rsid w:val="00182FA1"/>
    <w:rsid w:val="001C297B"/>
    <w:rsid w:val="001E7EA9"/>
    <w:rsid w:val="001F6B8D"/>
    <w:rsid w:val="002500F9"/>
    <w:rsid w:val="00261777"/>
    <w:rsid w:val="00272295"/>
    <w:rsid w:val="0029455F"/>
    <w:rsid w:val="002A07F8"/>
    <w:rsid w:val="002E0DCB"/>
    <w:rsid w:val="00346576"/>
    <w:rsid w:val="0037343B"/>
    <w:rsid w:val="0038413F"/>
    <w:rsid w:val="00391AD7"/>
    <w:rsid w:val="003936EA"/>
    <w:rsid w:val="003A491C"/>
    <w:rsid w:val="003B52EB"/>
    <w:rsid w:val="003C46D7"/>
    <w:rsid w:val="003D5032"/>
    <w:rsid w:val="00403FF0"/>
    <w:rsid w:val="004323FD"/>
    <w:rsid w:val="00453E3A"/>
    <w:rsid w:val="004560E3"/>
    <w:rsid w:val="0048511B"/>
    <w:rsid w:val="00491BC7"/>
    <w:rsid w:val="00492F2E"/>
    <w:rsid w:val="004A593E"/>
    <w:rsid w:val="004C3D07"/>
    <w:rsid w:val="004D275D"/>
    <w:rsid w:val="004F2AC1"/>
    <w:rsid w:val="005050E8"/>
    <w:rsid w:val="00506079"/>
    <w:rsid w:val="00521673"/>
    <w:rsid w:val="00534FFE"/>
    <w:rsid w:val="00544072"/>
    <w:rsid w:val="00551C22"/>
    <w:rsid w:val="00576882"/>
    <w:rsid w:val="005A75C6"/>
    <w:rsid w:val="005B6DC2"/>
    <w:rsid w:val="005C171D"/>
    <w:rsid w:val="005E5663"/>
    <w:rsid w:val="005E5910"/>
    <w:rsid w:val="005F6F74"/>
    <w:rsid w:val="00622480"/>
    <w:rsid w:val="00647D58"/>
    <w:rsid w:val="00656D42"/>
    <w:rsid w:val="00684F73"/>
    <w:rsid w:val="00696E43"/>
    <w:rsid w:val="006A6A52"/>
    <w:rsid w:val="006B4B9D"/>
    <w:rsid w:val="006B4C94"/>
    <w:rsid w:val="006C06E6"/>
    <w:rsid w:val="006D4309"/>
    <w:rsid w:val="006E5DD8"/>
    <w:rsid w:val="007031F4"/>
    <w:rsid w:val="00717F33"/>
    <w:rsid w:val="00725AA6"/>
    <w:rsid w:val="007327CB"/>
    <w:rsid w:val="00734096"/>
    <w:rsid w:val="00745B81"/>
    <w:rsid w:val="00776D66"/>
    <w:rsid w:val="00777ACD"/>
    <w:rsid w:val="00787FA9"/>
    <w:rsid w:val="007A2B5C"/>
    <w:rsid w:val="007A33E6"/>
    <w:rsid w:val="007A53AC"/>
    <w:rsid w:val="007D2D7F"/>
    <w:rsid w:val="00811F9B"/>
    <w:rsid w:val="00842FBD"/>
    <w:rsid w:val="0086194F"/>
    <w:rsid w:val="00867092"/>
    <w:rsid w:val="00883893"/>
    <w:rsid w:val="00886456"/>
    <w:rsid w:val="00887222"/>
    <w:rsid w:val="008C3D9F"/>
    <w:rsid w:val="008D76C5"/>
    <w:rsid w:val="009101E1"/>
    <w:rsid w:val="00971180"/>
    <w:rsid w:val="009871FB"/>
    <w:rsid w:val="009B0A33"/>
    <w:rsid w:val="009B28A5"/>
    <w:rsid w:val="009B6212"/>
    <w:rsid w:val="009C5368"/>
    <w:rsid w:val="009C77A0"/>
    <w:rsid w:val="009D467A"/>
    <w:rsid w:val="009F5A5F"/>
    <w:rsid w:val="009F7699"/>
    <w:rsid w:val="00A50372"/>
    <w:rsid w:val="00A63A2B"/>
    <w:rsid w:val="00A97802"/>
    <w:rsid w:val="00AC2517"/>
    <w:rsid w:val="00AC332E"/>
    <w:rsid w:val="00AC3B8E"/>
    <w:rsid w:val="00AE1650"/>
    <w:rsid w:val="00B04B20"/>
    <w:rsid w:val="00B47BD7"/>
    <w:rsid w:val="00B54AC7"/>
    <w:rsid w:val="00B6068B"/>
    <w:rsid w:val="00B766FA"/>
    <w:rsid w:val="00B872F5"/>
    <w:rsid w:val="00BA4C45"/>
    <w:rsid w:val="00BB42D2"/>
    <w:rsid w:val="00BC2D08"/>
    <w:rsid w:val="00BC63EE"/>
    <w:rsid w:val="00BC73C9"/>
    <w:rsid w:val="00BE59F9"/>
    <w:rsid w:val="00C0120F"/>
    <w:rsid w:val="00C14367"/>
    <w:rsid w:val="00C21A2A"/>
    <w:rsid w:val="00C302FA"/>
    <w:rsid w:val="00C5686C"/>
    <w:rsid w:val="00C6788C"/>
    <w:rsid w:val="00C67A76"/>
    <w:rsid w:val="00C74819"/>
    <w:rsid w:val="00C86748"/>
    <w:rsid w:val="00CA097B"/>
    <w:rsid w:val="00CA6032"/>
    <w:rsid w:val="00CA6CB3"/>
    <w:rsid w:val="00CB7762"/>
    <w:rsid w:val="00CC35B1"/>
    <w:rsid w:val="00D01427"/>
    <w:rsid w:val="00D124EA"/>
    <w:rsid w:val="00D22147"/>
    <w:rsid w:val="00D23E74"/>
    <w:rsid w:val="00D3278A"/>
    <w:rsid w:val="00D47051"/>
    <w:rsid w:val="00D62EFA"/>
    <w:rsid w:val="00D64906"/>
    <w:rsid w:val="00D857C7"/>
    <w:rsid w:val="00DA3651"/>
    <w:rsid w:val="00DC52E3"/>
    <w:rsid w:val="00DD1BB1"/>
    <w:rsid w:val="00DE3174"/>
    <w:rsid w:val="00E05BC3"/>
    <w:rsid w:val="00E07F40"/>
    <w:rsid w:val="00E13D2D"/>
    <w:rsid w:val="00E15497"/>
    <w:rsid w:val="00E16DD9"/>
    <w:rsid w:val="00E201A8"/>
    <w:rsid w:val="00E90C89"/>
    <w:rsid w:val="00E96B6D"/>
    <w:rsid w:val="00EC5653"/>
    <w:rsid w:val="00F16D46"/>
    <w:rsid w:val="00F6431E"/>
    <w:rsid w:val="00F7706D"/>
    <w:rsid w:val="00F81DDA"/>
    <w:rsid w:val="00F86281"/>
    <w:rsid w:val="00FA5345"/>
    <w:rsid w:val="00FE092E"/>
    <w:rsid w:val="00FF513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36865"/>
    <o:shapelayout v:ext="edit">
      <o:idmap v:ext="edit" data="1"/>
    </o:shapelayout>
  </w:shapeDefaults>
  <w:decimalSymbol w:val="."/>
  <w:listSeparator w:val=","/>
  <w14:docId w14:val="100E13B5"/>
  <w15:docId w15:val="{FF04B924-C184-4E32-BC62-C5612EBEA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Times New Roman"/>
        <w:sz w:val="24"/>
        <w:szCs w:val="24"/>
        <w:lang w:val="en-AU" w:eastAsia="en-AU" w:bidi="ar-SA"/>
      </w:rPr>
    </w:rPrDefault>
    <w:pPrDefault>
      <w:pPr>
        <w:spacing w:after="240"/>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6" w:unhideWhenUsed="1" w:qFormat="1"/>
    <w:lsdException w:name="heading 3" w:semiHidden="1" w:uiPriority="0" w:unhideWhenUsed="1" w:qFormat="1"/>
    <w:lsdException w:name="heading 4" w:semiHidden="1" w:uiPriority="3" w:unhideWhenUsed="1"/>
    <w:lsdException w:name="heading 5" w:semiHidden="1" w:uiPriority="4" w:unhideWhenUsed="1" w:qFormat="1"/>
    <w:lsdException w:name="heading 6" w:semiHidden="1" w:uiPriority="8" w:unhideWhenUsed="1" w:qFormat="1"/>
    <w:lsdException w:name="heading 7" w:semiHidden="1" w:uiPriority="6" w:qFormat="1"/>
    <w:lsdException w:name="heading 8" w:semiHidden="1" w:uiPriority="7" w:qFormat="1"/>
    <w:lsdException w:name="heading 9" w:semiHidden="1" w:uiPriority="8"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49"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49" w:unhideWhenUsed="1"/>
    <w:lsdException w:name="line number" w:semiHidden="1" w:unhideWhenUsed="1"/>
    <w:lsdException w:name="page number" w:semiHidden="1" w:unhideWhenUsed="1"/>
    <w:lsdException w:name="endnote reference" w:semiHidden="1" w:uiPriority="49" w:unhideWhenUsed="1"/>
    <w:lsdException w:name="endnote text" w:semiHidden="1" w:uiPriority="4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8" w:unhideWhenUsed="1"/>
    <w:lsdException w:name="List Bullet 3" w:semiHidden="1" w:uiPriority="38"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lsdException w:name="Closing" w:semiHidden="1" w:uiPriority="49" w:unhideWhenUsed="1"/>
    <w:lsdException w:name="Signature" w:semiHidden="1" w:unhideWhenUsed="1"/>
    <w:lsdException w:name="Default Paragraph Font" w:semiHidden="1" w:uiPriority="1" w:unhideWhenUsed="1"/>
    <w:lsdException w:name="Body Text" w:semiHidden="1" w:uiPriority="49" w:unhideWhenUsed="1"/>
    <w:lsdException w:name="Body Text Indent" w:semiHidden="1" w:uiPriority="49"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iPriority="49" w:unhideWhenUsed="1"/>
    <w:lsdException w:name="Body Text First Indent" w:semiHidden="1" w:uiPriority="49" w:unhideWhenUsed="1"/>
    <w:lsdException w:name="Body Text First Indent 2" w:semiHidden="1" w:uiPriority="49" w:unhideWhenUsed="1"/>
    <w:lsdException w:name="Note Heading" w:semiHidden="1" w:unhideWhenUsed="1"/>
    <w:lsdException w:name="Body Text 2" w:semiHidden="1" w:uiPriority="0" w:unhideWhenUsed="1" w:qFormat="1"/>
    <w:lsdException w:name="Body Text 3" w:uiPriority="0" w:qFormat="1"/>
    <w:lsdException w:name="Body Text Indent 2" w:semiHidden="1" w:uiPriority="49" w:unhideWhenUsed="1"/>
    <w:lsdException w:name="Body Text Indent 3" w:semiHidden="1" w:uiPriority="49" w:unhideWhenUsed="1"/>
    <w:lsdException w:name="Block Text" w:semiHidden="1" w:uiPriority="49" w:unhideWhenUsed="1"/>
    <w:lsdException w:name="Hyperlink" w:semiHidden="1" w:unhideWhenUsed="1"/>
    <w:lsdException w:name="FollowedHyperlink" w:semiHidden="1" w:uiPriority="49" w:unhideWhenUsed="1"/>
    <w:lsdException w:name="Document Map" w:semiHidden="1" w:uiPriority="49" w:unhideWhenUsed="1"/>
    <w:lsdException w:name="Plain Text" w:semiHidden="1" w:unhideWhenUsed="1"/>
    <w:lsdException w:name="E-mail Signature" w:semiHidden="1" w:uiPriority="49" w:unhideWhenUsed="1"/>
    <w:lsdException w:name="HTML Top of Form" w:semiHidden="1" w:unhideWhenUsed="1"/>
    <w:lsdException w:name="HTML Bottom of Form" w:semiHidden="1" w:unhideWhenUsed="1"/>
    <w:lsdException w:name="Normal (Web)" w:semiHidden="1" w:unhideWhenUsed="1"/>
    <w:lsdException w:name="HTML Acronym" w:semiHidden="1" w:uiPriority="49" w:unhideWhenUsed="1"/>
    <w:lsdException w:name="HTML Address" w:semiHidden="1" w:uiPriority="49" w:unhideWhenUsed="1"/>
    <w:lsdException w:name="HTML Cite" w:semiHidden="1" w:uiPriority="49" w:unhideWhenUsed="1"/>
    <w:lsdException w:name="HTML Code" w:semiHidden="1" w:uiPriority="49" w:unhideWhenUsed="1"/>
    <w:lsdException w:name="HTML Definition" w:semiHidden="1" w:uiPriority="49" w:unhideWhenUsed="1"/>
    <w:lsdException w:name="HTML Keyboard" w:semiHidden="1" w:uiPriority="49" w:unhideWhenUsed="1"/>
    <w:lsdException w:name="HTML Preformatted" w:semiHidden="1" w:uiPriority="49" w:unhideWhenUsed="1"/>
    <w:lsdException w:name="HTML Sample" w:semiHidden="1" w:uiPriority="49" w:unhideWhenUsed="1"/>
    <w:lsdException w:name="HTML Typewriter" w:semiHidden="1" w:uiPriority="49" w:unhideWhenUsed="1"/>
    <w:lsdException w:name="HTML Variable" w:semiHidden="1" w:uiPriority="49" w:unhideWhenUsed="1"/>
    <w:lsdException w:name="Normal Table" w:semiHidden="1" w:unhideWhenUsed="1"/>
    <w:lsdException w:name="annotation subject" w:semiHidden="1" w:uiPriority="49"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Bibliography" w:semiHidden="1" w:unhideWhenUsed="1"/>
    <w:lsdException w:name="TOC Heading" w:uiPriority="39"/>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35B1"/>
  </w:style>
  <w:style w:type="paragraph" w:styleId="Heading1">
    <w:name w:val="heading 1"/>
    <w:basedOn w:val="Normal"/>
    <w:next w:val="BodyText1"/>
    <w:link w:val="Heading1Char"/>
    <w:qFormat/>
    <w:rsid w:val="006C06E6"/>
    <w:pPr>
      <w:keepNext/>
      <w:outlineLvl w:val="0"/>
    </w:pPr>
    <w:rPr>
      <w:rFonts w:asciiTheme="majorHAnsi" w:hAnsiTheme="majorHAnsi"/>
      <w:b/>
    </w:rPr>
  </w:style>
  <w:style w:type="paragraph" w:styleId="Heading2">
    <w:name w:val="heading 2"/>
    <w:basedOn w:val="Normal"/>
    <w:next w:val="BodyText1"/>
    <w:link w:val="Heading2Char"/>
    <w:qFormat/>
    <w:rsid w:val="00C86748"/>
    <w:pPr>
      <w:keepNext/>
      <w:autoSpaceDE w:val="0"/>
      <w:autoSpaceDN w:val="0"/>
      <w:adjustRightInd w:val="0"/>
      <w:spacing w:before="120" w:after="360"/>
      <w:outlineLvl w:val="1"/>
    </w:pPr>
    <w:rPr>
      <w:rFonts w:asciiTheme="majorHAnsi" w:eastAsia="Times New Roman" w:hAnsiTheme="majorHAnsi" w:cs="Arial"/>
      <w:b/>
      <w:bCs/>
      <w:sz w:val="32"/>
    </w:rPr>
  </w:style>
  <w:style w:type="paragraph" w:styleId="Heading3">
    <w:name w:val="heading 3"/>
    <w:basedOn w:val="Normal"/>
    <w:next w:val="BodyText1"/>
    <w:link w:val="Heading3Char"/>
    <w:qFormat/>
    <w:rsid w:val="006C06E6"/>
    <w:pPr>
      <w:keepNext/>
      <w:outlineLvl w:val="2"/>
    </w:pPr>
    <w:rPr>
      <w:rFonts w:eastAsia="Times New Roman" w:cs="Arial"/>
      <w:bCs/>
      <w:i/>
      <w:sz w:val="26"/>
    </w:rPr>
  </w:style>
  <w:style w:type="paragraph" w:styleId="Heading4">
    <w:name w:val="heading 4"/>
    <w:basedOn w:val="Normal"/>
    <w:next w:val="BodyText1"/>
    <w:link w:val="Heading4Char"/>
    <w:uiPriority w:val="3"/>
    <w:semiHidden/>
    <w:rsid w:val="006C06E6"/>
    <w:pPr>
      <w:keepNext/>
      <w:outlineLvl w:val="3"/>
    </w:pPr>
    <w:rPr>
      <w:rFonts w:ascii="Arial" w:hAnsi="Arial"/>
      <w:b/>
    </w:rPr>
  </w:style>
  <w:style w:type="paragraph" w:styleId="Heading5">
    <w:name w:val="heading 5"/>
    <w:basedOn w:val="Normal"/>
    <w:next w:val="Normal"/>
    <w:link w:val="Heading5Char"/>
    <w:uiPriority w:val="4"/>
    <w:semiHidden/>
    <w:qFormat/>
    <w:rsid w:val="00DC52E3"/>
    <w:pPr>
      <w:outlineLvl w:val="4"/>
    </w:pPr>
    <w:rPr>
      <w:rFonts w:ascii="Trebuchet MS" w:hAnsi="Trebuchet MS"/>
      <w:b/>
      <w:sz w:val="32"/>
    </w:rPr>
  </w:style>
  <w:style w:type="paragraph" w:styleId="Heading6">
    <w:name w:val="heading 6"/>
    <w:basedOn w:val="Normal"/>
    <w:next w:val="Normal"/>
    <w:link w:val="Heading6Char"/>
    <w:uiPriority w:val="5"/>
    <w:semiHidden/>
    <w:qFormat/>
    <w:rsid w:val="00DC52E3"/>
    <w:pPr>
      <w:keepNext/>
      <w:keepLines/>
      <w:spacing w:before="200"/>
      <w:outlineLvl w:val="5"/>
    </w:pPr>
    <w:rPr>
      <w:rFonts w:ascii="Trebuchet MS" w:eastAsia="Times New Roman" w:hAnsi="Trebuchet MS"/>
      <w:iCs/>
      <w:color w:val="0C2577"/>
      <w:sz w:val="9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C06E6"/>
    <w:rPr>
      <w:rFonts w:asciiTheme="majorHAnsi" w:hAnsiTheme="majorHAnsi"/>
      <w:b/>
    </w:rPr>
  </w:style>
  <w:style w:type="character" w:customStyle="1" w:styleId="Heading2Char">
    <w:name w:val="Heading 2 Char"/>
    <w:basedOn w:val="DefaultParagraphFont"/>
    <w:link w:val="Heading2"/>
    <w:rsid w:val="00C86748"/>
    <w:rPr>
      <w:rFonts w:asciiTheme="majorHAnsi" w:eastAsia="Times New Roman" w:hAnsiTheme="majorHAnsi" w:cs="Arial"/>
      <w:b/>
      <w:bCs/>
      <w:sz w:val="32"/>
    </w:rPr>
  </w:style>
  <w:style w:type="character" w:styleId="PlaceholderText">
    <w:name w:val="Placeholder Text"/>
    <w:basedOn w:val="DefaultParagraphFont"/>
    <w:uiPriority w:val="99"/>
    <w:semiHidden/>
    <w:rsid w:val="00B04B20"/>
    <w:rPr>
      <w:color w:val="808080"/>
    </w:rPr>
  </w:style>
  <w:style w:type="paragraph" w:styleId="BalloonText">
    <w:name w:val="Balloon Text"/>
    <w:basedOn w:val="Normal"/>
    <w:link w:val="BalloonTextChar"/>
    <w:uiPriority w:val="49"/>
    <w:semiHidden/>
    <w:unhideWhenUsed/>
    <w:rsid w:val="00B04B20"/>
    <w:rPr>
      <w:rFonts w:ascii="Tahoma" w:hAnsi="Tahoma" w:cs="Tahoma"/>
      <w:sz w:val="16"/>
      <w:szCs w:val="16"/>
    </w:rPr>
  </w:style>
  <w:style w:type="character" w:customStyle="1" w:styleId="BalloonTextChar">
    <w:name w:val="Balloon Text Char"/>
    <w:basedOn w:val="DefaultParagraphFont"/>
    <w:link w:val="BalloonText"/>
    <w:uiPriority w:val="49"/>
    <w:semiHidden/>
    <w:rsid w:val="001F6B8D"/>
    <w:rPr>
      <w:rFonts w:ascii="Tahoma" w:hAnsi="Tahoma" w:cs="Tahoma"/>
      <w:sz w:val="16"/>
      <w:szCs w:val="16"/>
    </w:rPr>
  </w:style>
  <w:style w:type="character" w:customStyle="1" w:styleId="Heading3Char">
    <w:name w:val="Heading 3 Char"/>
    <w:basedOn w:val="DefaultParagraphFont"/>
    <w:link w:val="Heading3"/>
    <w:rsid w:val="006C06E6"/>
    <w:rPr>
      <w:rFonts w:eastAsia="Times New Roman" w:cs="Arial"/>
      <w:bCs/>
      <w:i/>
      <w:sz w:val="26"/>
    </w:rPr>
  </w:style>
  <w:style w:type="character" w:customStyle="1" w:styleId="Heading4Char">
    <w:name w:val="Heading 4 Char"/>
    <w:basedOn w:val="DefaultParagraphFont"/>
    <w:link w:val="Heading4"/>
    <w:uiPriority w:val="3"/>
    <w:semiHidden/>
    <w:rsid w:val="0029455F"/>
    <w:rPr>
      <w:rFonts w:ascii="Arial" w:hAnsi="Arial"/>
      <w:b/>
    </w:rPr>
  </w:style>
  <w:style w:type="character" w:customStyle="1" w:styleId="Heading5Char">
    <w:name w:val="Heading 5 Char"/>
    <w:basedOn w:val="DefaultParagraphFont"/>
    <w:link w:val="Heading5"/>
    <w:uiPriority w:val="4"/>
    <w:semiHidden/>
    <w:rsid w:val="00842FBD"/>
    <w:rPr>
      <w:rFonts w:ascii="Trebuchet MS" w:hAnsi="Trebuchet MS"/>
      <w:b/>
      <w:sz w:val="32"/>
    </w:rPr>
  </w:style>
  <w:style w:type="character" w:customStyle="1" w:styleId="Heading6Char">
    <w:name w:val="Heading 6 Char"/>
    <w:basedOn w:val="DefaultParagraphFont"/>
    <w:link w:val="Heading6"/>
    <w:uiPriority w:val="5"/>
    <w:semiHidden/>
    <w:rsid w:val="00787FA9"/>
    <w:rPr>
      <w:rFonts w:ascii="Trebuchet MS" w:eastAsia="Times New Roman" w:hAnsi="Trebuchet MS"/>
      <w:iCs/>
      <w:color w:val="0C2577"/>
      <w:sz w:val="90"/>
    </w:rPr>
  </w:style>
  <w:style w:type="paragraph" w:styleId="EnvelopeAddress">
    <w:name w:val="envelope address"/>
    <w:basedOn w:val="Normal"/>
    <w:uiPriority w:val="49"/>
    <w:semiHidden/>
    <w:unhideWhenUsed/>
    <w:rsid w:val="007031F4"/>
    <w:pPr>
      <w:framePr w:w="7920" w:h="1980" w:hRule="exact" w:hSpace="180" w:wrap="auto" w:hAnchor="page" w:xAlign="center" w:yAlign="bottom"/>
      <w:ind w:left="2880"/>
    </w:pPr>
    <w:rPr>
      <w:rFonts w:eastAsia="Times New Roman"/>
    </w:rPr>
  </w:style>
  <w:style w:type="paragraph" w:styleId="EnvelopeReturn">
    <w:name w:val="envelope return"/>
    <w:basedOn w:val="Normal"/>
    <w:uiPriority w:val="49"/>
    <w:semiHidden/>
    <w:unhideWhenUsed/>
    <w:rsid w:val="007031F4"/>
    <w:rPr>
      <w:rFonts w:eastAsia="Times New Roman"/>
      <w:sz w:val="20"/>
      <w:szCs w:val="20"/>
    </w:rPr>
  </w:style>
  <w:style w:type="character" w:styleId="Hyperlink">
    <w:name w:val="Hyperlink"/>
    <w:basedOn w:val="DefaultParagraphFont"/>
    <w:uiPriority w:val="99"/>
    <w:rsid w:val="00BC2D08"/>
    <w:rPr>
      <w:color w:val="0000FF"/>
      <w:u w:val="single"/>
    </w:rPr>
  </w:style>
  <w:style w:type="paragraph" w:styleId="BodyText2">
    <w:name w:val="Body Text 2"/>
    <w:basedOn w:val="Normal"/>
    <w:link w:val="BodyText2Char"/>
    <w:qFormat/>
    <w:rsid w:val="002E0DCB"/>
    <w:pPr>
      <w:numPr>
        <w:ilvl w:val="1"/>
        <w:numId w:val="19"/>
      </w:numPr>
      <w:jc w:val="both"/>
    </w:pPr>
  </w:style>
  <w:style w:type="character" w:customStyle="1" w:styleId="BodyText2Char">
    <w:name w:val="Body Text 2 Char"/>
    <w:basedOn w:val="DefaultParagraphFont"/>
    <w:link w:val="BodyText2"/>
    <w:rsid w:val="002E0DCB"/>
  </w:style>
  <w:style w:type="paragraph" w:styleId="ListBullet">
    <w:name w:val="List Bullet"/>
    <w:basedOn w:val="Normal"/>
    <w:uiPriority w:val="38"/>
    <w:semiHidden/>
    <w:unhideWhenUsed/>
    <w:rsid w:val="005050E8"/>
    <w:pPr>
      <w:numPr>
        <w:numId w:val="11"/>
      </w:numPr>
      <w:ind w:left="357" w:hanging="357"/>
      <w:contextualSpacing/>
    </w:pPr>
  </w:style>
  <w:style w:type="paragraph" w:styleId="Header">
    <w:name w:val="header"/>
    <w:basedOn w:val="Normal"/>
    <w:next w:val="Normal"/>
    <w:link w:val="HeaderChar"/>
    <w:uiPriority w:val="40"/>
    <w:rsid w:val="00110917"/>
    <w:pPr>
      <w:tabs>
        <w:tab w:val="center" w:pos="4513"/>
        <w:tab w:val="right" w:pos="9026"/>
      </w:tabs>
      <w:spacing w:after="0"/>
      <w:contextualSpacing/>
      <w:jc w:val="right"/>
    </w:pPr>
    <w:rPr>
      <w:b/>
    </w:rPr>
  </w:style>
  <w:style w:type="character" w:customStyle="1" w:styleId="HeaderChar">
    <w:name w:val="Header Char"/>
    <w:basedOn w:val="DefaultParagraphFont"/>
    <w:link w:val="Header"/>
    <w:uiPriority w:val="40"/>
    <w:rsid w:val="0000183A"/>
    <w:rPr>
      <w:b/>
    </w:rPr>
  </w:style>
  <w:style w:type="paragraph" w:styleId="Footer">
    <w:name w:val="footer"/>
    <w:basedOn w:val="Normal"/>
    <w:link w:val="FooterChar"/>
    <w:uiPriority w:val="40"/>
    <w:rsid w:val="00867092"/>
    <w:pPr>
      <w:tabs>
        <w:tab w:val="center" w:pos="4513"/>
        <w:tab w:val="right" w:pos="9026"/>
      </w:tabs>
      <w:spacing w:after="120"/>
      <w:jc w:val="right"/>
    </w:pPr>
    <w:rPr>
      <w:b/>
    </w:rPr>
  </w:style>
  <w:style w:type="character" w:customStyle="1" w:styleId="FooterChar">
    <w:name w:val="Footer Char"/>
    <w:basedOn w:val="DefaultParagraphFont"/>
    <w:link w:val="Footer"/>
    <w:uiPriority w:val="40"/>
    <w:rsid w:val="0000183A"/>
    <w:rPr>
      <w:b/>
    </w:rPr>
  </w:style>
  <w:style w:type="paragraph" w:styleId="FootnoteText">
    <w:name w:val="footnote text"/>
    <w:basedOn w:val="Normal"/>
    <w:link w:val="FootnoteTextChar"/>
    <w:uiPriority w:val="99"/>
    <w:rsid w:val="00C67A76"/>
    <w:pPr>
      <w:spacing w:after="0"/>
      <w:ind w:left="567" w:hanging="567"/>
    </w:pPr>
    <w:rPr>
      <w:sz w:val="20"/>
    </w:rPr>
  </w:style>
  <w:style w:type="character" w:customStyle="1" w:styleId="FootnoteTextChar">
    <w:name w:val="Footnote Text Char"/>
    <w:basedOn w:val="DefaultParagraphFont"/>
    <w:link w:val="FootnoteText"/>
    <w:uiPriority w:val="99"/>
    <w:rsid w:val="0029455F"/>
    <w:rPr>
      <w:sz w:val="20"/>
    </w:rPr>
  </w:style>
  <w:style w:type="character" w:styleId="FootnoteReference">
    <w:name w:val="footnote reference"/>
    <w:basedOn w:val="DefaultParagraphFont"/>
    <w:uiPriority w:val="99"/>
    <w:rsid w:val="00725AA6"/>
    <w:rPr>
      <w:vertAlign w:val="superscript"/>
    </w:rPr>
  </w:style>
  <w:style w:type="table" w:styleId="TableGrid">
    <w:name w:val="Table Grid"/>
    <w:basedOn w:val="TableNormal"/>
    <w:uiPriority w:val="59"/>
    <w:rsid w:val="004851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rsid w:val="00B47BD7"/>
    <w:pPr>
      <w:tabs>
        <w:tab w:val="right" w:leader="dot" w:pos="8302"/>
      </w:tabs>
      <w:spacing w:after="120"/>
      <w:ind w:right="567"/>
    </w:pPr>
    <w:rPr>
      <w:rFonts w:ascii="Arial" w:hAnsi="Arial"/>
      <w:noProof/>
    </w:rPr>
  </w:style>
  <w:style w:type="paragraph" w:styleId="TOC3">
    <w:name w:val="toc 3"/>
    <w:basedOn w:val="Normal"/>
    <w:next w:val="Normal"/>
    <w:autoRedefine/>
    <w:uiPriority w:val="39"/>
    <w:unhideWhenUsed/>
    <w:rsid w:val="0029455F"/>
    <w:pPr>
      <w:tabs>
        <w:tab w:val="right" w:leader="dot" w:pos="8302"/>
      </w:tabs>
      <w:spacing w:after="120"/>
      <w:ind w:left="567" w:right="567"/>
    </w:pPr>
    <w:rPr>
      <w:rFonts w:ascii="Arial" w:hAnsi="Arial"/>
    </w:rPr>
  </w:style>
  <w:style w:type="paragraph" w:styleId="TOCHeading">
    <w:name w:val="TOC Heading"/>
    <w:basedOn w:val="Heading1"/>
    <w:next w:val="Normal"/>
    <w:uiPriority w:val="39"/>
    <w:rsid w:val="00E96B6D"/>
    <w:pPr>
      <w:outlineLvl w:val="9"/>
    </w:pPr>
    <w:rPr>
      <w:rFonts w:eastAsiaTheme="majorEastAsia" w:cstheme="majorBidi"/>
      <w:szCs w:val="28"/>
    </w:rPr>
  </w:style>
  <w:style w:type="character" w:customStyle="1" w:styleId="BodyText1Char">
    <w:name w:val="Body Text 1 Char"/>
    <w:basedOn w:val="DefaultParagraphFont"/>
    <w:link w:val="BodyText1"/>
    <w:rsid w:val="00656D42"/>
    <w:rPr>
      <w:rFonts w:eastAsia="Times New Roman"/>
    </w:rPr>
  </w:style>
  <w:style w:type="paragraph" w:styleId="NoSpacing">
    <w:name w:val="No Spacing"/>
    <w:uiPriority w:val="1"/>
    <w:qFormat/>
    <w:rsid w:val="009D467A"/>
    <w:pPr>
      <w:spacing w:after="0"/>
    </w:pPr>
  </w:style>
  <w:style w:type="paragraph" w:customStyle="1" w:styleId="BoxHeading">
    <w:name w:val="Box Heading"/>
    <w:next w:val="Normal"/>
    <w:uiPriority w:val="1"/>
    <w:qFormat/>
    <w:rsid w:val="00656D42"/>
    <w:pPr>
      <w:spacing w:before="120" w:after="360"/>
    </w:pPr>
    <w:rPr>
      <w:rFonts w:ascii="Arial" w:eastAsia="Times New Roman" w:hAnsi="Arial" w:cs="Arial"/>
      <w:b/>
      <w:bCs/>
      <w:sz w:val="32"/>
      <w:szCs w:val="32"/>
    </w:rPr>
  </w:style>
  <w:style w:type="paragraph" w:customStyle="1" w:styleId="BoxBullet">
    <w:name w:val="Box Bullet"/>
    <w:basedOn w:val="Normal"/>
    <w:uiPriority w:val="1"/>
    <w:qFormat/>
    <w:rsid w:val="003936EA"/>
    <w:pPr>
      <w:numPr>
        <w:numId w:val="17"/>
      </w:numPr>
    </w:pPr>
    <w:rPr>
      <w:rFonts w:eastAsia="Times New Roman"/>
      <w:szCs w:val="26"/>
    </w:rPr>
  </w:style>
  <w:style w:type="paragraph" w:customStyle="1" w:styleId="BodyText1">
    <w:name w:val="Body Text 1"/>
    <w:basedOn w:val="Normal"/>
    <w:link w:val="BodyText1Char"/>
    <w:qFormat/>
    <w:rsid w:val="00E07F40"/>
    <w:pPr>
      <w:numPr>
        <w:numId w:val="19"/>
      </w:numPr>
      <w:jc w:val="both"/>
    </w:pPr>
    <w:rPr>
      <w:rFonts w:eastAsia="Times New Roman"/>
    </w:rPr>
  </w:style>
  <w:style w:type="character" w:customStyle="1" w:styleId="PSNamefieldtext">
    <w:name w:val="PS Name field text"/>
    <w:basedOn w:val="DefaultParagraphFont"/>
    <w:uiPriority w:val="2"/>
    <w:qFormat/>
    <w:rsid w:val="00E07F40"/>
    <w:rPr>
      <w:lang w:eastAsia="en-AU"/>
    </w:rPr>
  </w:style>
  <w:style w:type="character" w:customStyle="1" w:styleId="PSNofieldtext">
    <w:name w:val="PS No. field text"/>
    <w:basedOn w:val="DefaultParagraphFont"/>
    <w:uiPriority w:val="2"/>
    <w:qFormat/>
    <w:rsid w:val="00E07F40"/>
  </w:style>
  <w:style w:type="paragraph" w:styleId="BodyText3">
    <w:name w:val="Body Text 3"/>
    <w:basedOn w:val="Normal"/>
    <w:link w:val="BodyText3Char"/>
    <w:qFormat/>
    <w:rsid w:val="00491BC7"/>
    <w:pPr>
      <w:numPr>
        <w:ilvl w:val="2"/>
        <w:numId w:val="35"/>
      </w:numPr>
      <w:jc w:val="both"/>
    </w:pPr>
    <w:rPr>
      <w:szCs w:val="16"/>
    </w:rPr>
  </w:style>
  <w:style w:type="character" w:customStyle="1" w:styleId="BodyText3Char">
    <w:name w:val="Body Text 3 Char"/>
    <w:basedOn w:val="DefaultParagraphFont"/>
    <w:link w:val="BodyText3"/>
    <w:rsid w:val="00491BC7"/>
    <w:rPr>
      <w:szCs w:val="16"/>
    </w:rPr>
  </w:style>
  <w:style w:type="character" w:customStyle="1" w:styleId="Attachmentfieldtext">
    <w:name w:val="Attachment field text"/>
    <w:basedOn w:val="DefaultParagraphFont"/>
    <w:uiPriority w:val="2"/>
    <w:qFormat/>
    <w:rsid w:val="00867092"/>
  </w:style>
  <w:style w:type="paragraph" w:styleId="Title">
    <w:name w:val="Title"/>
    <w:basedOn w:val="Normal"/>
    <w:next w:val="Normal"/>
    <w:link w:val="TitleChar"/>
    <w:uiPriority w:val="1"/>
    <w:rsid w:val="00C67A76"/>
    <w:pPr>
      <w:spacing w:before="120"/>
    </w:pPr>
    <w:rPr>
      <w:rFonts w:asciiTheme="majorHAnsi" w:hAnsiTheme="majorHAnsi"/>
      <w:b/>
      <w:sz w:val="40"/>
    </w:rPr>
  </w:style>
  <w:style w:type="character" w:customStyle="1" w:styleId="TitleChar">
    <w:name w:val="Title Char"/>
    <w:basedOn w:val="DefaultParagraphFont"/>
    <w:link w:val="Title"/>
    <w:uiPriority w:val="1"/>
    <w:rsid w:val="00C67A76"/>
    <w:rPr>
      <w:rFonts w:asciiTheme="majorHAnsi" w:hAnsiTheme="majorHAnsi"/>
      <w:b/>
      <w:sz w:val="40"/>
    </w:rPr>
  </w:style>
  <w:style w:type="paragraph" w:styleId="TOC1">
    <w:name w:val="toc 1"/>
    <w:basedOn w:val="Normal"/>
    <w:next w:val="Normal"/>
    <w:autoRedefine/>
    <w:uiPriority w:val="39"/>
    <w:rsid w:val="0029455F"/>
    <w:pPr>
      <w:tabs>
        <w:tab w:val="right" w:leader="dot" w:pos="8302"/>
      </w:tabs>
      <w:spacing w:after="120"/>
      <w:ind w:right="567"/>
    </w:pPr>
    <w:rPr>
      <w:rFonts w:asciiTheme="majorHAnsi" w:hAnsiTheme="majorHAnsi" w:cstheme="majorHAnsi"/>
      <w:noProof/>
    </w:rPr>
  </w:style>
  <w:style w:type="paragraph" w:styleId="ListParagraph">
    <w:name w:val="List Paragraph"/>
    <w:basedOn w:val="Normal"/>
    <w:uiPriority w:val="34"/>
    <w:qFormat/>
    <w:rsid w:val="00CC35B1"/>
    <w:pPr>
      <w:spacing w:after="0"/>
      <w:ind w:left="720"/>
    </w:pPr>
    <w:rPr>
      <w:rFonts w:eastAsiaTheme="minorEastAsia"/>
      <w:sz w:val="20"/>
      <w:szCs w:val="20"/>
      <w:lang w:val="en-US"/>
    </w:rPr>
  </w:style>
  <w:style w:type="character" w:styleId="CommentReference">
    <w:name w:val="annotation reference"/>
    <w:basedOn w:val="DefaultParagraphFont"/>
    <w:uiPriority w:val="49"/>
    <w:semiHidden/>
    <w:unhideWhenUsed/>
    <w:rsid w:val="00AC332E"/>
    <w:rPr>
      <w:sz w:val="16"/>
      <w:szCs w:val="16"/>
    </w:rPr>
  </w:style>
  <w:style w:type="paragraph" w:styleId="CommentText">
    <w:name w:val="annotation text"/>
    <w:basedOn w:val="Normal"/>
    <w:link w:val="CommentTextChar"/>
    <w:uiPriority w:val="49"/>
    <w:semiHidden/>
    <w:unhideWhenUsed/>
    <w:rsid w:val="00AC332E"/>
    <w:rPr>
      <w:sz w:val="20"/>
      <w:szCs w:val="20"/>
    </w:rPr>
  </w:style>
  <w:style w:type="character" w:customStyle="1" w:styleId="CommentTextChar">
    <w:name w:val="Comment Text Char"/>
    <w:basedOn w:val="DefaultParagraphFont"/>
    <w:link w:val="CommentText"/>
    <w:uiPriority w:val="49"/>
    <w:semiHidden/>
    <w:rsid w:val="00AC332E"/>
    <w:rPr>
      <w:sz w:val="20"/>
      <w:szCs w:val="20"/>
    </w:rPr>
  </w:style>
  <w:style w:type="paragraph" w:styleId="CommentSubject">
    <w:name w:val="annotation subject"/>
    <w:basedOn w:val="CommentText"/>
    <w:next w:val="CommentText"/>
    <w:link w:val="CommentSubjectChar"/>
    <w:uiPriority w:val="49"/>
    <w:semiHidden/>
    <w:unhideWhenUsed/>
    <w:rsid w:val="00AC332E"/>
    <w:rPr>
      <w:b/>
      <w:bCs/>
    </w:rPr>
  </w:style>
  <w:style w:type="character" w:customStyle="1" w:styleId="CommentSubjectChar">
    <w:name w:val="Comment Subject Char"/>
    <w:basedOn w:val="CommentTextChar"/>
    <w:link w:val="CommentSubject"/>
    <w:uiPriority w:val="49"/>
    <w:semiHidden/>
    <w:rsid w:val="00AC332E"/>
    <w:rPr>
      <w:b/>
      <w:bCs/>
      <w:sz w:val="20"/>
      <w:szCs w:val="20"/>
    </w:rPr>
  </w:style>
  <w:style w:type="paragraph" w:styleId="Revision">
    <w:name w:val="Revision"/>
    <w:hidden/>
    <w:uiPriority w:val="99"/>
    <w:semiHidden/>
    <w:rsid w:val="00272295"/>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218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APRA">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3985DE-C5A0-4941-9B07-BE9C4254A9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7</Pages>
  <Words>1813</Words>
  <Characters>9437</Characters>
  <Application>Microsoft Office Word</Application>
  <DocSecurity>0</DocSecurity>
  <Lines>210</Lines>
  <Paragraphs>101</Paragraphs>
  <ScaleCrop>false</ScaleCrop>
  <HeadingPairs>
    <vt:vector size="2" baseType="variant">
      <vt:variant>
        <vt:lpstr>Title</vt:lpstr>
      </vt:variant>
      <vt:variant>
        <vt:i4>1</vt:i4>
      </vt:variant>
    </vt:vector>
  </HeadingPairs>
  <TitlesOfParts>
    <vt:vector size="1" baseType="lpstr">
      <vt:lpstr/>
    </vt:vector>
  </TitlesOfParts>
  <Company>APRA</Company>
  <LinksUpToDate>false</LinksUpToDate>
  <CharactersWithSpaces>11159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Jane Sharkey</dc:creator>
  <cp:keywords> [SEC=UNCLASSIFIED]</cp:keywords>
  <cp:lastModifiedBy>Toni Michalis</cp:lastModifiedBy>
  <cp:revision>7</cp:revision>
  <dcterms:created xsi:type="dcterms:W3CDTF">2016-07-19T00:35:00Z</dcterms:created>
  <dcterms:modified xsi:type="dcterms:W3CDTF">2016-09-09T08:19:00Z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y fmtid="{D5CDD505-2E9C-101B-9397-08002B2CF9AE}" pid="3" name="PM_Qualifier">
    <vt:lpwstr/>
  </property>
  <property fmtid="{D5CDD505-2E9C-101B-9397-08002B2CF9AE}" pid="4" name="PM_SecurityClassification">
    <vt:lpwstr>UNCLASSIFIED</vt:lpwstr>
  </property>
  <property fmtid="{D5CDD505-2E9C-101B-9397-08002B2CF9AE}" pid="5" name="PM_DisplayValueSecClassificationWithQualifier">
    <vt:lpwstr>UNCLASSIFIED</vt:lpwstr>
  </property>
  <property fmtid="{D5CDD505-2E9C-101B-9397-08002B2CF9AE}" pid="6" name="PM_InsertionValue">
    <vt:lpwstr>UNCLASSIFIED</vt:lpwstr>
  </property>
  <property fmtid="{D5CDD505-2E9C-101B-9397-08002B2CF9AE}" pid="7" name="PM_Originator_Hash_SHA1">
    <vt:lpwstr>C3AD57350F36D8E1BD75F8F67CB06D435C9C43CA</vt:lpwstr>
  </property>
  <property fmtid="{D5CDD505-2E9C-101B-9397-08002B2CF9AE}" pid="8" name="PM_Hash_Version">
    <vt:lpwstr>2014.2</vt:lpwstr>
  </property>
  <property fmtid="{D5CDD505-2E9C-101B-9397-08002B2CF9AE}" pid="9" name="PM_Hash_Salt">
    <vt:lpwstr>8D7734F51C03D7269AB9D99FAB210868</vt:lpwstr>
  </property>
  <property fmtid="{D5CDD505-2E9C-101B-9397-08002B2CF9AE}" pid="10" name="PM_Hash_SHA1">
    <vt:lpwstr>07A7166EB0EB42319C16993FD9FF2E3164DA3D6E</vt:lpwstr>
  </property>
  <property fmtid="{D5CDD505-2E9C-101B-9397-08002B2CF9AE}" pid="11" name="PM_SecurityClassification_Prev">
    <vt:lpwstr>UNCLASSIFIED</vt:lpwstr>
  </property>
  <property fmtid="{D5CDD505-2E9C-101B-9397-08002B2CF9AE}" pid="12" name="PM_Qualifier_Prev">
    <vt:lpwstr/>
  </property>
  <property fmtid="{D5CDD505-2E9C-101B-9397-08002B2CF9AE}" pid="13" name="PM_Hash_Salt_Prev">
    <vt:lpwstr>025A8A44B57EDDC2AB27D6F3162611BA</vt:lpwstr>
  </property>
  <property fmtid="{D5CDD505-2E9C-101B-9397-08002B2CF9AE}" pid="14" name="PM_Caveats_Count">
    <vt:lpwstr>0</vt:lpwstr>
  </property>
</Properties>
</file>