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5298B" w14:textId="77777777" w:rsidR="007B6CC4" w:rsidRPr="00E80020" w:rsidRDefault="007B6CC4" w:rsidP="007B6CC4">
      <w:pPr>
        <w:rPr>
          <w:color w:val="000000"/>
        </w:rPr>
      </w:pPr>
      <w:bookmarkStart w:id="0" w:name="OLE_LINK1"/>
      <w:bookmarkStart w:id="1" w:name="_GoBack"/>
      <w:bookmarkEnd w:id="1"/>
      <w:r>
        <w:rPr>
          <w:noProof/>
          <w:color w:val="000000"/>
          <w:lang w:eastAsia="en-AU"/>
        </w:rPr>
        <w:drawing>
          <wp:inline distT="0" distB="0" distL="0" distR="0" wp14:anchorId="74DBEE47" wp14:editId="3451229D">
            <wp:extent cx="14192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A938" w14:textId="05088E5C" w:rsidR="007B6CC4" w:rsidRPr="00E80020" w:rsidRDefault="007B6CC4" w:rsidP="007B6CC4">
      <w:pPr>
        <w:pStyle w:val="Title"/>
        <w:rPr>
          <w:color w:val="000000"/>
        </w:rPr>
      </w:pPr>
      <w:r>
        <w:rPr>
          <w:color w:val="000000"/>
        </w:rPr>
        <w:t xml:space="preserve">Financial Sector (Collection of Data) (reporting standard) determination No. </w:t>
      </w:r>
      <w:r w:rsidR="00935E22" w:rsidRPr="00BF0ECC">
        <w:rPr>
          <w:color w:val="000000"/>
        </w:rPr>
        <w:t>18</w:t>
      </w:r>
      <w:r>
        <w:rPr>
          <w:color w:val="000000"/>
        </w:rPr>
        <w:t xml:space="preserve"> of 2017 </w:t>
      </w:r>
    </w:p>
    <w:p w14:paraId="05B37628" w14:textId="77777777" w:rsidR="007B6CC4" w:rsidRPr="00774C08" w:rsidRDefault="007B6CC4" w:rsidP="007B6CC4">
      <w:pPr>
        <w:pStyle w:val="Title"/>
        <w:rPr>
          <w:color w:val="000000"/>
          <w:sz w:val="28"/>
          <w:szCs w:val="28"/>
        </w:rPr>
      </w:pPr>
      <w:r w:rsidRPr="003A45D4">
        <w:rPr>
          <w:color w:val="000000"/>
          <w:sz w:val="28"/>
          <w:szCs w:val="28"/>
        </w:rPr>
        <w:t xml:space="preserve">Reporting Standard </w:t>
      </w:r>
      <w:r>
        <w:rPr>
          <w:color w:val="000000"/>
          <w:sz w:val="28"/>
          <w:szCs w:val="28"/>
        </w:rPr>
        <w:t>ARS 750.0</w:t>
      </w:r>
      <w:r w:rsidRPr="003A45D4">
        <w:rPr>
          <w:color w:val="000000"/>
          <w:sz w:val="28"/>
          <w:szCs w:val="28"/>
        </w:rPr>
        <w:t xml:space="preserve"> </w:t>
      </w:r>
      <w:r w:rsidRPr="000014BA">
        <w:rPr>
          <w:color w:val="000000"/>
          <w:sz w:val="28"/>
          <w:szCs w:val="28"/>
        </w:rPr>
        <w:t>DAWR Agricultural Lending</w:t>
      </w:r>
    </w:p>
    <w:p w14:paraId="50C88178" w14:textId="77777777" w:rsidR="007B6CC4" w:rsidRPr="00E80020" w:rsidRDefault="007B6CC4" w:rsidP="007B6CC4">
      <w:pPr>
        <w:pStyle w:val="ActTitle"/>
        <w:rPr>
          <w:color w:val="000000"/>
        </w:rPr>
      </w:pPr>
      <w:r>
        <w:rPr>
          <w:color w:val="000000"/>
        </w:rPr>
        <w:t>Financial Sector (Collection of Data) Act 2001</w:t>
      </w:r>
    </w:p>
    <w:p w14:paraId="371BC77D" w14:textId="77777777" w:rsidR="007B6CC4" w:rsidRPr="00E80020" w:rsidRDefault="007B6CC4" w:rsidP="007B6CC4">
      <w:pPr>
        <w:pStyle w:val="IntroTo"/>
        <w:rPr>
          <w:color w:val="000000"/>
        </w:rPr>
      </w:pPr>
    </w:p>
    <w:p w14:paraId="3FC0D9A8" w14:textId="5261C569" w:rsidR="007B6CC4" w:rsidRDefault="007B6CC4" w:rsidP="007B6CC4">
      <w:pPr>
        <w:pStyle w:val="IntroTo"/>
        <w:ind w:left="0" w:firstLine="0"/>
        <w:jc w:val="both"/>
        <w:rPr>
          <w:color w:val="000000"/>
          <w:szCs w:val="24"/>
        </w:rPr>
      </w:pPr>
      <w:r w:rsidRPr="00F1699C">
        <w:rPr>
          <w:szCs w:val="24"/>
        </w:rPr>
        <w:t xml:space="preserve">I, </w:t>
      </w:r>
      <w:r>
        <w:rPr>
          <w:szCs w:val="24"/>
        </w:rPr>
        <w:t>Katrina Ellis</w:t>
      </w:r>
      <w:r w:rsidRPr="00F1699C">
        <w:rPr>
          <w:szCs w:val="24"/>
        </w:rPr>
        <w:t>, delegate of APRA</w:t>
      </w:r>
      <w:r>
        <w:rPr>
          <w:szCs w:val="24"/>
        </w:rPr>
        <w:t xml:space="preserve">, </w:t>
      </w:r>
      <w:r>
        <w:rPr>
          <w:color w:val="000000"/>
          <w:szCs w:val="24"/>
        </w:rPr>
        <w:t xml:space="preserve">under paragraph 13(1)(a) of the </w:t>
      </w:r>
      <w:r>
        <w:rPr>
          <w:i/>
          <w:color w:val="000000"/>
          <w:szCs w:val="24"/>
        </w:rPr>
        <w:t xml:space="preserve">Financial Sector (Collection of Data) Act </w:t>
      </w:r>
      <w:r w:rsidRPr="0012429B">
        <w:rPr>
          <w:i/>
          <w:color w:val="000000"/>
          <w:szCs w:val="24"/>
        </w:rPr>
        <w:t>2001</w:t>
      </w:r>
      <w:r>
        <w:rPr>
          <w:color w:val="000000"/>
          <w:szCs w:val="24"/>
        </w:rPr>
        <w:t xml:space="preserve"> (the Act) </w:t>
      </w:r>
      <w:r w:rsidRPr="003675D4">
        <w:rPr>
          <w:color w:val="000000"/>
          <w:szCs w:val="24"/>
        </w:rPr>
        <w:t xml:space="preserve">DETERMINE </w:t>
      </w:r>
      <w:r w:rsidRPr="003A45D4">
        <w:rPr>
          <w:i/>
          <w:color w:val="000000"/>
          <w:szCs w:val="24"/>
        </w:rPr>
        <w:t xml:space="preserve">Reporting Standard </w:t>
      </w:r>
      <w:r>
        <w:rPr>
          <w:i/>
          <w:color w:val="000000"/>
          <w:szCs w:val="24"/>
        </w:rPr>
        <w:t>A</w:t>
      </w:r>
      <w:r w:rsidRPr="003A45D4">
        <w:rPr>
          <w:i/>
          <w:color w:val="000000"/>
          <w:szCs w:val="24"/>
        </w:rPr>
        <w:t xml:space="preserve">RS </w:t>
      </w:r>
      <w:r>
        <w:rPr>
          <w:i/>
          <w:color w:val="000000"/>
          <w:szCs w:val="24"/>
        </w:rPr>
        <w:t>750</w:t>
      </w:r>
      <w:r w:rsidR="00877F67">
        <w:rPr>
          <w:i/>
          <w:color w:val="000000"/>
          <w:szCs w:val="24"/>
        </w:rPr>
        <w:t>.0</w:t>
      </w:r>
      <w:r w:rsidRPr="003A45D4">
        <w:rPr>
          <w:color w:val="000000"/>
          <w:sz w:val="28"/>
          <w:szCs w:val="28"/>
          <w:lang w:eastAsia="en-AU"/>
        </w:rPr>
        <w:t xml:space="preserve"> </w:t>
      </w:r>
      <w:r>
        <w:rPr>
          <w:i/>
          <w:color w:val="000000"/>
          <w:szCs w:val="24"/>
        </w:rPr>
        <w:t>DAWR Agricultural Lending</w:t>
      </w:r>
      <w:r w:rsidRPr="003675D4">
        <w:rPr>
          <w:color w:val="000000"/>
          <w:szCs w:val="24"/>
        </w:rPr>
        <w:t xml:space="preserve">, in the form set out in the Schedule, </w:t>
      </w:r>
      <w:r>
        <w:rPr>
          <w:color w:val="000000"/>
          <w:szCs w:val="24"/>
        </w:rPr>
        <w:t xml:space="preserve">which applies to the financial sector entities to the extent provided in paragraph 3 of the reporting standard. </w:t>
      </w:r>
    </w:p>
    <w:p w14:paraId="646AD44D" w14:textId="77777777" w:rsidR="007B6CC4" w:rsidRDefault="007B6CC4" w:rsidP="004E633C">
      <w:pPr>
        <w:pStyle w:val="IntroTo"/>
        <w:ind w:left="0" w:firstLine="0"/>
        <w:jc w:val="both"/>
        <w:rPr>
          <w:color w:val="000000"/>
          <w:szCs w:val="24"/>
        </w:rPr>
      </w:pPr>
    </w:p>
    <w:p w14:paraId="715F78BE" w14:textId="73A94B53" w:rsidR="007B6CC4" w:rsidRPr="004E633C" w:rsidRDefault="007B6CC4" w:rsidP="004E633C">
      <w:pPr>
        <w:pStyle w:val="IntroTo"/>
        <w:ind w:left="0" w:firstLine="0"/>
        <w:jc w:val="both"/>
        <w:rPr>
          <w:color w:val="000000"/>
          <w:szCs w:val="24"/>
        </w:rPr>
      </w:pPr>
      <w:r w:rsidRPr="004E633C">
        <w:rPr>
          <w:color w:val="000000"/>
          <w:szCs w:val="24"/>
        </w:rPr>
        <w:t xml:space="preserve">Under section 15 of the Act, I DECLARE that the reporting standard shall begin to apply to those financial sector entities upon </w:t>
      </w:r>
      <w:r w:rsidR="00185A75">
        <w:rPr>
          <w:color w:val="000000"/>
          <w:szCs w:val="24"/>
        </w:rPr>
        <w:t xml:space="preserve">the date of </w:t>
      </w:r>
      <w:r w:rsidRPr="004E633C">
        <w:rPr>
          <w:color w:val="000000"/>
          <w:szCs w:val="24"/>
        </w:rPr>
        <w:t>registration</w:t>
      </w:r>
      <w:r w:rsidR="00185A75">
        <w:rPr>
          <w:color w:val="000000"/>
          <w:szCs w:val="24"/>
        </w:rPr>
        <w:t xml:space="preserve"> of this instrument</w:t>
      </w:r>
      <w:r w:rsidRPr="004E633C">
        <w:rPr>
          <w:color w:val="000000"/>
          <w:szCs w:val="24"/>
        </w:rPr>
        <w:t xml:space="preserve"> on the Federal Register of Legislation. </w:t>
      </w:r>
    </w:p>
    <w:p w14:paraId="76A80B01" w14:textId="77777777" w:rsidR="007B6CC4" w:rsidRPr="004E633C" w:rsidRDefault="007B6CC4" w:rsidP="004E633C">
      <w:pPr>
        <w:pStyle w:val="IntroTo"/>
        <w:ind w:left="0" w:firstLine="0"/>
        <w:jc w:val="both"/>
        <w:rPr>
          <w:color w:val="000000"/>
          <w:szCs w:val="24"/>
        </w:rPr>
      </w:pPr>
    </w:p>
    <w:p w14:paraId="27BB1A7A" w14:textId="4BD39687" w:rsidR="007B6CC4" w:rsidRPr="004E633C" w:rsidRDefault="007B6CC4" w:rsidP="004E633C">
      <w:pPr>
        <w:pStyle w:val="IntroTo"/>
        <w:ind w:left="0" w:firstLine="0"/>
        <w:jc w:val="both"/>
        <w:rPr>
          <w:color w:val="000000"/>
          <w:szCs w:val="24"/>
        </w:rPr>
      </w:pPr>
      <w:r w:rsidRPr="004E633C">
        <w:rPr>
          <w:color w:val="000000"/>
          <w:szCs w:val="24"/>
        </w:rPr>
        <w:t>This instrument commences upon registration on the Federal Register of Legislation.</w:t>
      </w:r>
    </w:p>
    <w:p w14:paraId="4FF39090" w14:textId="77777777" w:rsidR="007B6CC4" w:rsidRPr="004E633C" w:rsidRDefault="007B6CC4" w:rsidP="004E633C">
      <w:pPr>
        <w:pStyle w:val="IntroTo"/>
        <w:ind w:left="0" w:firstLine="0"/>
        <w:jc w:val="both"/>
        <w:rPr>
          <w:color w:val="000000"/>
          <w:szCs w:val="24"/>
        </w:rPr>
      </w:pPr>
    </w:p>
    <w:p w14:paraId="4DFDC0C6" w14:textId="394AD4AE" w:rsidR="007B6CC4" w:rsidRPr="004E633C" w:rsidRDefault="007B6CC4" w:rsidP="004E633C">
      <w:pPr>
        <w:pStyle w:val="IntroTo"/>
        <w:ind w:left="0" w:firstLine="0"/>
        <w:jc w:val="both"/>
        <w:rPr>
          <w:color w:val="000000"/>
          <w:szCs w:val="24"/>
        </w:rPr>
      </w:pPr>
      <w:r w:rsidRPr="004E633C">
        <w:rPr>
          <w:color w:val="000000"/>
          <w:szCs w:val="24"/>
        </w:rPr>
        <w:t xml:space="preserve">Dated:     </w:t>
      </w:r>
      <w:r w:rsidR="00BF0ECC">
        <w:rPr>
          <w:color w:val="000000"/>
          <w:szCs w:val="24"/>
        </w:rPr>
        <w:t>29</w:t>
      </w:r>
      <w:r w:rsidRPr="004E633C">
        <w:rPr>
          <w:color w:val="000000"/>
          <w:szCs w:val="24"/>
        </w:rPr>
        <w:t xml:space="preserve"> September 2017</w:t>
      </w:r>
    </w:p>
    <w:p w14:paraId="1AD94B51" w14:textId="77777777" w:rsidR="007B6CC4" w:rsidRPr="004E633C" w:rsidRDefault="007B6CC4" w:rsidP="004E633C">
      <w:pPr>
        <w:pStyle w:val="IntroTo"/>
        <w:ind w:left="0" w:firstLine="0"/>
        <w:jc w:val="both"/>
        <w:rPr>
          <w:color w:val="000000"/>
          <w:szCs w:val="24"/>
        </w:rPr>
      </w:pPr>
    </w:p>
    <w:p w14:paraId="1D2B1EAC" w14:textId="0A6AFD6D" w:rsidR="007B6CC4" w:rsidRPr="004E633C" w:rsidRDefault="00F65137" w:rsidP="004E633C">
      <w:pPr>
        <w:pStyle w:val="IntroTo"/>
        <w:ind w:left="0" w:firstLine="0"/>
        <w:jc w:val="both"/>
        <w:rPr>
          <w:color w:val="000000"/>
          <w:szCs w:val="24"/>
        </w:rPr>
      </w:pPr>
      <w:r>
        <w:rPr>
          <w:color w:val="000000"/>
          <w:szCs w:val="24"/>
        </w:rPr>
        <w:t>[Signed]</w:t>
      </w:r>
    </w:p>
    <w:p w14:paraId="1A446176" w14:textId="77777777" w:rsidR="007B6CC4" w:rsidRPr="004E633C" w:rsidRDefault="007B6CC4" w:rsidP="004E633C">
      <w:pPr>
        <w:pStyle w:val="IntroTo"/>
        <w:ind w:left="0" w:firstLine="0"/>
        <w:jc w:val="both"/>
        <w:rPr>
          <w:color w:val="000000"/>
          <w:szCs w:val="24"/>
        </w:rPr>
      </w:pPr>
    </w:p>
    <w:p w14:paraId="4C5BAF74" w14:textId="77777777" w:rsidR="007B6CC4" w:rsidRPr="004E633C" w:rsidRDefault="007B6CC4" w:rsidP="004E633C">
      <w:pPr>
        <w:pStyle w:val="IntroTo"/>
        <w:ind w:left="0" w:firstLine="0"/>
        <w:jc w:val="both"/>
        <w:rPr>
          <w:color w:val="000000"/>
          <w:szCs w:val="24"/>
        </w:rPr>
      </w:pPr>
    </w:p>
    <w:p w14:paraId="7466C8D5" w14:textId="77777777" w:rsidR="007B6CC4" w:rsidRPr="004E633C" w:rsidRDefault="007B6CC4" w:rsidP="004E633C">
      <w:pPr>
        <w:pStyle w:val="IntroTo"/>
        <w:ind w:left="0" w:firstLine="0"/>
        <w:jc w:val="both"/>
        <w:rPr>
          <w:color w:val="000000"/>
          <w:szCs w:val="24"/>
        </w:rPr>
      </w:pPr>
      <w:r w:rsidRPr="004E633C">
        <w:rPr>
          <w:color w:val="000000"/>
          <w:szCs w:val="24"/>
        </w:rPr>
        <w:t>Katrina Ellis</w:t>
      </w:r>
    </w:p>
    <w:p w14:paraId="26338F76" w14:textId="0F42A8C4" w:rsidR="007B6CC4" w:rsidRPr="004E633C" w:rsidRDefault="007B6CC4" w:rsidP="004E633C">
      <w:pPr>
        <w:pStyle w:val="IntroTo"/>
        <w:ind w:left="0" w:firstLine="0"/>
        <w:jc w:val="both"/>
        <w:rPr>
          <w:color w:val="000000"/>
          <w:szCs w:val="24"/>
        </w:rPr>
      </w:pPr>
      <w:r w:rsidRPr="004E633C">
        <w:rPr>
          <w:color w:val="000000"/>
          <w:szCs w:val="24"/>
        </w:rPr>
        <w:lastRenderedPageBreak/>
        <w:t xml:space="preserve">General Manager </w:t>
      </w:r>
    </w:p>
    <w:p w14:paraId="7A233267" w14:textId="3F681251" w:rsidR="00185A75" w:rsidRPr="00BF0ECC" w:rsidRDefault="00935E22" w:rsidP="007B6CC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Analytics </w:t>
      </w:r>
      <w:r w:rsidR="00185A75">
        <w:rPr>
          <w:rFonts w:ascii="Times New Roman" w:hAnsi="Times New Roman"/>
          <w:sz w:val="24"/>
          <w:szCs w:val="24"/>
        </w:rPr>
        <w:t xml:space="preserve">Division </w:t>
      </w:r>
    </w:p>
    <w:p w14:paraId="3C52ADE0" w14:textId="77777777" w:rsidR="007B6CC4" w:rsidRPr="00E80020" w:rsidRDefault="007B6CC4" w:rsidP="007B6CC4">
      <w:pPr>
        <w:pStyle w:val="IH"/>
        <w:ind w:left="0" w:firstLine="0"/>
        <w:rPr>
          <w:rFonts w:ascii="Times New Roman" w:hAnsi="Times New Roman"/>
          <w:color w:val="000000"/>
        </w:rPr>
      </w:pPr>
      <w:r w:rsidRPr="00E80020">
        <w:rPr>
          <w:rFonts w:ascii="Times New Roman" w:hAnsi="Times New Roman"/>
          <w:color w:val="000000"/>
        </w:rPr>
        <w:t>Interpretation</w:t>
      </w:r>
    </w:p>
    <w:p w14:paraId="4AE54A5C" w14:textId="77777777" w:rsidR="007B6CC4" w:rsidRPr="00E80020" w:rsidRDefault="007B6CC4" w:rsidP="007B6CC4">
      <w:pPr>
        <w:pStyle w:val="IP"/>
        <w:rPr>
          <w:color w:val="000000"/>
        </w:rPr>
      </w:pPr>
      <w:r w:rsidRPr="00E80020">
        <w:rPr>
          <w:color w:val="000000"/>
        </w:rPr>
        <w:t xml:space="preserve">In this </w:t>
      </w:r>
      <w:r>
        <w:rPr>
          <w:color w:val="000000"/>
        </w:rPr>
        <w:t>Determination:</w:t>
      </w:r>
    </w:p>
    <w:p w14:paraId="5962790C" w14:textId="77777777" w:rsidR="007B6CC4" w:rsidRDefault="007B6CC4" w:rsidP="007B6CC4">
      <w:pPr>
        <w:pStyle w:val="IntroTo"/>
        <w:spacing w:before="120"/>
        <w:ind w:left="0" w:firstLine="0"/>
        <w:jc w:val="both"/>
        <w:rPr>
          <w:color w:val="000000"/>
          <w:szCs w:val="24"/>
        </w:rPr>
      </w:pPr>
      <w:r w:rsidRPr="000B5D99">
        <w:rPr>
          <w:b/>
          <w:i/>
          <w:color w:val="000000"/>
          <w:szCs w:val="24"/>
        </w:rPr>
        <w:t>APRA</w:t>
      </w:r>
      <w:r w:rsidRPr="000B5D99">
        <w:rPr>
          <w:color w:val="000000"/>
          <w:szCs w:val="24"/>
        </w:rPr>
        <w:t xml:space="preserve"> means the Australian Prudential Regulation Authority.</w:t>
      </w:r>
    </w:p>
    <w:p w14:paraId="43458FED" w14:textId="7A59928C" w:rsidR="00185A75" w:rsidRDefault="00185A75" w:rsidP="007B6CC4">
      <w:pPr>
        <w:pStyle w:val="IntroTo"/>
        <w:spacing w:before="120"/>
        <w:ind w:left="0" w:firstLine="0"/>
        <w:jc w:val="both"/>
        <w:rPr>
          <w:color w:val="000000"/>
          <w:szCs w:val="24"/>
        </w:rPr>
      </w:pPr>
      <w:r>
        <w:rPr>
          <w:b/>
          <w:bCs/>
          <w:i/>
          <w:iCs/>
        </w:rPr>
        <w:t>Federal Register of Legislation</w:t>
      </w:r>
      <w:r>
        <w:t xml:space="preserve"> means the register established under section 15A of the </w:t>
      </w:r>
      <w:r>
        <w:rPr>
          <w:i/>
          <w:iCs/>
        </w:rPr>
        <w:t>Legislation Act 2003.</w:t>
      </w:r>
    </w:p>
    <w:p w14:paraId="31CAA218" w14:textId="77777777" w:rsidR="007B6CC4" w:rsidRPr="00A37530" w:rsidRDefault="007B6CC4" w:rsidP="007B6CC4">
      <w:pPr>
        <w:pStyle w:val="IntroTo"/>
        <w:spacing w:before="120"/>
        <w:ind w:left="0" w:firstLine="0"/>
        <w:jc w:val="both"/>
        <w:rPr>
          <w:i/>
          <w:color w:val="000000"/>
          <w:szCs w:val="24"/>
        </w:rPr>
      </w:pPr>
      <w:proofErr w:type="gramStart"/>
      <w:r>
        <w:rPr>
          <w:b/>
          <w:i/>
        </w:rPr>
        <w:t>financial</w:t>
      </w:r>
      <w:proofErr w:type="gramEnd"/>
      <w:r>
        <w:rPr>
          <w:b/>
          <w:i/>
        </w:rPr>
        <w:t xml:space="preserve"> sector entity </w:t>
      </w:r>
      <w:r>
        <w:t>has the meaning given in section 5 of the Act.</w:t>
      </w:r>
    </w:p>
    <w:p w14:paraId="45B9394D" w14:textId="77777777" w:rsidR="007B6CC4" w:rsidRPr="00E80020" w:rsidRDefault="007B6CC4" w:rsidP="007B6CC4">
      <w:pPr>
        <w:pStyle w:val="AS"/>
        <w:ind w:left="0" w:firstLine="0"/>
        <w:rPr>
          <w:rStyle w:val="CharSchText"/>
          <w:color w:val="000000"/>
        </w:rPr>
      </w:pPr>
      <w:r w:rsidRPr="00E80020">
        <w:rPr>
          <w:rStyle w:val="CharSchNo"/>
          <w:color w:val="000000"/>
        </w:rPr>
        <w:t xml:space="preserve">Schedule </w:t>
      </w:r>
    </w:p>
    <w:p w14:paraId="6DD81CDB" w14:textId="77777777" w:rsidR="007B6CC4" w:rsidRPr="00BF0ECC" w:rsidRDefault="007B6CC4" w:rsidP="007B6CC4">
      <w:pPr>
        <w:pStyle w:val="ASref"/>
        <w:rPr>
          <w:i/>
          <w:color w:val="000000"/>
        </w:rPr>
      </w:pPr>
    </w:p>
    <w:p w14:paraId="4AB35FEA" w14:textId="26298B73" w:rsidR="007B6CC4" w:rsidRDefault="007B6CC4" w:rsidP="004E633C">
      <w:pPr>
        <w:pStyle w:val="IntroTo"/>
        <w:ind w:left="0" w:firstLine="0"/>
        <w:jc w:val="both"/>
        <w:rPr>
          <w:color w:val="000000"/>
          <w:szCs w:val="24"/>
        </w:rPr>
      </w:pPr>
      <w:r w:rsidRPr="00BF0ECC">
        <w:rPr>
          <w:i/>
          <w:color w:val="000000"/>
          <w:szCs w:val="24"/>
        </w:rPr>
        <w:t>Reporting Standard ARS 750.0 DAWR Agricultural Lending</w:t>
      </w:r>
      <w:r w:rsidRPr="004E633C">
        <w:rPr>
          <w:color w:val="000000"/>
          <w:szCs w:val="24"/>
        </w:rPr>
        <w:t xml:space="preserve"> comprises the 14 pages commencing on the following</w:t>
      </w:r>
      <w:r w:rsidR="00935E22">
        <w:rPr>
          <w:color w:val="000000"/>
          <w:szCs w:val="24"/>
        </w:rPr>
        <w:t xml:space="preserve"> page</w:t>
      </w:r>
      <w:r w:rsidR="004E633C">
        <w:rPr>
          <w:color w:val="000000"/>
          <w:szCs w:val="24"/>
        </w:rPr>
        <w:t>.</w:t>
      </w:r>
    </w:p>
    <w:p w14:paraId="0E8908F0" w14:textId="77777777" w:rsidR="00BF0ECC" w:rsidRDefault="00BF0ECC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color w:val="000000"/>
          <w:szCs w:val="24"/>
        </w:rPr>
        <w:br w:type="page"/>
      </w:r>
    </w:p>
    <w:p w14:paraId="06CDF480" w14:textId="5F45A99E" w:rsidR="00BF0ECC" w:rsidRDefault="00BF0ECC" w:rsidP="004E633C">
      <w:pPr>
        <w:pStyle w:val="IntroTo"/>
        <w:ind w:left="0" w:firstLine="0"/>
        <w:jc w:val="both"/>
        <w:rPr>
          <w:rFonts w:eastAsia="Times"/>
        </w:rPr>
      </w:pPr>
    </w:p>
    <w:p w14:paraId="509C01EA" w14:textId="316A00F4" w:rsidR="00AF103C" w:rsidRPr="00AB4984" w:rsidRDefault="000E3511" w:rsidP="006934C5">
      <w:pPr>
        <w:jc w:val="both"/>
        <w:rPr>
          <w:rFonts w:eastAsia="Times"/>
          <w:szCs w:val="20"/>
        </w:rPr>
      </w:pPr>
      <w:r w:rsidRPr="00AB4984">
        <w:rPr>
          <w:rFonts w:eastAsia="Times"/>
          <w:noProof/>
          <w:szCs w:val="20"/>
          <w:lang w:eastAsia="en-AU"/>
        </w:rPr>
        <w:drawing>
          <wp:inline distT="0" distB="0" distL="0" distR="0">
            <wp:extent cx="1424940" cy="11055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256C3" w14:textId="77777777" w:rsidR="00AF103C" w:rsidRPr="00AB4984" w:rsidRDefault="00AF103C" w:rsidP="006934C5">
      <w:pPr>
        <w:jc w:val="both"/>
        <w:rPr>
          <w:rFonts w:eastAsia="Times"/>
          <w:szCs w:val="20"/>
        </w:rPr>
      </w:pPr>
    </w:p>
    <w:p w14:paraId="50C727C4" w14:textId="77777777" w:rsidR="00AF103C" w:rsidRPr="00AB4984" w:rsidRDefault="00B90C07" w:rsidP="006934C5">
      <w:pPr>
        <w:spacing w:before="120" w:after="360"/>
        <w:jc w:val="both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741521">
        <w:rPr>
          <w:rFonts w:ascii="Arial" w:eastAsia="Times New Roman" w:hAnsi="Arial" w:cs="Arial"/>
          <w:b/>
          <w:sz w:val="40"/>
          <w:szCs w:val="40"/>
          <w:lang w:eastAsia="en-AU"/>
        </w:rPr>
        <w:t>75</w:t>
      </w:r>
      <w:r w:rsidR="0092438E">
        <w:rPr>
          <w:rFonts w:ascii="Arial" w:eastAsia="Times New Roman" w:hAnsi="Arial" w:cs="Arial"/>
          <w:b/>
          <w:sz w:val="40"/>
          <w:szCs w:val="40"/>
          <w:lang w:eastAsia="en-AU"/>
        </w:rPr>
        <w:t>0.0</w:t>
      </w:r>
    </w:p>
    <w:p w14:paraId="034D7B80" w14:textId="2E490E91" w:rsidR="00AF103C" w:rsidRPr="00AB4984" w:rsidRDefault="00741521" w:rsidP="006934C5">
      <w:pPr>
        <w:spacing w:before="120" w:after="360"/>
        <w:jc w:val="both"/>
        <w:rPr>
          <w:rFonts w:ascii="Times New Roman" w:eastAsia="Times New Roman" w:hAnsi="Times New Roman"/>
          <w:iCs/>
          <w:lang w:val="x-none"/>
        </w:rPr>
      </w:pPr>
      <w:bookmarkStart w:id="2" w:name="_Toc256519851"/>
      <w:r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DAWR </w:t>
      </w:r>
      <w:r w:rsidR="004375EA">
        <w:rPr>
          <w:rFonts w:ascii="Arial" w:eastAsia="Times New Roman" w:hAnsi="Arial" w:cs="Arial"/>
          <w:b/>
          <w:sz w:val="40"/>
          <w:szCs w:val="40"/>
          <w:lang w:eastAsia="en-AU"/>
        </w:rPr>
        <w:t>Agricultural Lending</w:t>
      </w:r>
      <w:r w:rsidR="0092438E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 </w:t>
      </w:r>
    </w:p>
    <w:bookmarkEnd w:id="2"/>
    <w:p w14:paraId="4E878330" w14:textId="77777777" w:rsidR="00CD3512" w:rsidRPr="00CD6287" w:rsidRDefault="00CD3512" w:rsidP="006934C5">
      <w:pPr>
        <w:spacing w:before="120" w:after="360"/>
        <w:jc w:val="both"/>
        <w:rPr>
          <w:rFonts w:ascii="Arial" w:eastAsia="Times" w:hAnsi="Arial" w:cs="Arial"/>
          <w:b/>
          <w:sz w:val="32"/>
          <w:szCs w:val="32"/>
        </w:rPr>
      </w:pPr>
      <w:r w:rsidRPr="00CD6287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14:paraId="3FC0B04A" w14:textId="2D2F69F9" w:rsidR="00CD3512" w:rsidRDefault="00CD3512" w:rsidP="0069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="Times New Roman" w:eastAsia="Times" w:hAnsi="Times New Roman"/>
          <w:sz w:val="24"/>
          <w:szCs w:val="24"/>
        </w:rPr>
      </w:pPr>
      <w:r w:rsidRPr="00644F17">
        <w:rPr>
          <w:rFonts w:ascii="Times New Roman" w:eastAsia="Times" w:hAnsi="Times New Roman"/>
          <w:sz w:val="24"/>
          <w:szCs w:val="24"/>
        </w:rPr>
        <w:t xml:space="preserve">This </w:t>
      </w:r>
      <w:r w:rsidR="00766DBD">
        <w:rPr>
          <w:rFonts w:ascii="Times New Roman" w:eastAsia="Times" w:hAnsi="Times New Roman"/>
          <w:sz w:val="24"/>
          <w:szCs w:val="24"/>
        </w:rPr>
        <w:t>R</w:t>
      </w:r>
      <w:r w:rsidRPr="00644F17">
        <w:rPr>
          <w:rFonts w:ascii="Times New Roman" w:eastAsia="Times" w:hAnsi="Times New Roman"/>
          <w:sz w:val="24"/>
          <w:szCs w:val="24"/>
        </w:rPr>
        <w:t xml:space="preserve">eporting </w:t>
      </w:r>
      <w:r w:rsidR="00766DBD">
        <w:rPr>
          <w:rFonts w:ascii="Times New Roman" w:eastAsia="Times" w:hAnsi="Times New Roman"/>
          <w:sz w:val="24"/>
          <w:szCs w:val="24"/>
        </w:rPr>
        <w:t>S</w:t>
      </w:r>
      <w:r w:rsidRPr="00644F17">
        <w:rPr>
          <w:rFonts w:ascii="Times New Roman" w:eastAsia="Times" w:hAnsi="Times New Roman"/>
          <w:sz w:val="24"/>
          <w:szCs w:val="24"/>
        </w:rPr>
        <w:t>tandard outlines the requirements for the provision of information to</w:t>
      </w:r>
      <w:r w:rsidR="003527E3">
        <w:rPr>
          <w:rFonts w:ascii="Times New Roman" w:eastAsia="Times" w:hAnsi="Times New Roman"/>
          <w:sz w:val="24"/>
          <w:szCs w:val="24"/>
        </w:rPr>
        <w:t xml:space="preserve"> the</w:t>
      </w:r>
      <w:r w:rsidRPr="00644F17">
        <w:rPr>
          <w:rFonts w:ascii="Times New Roman" w:eastAsia="Times" w:hAnsi="Times New Roman"/>
          <w:sz w:val="24"/>
          <w:szCs w:val="24"/>
        </w:rPr>
        <w:t xml:space="preserve"> </w:t>
      </w:r>
      <w:r w:rsidR="008851AE">
        <w:rPr>
          <w:rFonts w:ascii="Times New Roman" w:eastAsia="Times" w:hAnsi="Times New Roman"/>
          <w:sz w:val="24"/>
          <w:szCs w:val="24"/>
        </w:rPr>
        <w:t>Australian Prudential Regulation Authority</w:t>
      </w:r>
      <w:r w:rsidRPr="00644F17">
        <w:rPr>
          <w:rFonts w:ascii="Times New Roman" w:eastAsia="Times" w:hAnsi="Times New Roman"/>
          <w:sz w:val="24"/>
          <w:szCs w:val="24"/>
        </w:rPr>
        <w:t xml:space="preserve"> relating to a</w:t>
      </w:r>
      <w:r w:rsidR="00450A8F">
        <w:rPr>
          <w:rFonts w:ascii="Times New Roman" w:eastAsia="Times" w:hAnsi="Times New Roman"/>
          <w:sz w:val="24"/>
          <w:szCs w:val="24"/>
        </w:rPr>
        <w:t>n authorised deposit-taking institution’s</w:t>
      </w:r>
      <w:r w:rsidR="00DB5723">
        <w:rPr>
          <w:rFonts w:ascii="Times New Roman" w:eastAsia="Times" w:hAnsi="Times New Roman"/>
          <w:sz w:val="24"/>
          <w:szCs w:val="24"/>
        </w:rPr>
        <w:t xml:space="preserve"> </w:t>
      </w:r>
      <w:r>
        <w:rPr>
          <w:rFonts w:ascii="Times New Roman" w:eastAsia="Times" w:hAnsi="Times New Roman"/>
          <w:sz w:val="24"/>
          <w:szCs w:val="24"/>
        </w:rPr>
        <w:t>or registered financial corporation’s</w:t>
      </w:r>
      <w:r w:rsidR="00DB5723">
        <w:rPr>
          <w:rFonts w:ascii="Times New Roman" w:eastAsia="Times" w:hAnsi="Times New Roman"/>
          <w:sz w:val="24"/>
          <w:szCs w:val="24"/>
        </w:rPr>
        <w:t xml:space="preserve"> </w:t>
      </w:r>
      <w:r w:rsidR="00DB5723">
        <w:rPr>
          <w:rFonts w:ascii="Times New Roman" w:hAnsi="Times New Roman"/>
          <w:sz w:val="24"/>
          <w:szCs w:val="24"/>
        </w:rPr>
        <w:t xml:space="preserve">lending </w:t>
      </w:r>
      <w:r w:rsidR="00E84FE0">
        <w:rPr>
          <w:rFonts w:ascii="Times New Roman" w:hAnsi="Times New Roman"/>
          <w:sz w:val="24"/>
          <w:szCs w:val="24"/>
        </w:rPr>
        <w:t xml:space="preserve">and leasing </w:t>
      </w:r>
      <w:r w:rsidR="00DB5723">
        <w:rPr>
          <w:rFonts w:ascii="Times New Roman" w:hAnsi="Times New Roman"/>
          <w:sz w:val="24"/>
          <w:szCs w:val="24"/>
        </w:rPr>
        <w:t xml:space="preserve">for agricultural activity, and the extent to which those loans </w:t>
      </w:r>
      <w:r w:rsidR="002B780E">
        <w:rPr>
          <w:rFonts w:ascii="Times New Roman" w:hAnsi="Times New Roman"/>
          <w:sz w:val="24"/>
          <w:szCs w:val="24"/>
        </w:rPr>
        <w:t xml:space="preserve">and leases </w:t>
      </w:r>
      <w:r w:rsidR="00BD0849">
        <w:rPr>
          <w:rFonts w:ascii="Times New Roman" w:hAnsi="Times New Roman"/>
          <w:sz w:val="24"/>
          <w:szCs w:val="24"/>
        </w:rPr>
        <w:t xml:space="preserve">are </w:t>
      </w:r>
      <w:r w:rsidR="002B780E">
        <w:rPr>
          <w:rFonts w:ascii="Times New Roman" w:hAnsi="Times New Roman"/>
          <w:sz w:val="24"/>
          <w:szCs w:val="24"/>
        </w:rPr>
        <w:t xml:space="preserve">past due </w:t>
      </w:r>
      <w:r w:rsidR="00DB5723">
        <w:rPr>
          <w:rFonts w:ascii="Times New Roman" w:hAnsi="Times New Roman"/>
          <w:sz w:val="24"/>
          <w:szCs w:val="24"/>
        </w:rPr>
        <w:t xml:space="preserve">or </w:t>
      </w:r>
      <w:r w:rsidR="002B780E">
        <w:rPr>
          <w:rFonts w:ascii="Times New Roman" w:hAnsi="Times New Roman"/>
          <w:sz w:val="24"/>
          <w:szCs w:val="24"/>
        </w:rPr>
        <w:t xml:space="preserve">in </w:t>
      </w:r>
      <w:r w:rsidR="00DB5723">
        <w:rPr>
          <w:rFonts w:ascii="Times New Roman" w:hAnsi="Times New Roman"/>
          <w:sz w:val="24"/>
          <w:szCs w:val="24"/>
        </w:rPr>
        <w:t>distress</w:t>
      </w:r>
      <w:r>
        <w:rPr>
          <w:rFonts w:ascii="Times New Roman" w:eastAsia="Times" w:hAnsi="Times New Roman"/>
          <w:sz w:val="24"/>
          <w:szCs w:val="24"/>
        </w:rPr>
        <w:t>.</w:t>
      </w:r>
    </w:p>
    <w:p w14:paraId="5E37EE48" w14:textId="77777777" w:rsidR="00CD3512" w:rsidRDefault="00CD3512" w:rsidP="0069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="Times New Roman" w:eastAsia="Times" w:hAnsi="Times New Roman"/>
          <w:sz w:val="24"/>
          <w:szCs w:val="24"/>
        </w:rPr>
      </w:pPr>
    </w:p>
    <w:p w14:paraId="22BD3379" w14:textId="2E6C6B97" w:rsidR="00CD3512" w:rsidRDefault="00CD3512" w:rsidP="0069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 xml:space="preserve">It includes </w:t>
      </w:r>
      <w:r w:rsidRPr="00CC57BD">
        <w:rPr>
          <w:rFonts w:ascii="Times New Roman" w:eastAsia="Times" w:hAnsi="Times New Roman"/>
          <w:i/>
          <w:sz w:val="24"/>
          <w:szCs w:val="24"/>
        </w:rPr>
        <w:t>Reporting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 w:rsidR="00741521">
        <w:rPr>
          <w:rFonts w:ascii="Times New Roman" w:eastAsia="Times" w:hAnsi="Times New Roman"/>
          <w:i/>
          <w:sz w:val="24"/>
          <w:szCs w:val="24"/>
        </w:rPr>
        <w:t>Form ARF 75</w:t>
      </w:r>
      <w:r w:rsidR="0092438E">
        <w:rPr>
          <w:rFonts w:ascii="Times New Roman" w:eastAsia="Times" w:hAnsi="Times New Roman"/>
          <w:i/>
          <w:sz w:val="24"/>
          <w:szCs w:val="24"/>
        </w:rPr>
        <w:t>0.0</w:t>
      </w:r>
      <w:r>
        <w:rPr>
          <w:rFonts w:ascii="Times New Roman" w:eastAsia="Times" w:hAnsi="Times New Roman"/>
          <w:i/>
          <w:sz w:val="24"/>
          <w:szCs w:val="24"/>
        </w:rPr>
        <w:t xml:space="preserve"> </w:t>
      </w:r>
      <w:r w:rsidR="00741521">
        <w:rPr>
          <w:rFonts w:ascii="Times New Roman" w:eastAsia="Times" w:hAnsi="Times New Roman"/>
          <w:i/>
          <w:sz w:val="24"/>
          <w:szCs w:val="24"/>
        </w:rPr>
        <w:t xml:space="preserve">DAWR </w:t>
      </w:r>
      <w:r w:rsidR="004375EA">
        <w:rPr>
          <w:rFonts w:ascii="Times New Roman" w:eastAsia="Times" w:hAnsi="Times New Roman"/>
          <w:i/>
          <w:sz w:val="24"/>
          <w:szCs w:val="24"/>
        </w:rPr>
        <w:t xml:space="preserve">Agricultural Lending </w:t>
      </w:r>
      <w:r>
        <w:rPr>
          <w:rFonts w:ascii="Times New Roman" w:eastAsia="Times" w:hAnsi="Times New Roman"/>
          <w:sz w:val="24"/>
          <w:szCs w:val="24"/>
        </w:rPr>
        <w:t>and the associated specific instructions.</w:t>
      </w:r>
    </w:p>
    <w:p w14:paraId="4F6C7156" w14:textId="77777777" w:rsidR="00CD3512" w:rsidRPr="00CD6287" w:rsidRDefault="00CD3512" w:rsidP="006934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both"/>
        <w:rPr>
          <w:rFonts w:ascii="Times New Roman" w:eastAsia="Times" w:hAnsi="Times New Roman"/>
          <w:sz w:val="24"/>
          <w:szCs w:val="24"/>
        </w:rPr>
      </w:pPr>
    </w:p>
    <w:p w14:paraId="0E44DBEB" w14:textId="77777777" w:rsidR="00CD3512" w:rsidRDefault="00CD3512" w:rsidP="006934C5">
      <w:pPr>
        <w:pStyle w:val="D2Aform"/>
        <w:jc w:val="both"/>
      </w:pPr>
      <w:bookmarkStart w:id="3" w:name="_Toc256519850"/>
    </w:p>
    <w:p w14:paraId="02B57A86" w14:textId="77777777" w:rsidR="00CD3512" w:rsidRPr="006176EC" w:rsidRDefault="00CD3512" w:rsidP="006934C5">
      <w:pPr>
        <w:keepNext/>
        <w:keepLines/>
        <w:spacing w:before="120" w:after="240"/>
        <w:jc w:val="both"/>
        <w:outlineLvl w:val="2"/>
        <w:rPr>
          <w:rFonts w:ascii="Arial" w:eastAsia="Times New Roman" w:hAnsi="Arial"/>
          <w:b/>
          <w:bCs/>
          <w:sz w:val="24"/>
          <w:szCs w:val="24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3"/>
    </w:p>
    <w:p w14:paraId="072A2A58" w14:textId="77777777" w:rsidR="00CD3512" w:rsidRPr="00CD6287" w:rsidRDefault="00CD3512" w:rsidP="005042AD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4" w:name="_Ref42506849"/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CD6287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4"/>
    </w:p>
    <w:p w14:paraId="77A72645" w14:textId="77777777" w:rsidR="00CD3512" w:rsidRPr="00CD6287" w:rsidRDefault="00CD3512" w:rsidP="006934C5">
      <w:pPr>
        <w:keepNext/>
        <w:keepLines/>
        <w:spacing w:before="120"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14:paraId="62740DA8" w14:textId="14C4CFC7" w:rsidR="00CD3512" w:rsidRPr="00E94F73" w:rsidRDefault="00CD3512" w:rsidP="005042AD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 w:rsidR="00805365">
        <w:rPr>
          <w:rFonts w:ascii="Times New Roman"/>
          <w:sz w:val="24"/>
        </w:rPr>
        <w:t>on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i/>
          <w:sz w:val="24"/>
        </w:rPr>
        <w:t>Reporting Form ARF</w:t>
      </w:r>
      <w:r w:rsidR="00805365">
        <w:rPr>
          <w:rFonts w:ascii="Times New Roman"/>
          <w:i/>
          <w:sz w:val="24"/>
        </w:rPr>
        <w:t> </w:t>
      </w:r>
      <w:r w:rsidR="0092438E">
        <w:rPr>
          <w:rFonts w:ascii="Times New Roman"/>
          <w:i/>
          <w:sz w:val="24"/>
        </w:rPr>
        <w:t>7</w:t>
      </w:r>
      <w:r w:rsidR="00741521">
        <w:rPr>
          <w:rFonts w:ascii="Times New Roman"/>
          <w:i/>
          <w:sz w:val="24"/>
        </w:rPr>
        <w:t>5</w:t>
      </w:r>
      <w:r w:rsidR="0092438E">
        <w:rPr>
          <w:rFonts w:ascii="Times New Roman"/>
          <w:i/>
          <w:sz w:val="24"/>
        </w:rPr>
        <w:t>0.0</w:t>
      </w:r>
      <w:r>
        <w:rPr>
          <w:rFonts w:ascii="Times New Roman"/>
          <w:i/>
          <w:sz w:val="24"/>
        </w:rPr>
        <w:t xml:space="preserve"> </w:t>
      </w:r>
      <w:r w:rsidR="00741521">
        <w:rPr>
          <w:rFonts w:ascii="Times New Roman"/>
          <w:i/>
          <w:sz w:val="24"/>
        </w:rPr>
        <w:t xml:space="preserve">DAWR </w:t>
      </w:r>
      <w:r w:rsidR="006633FC">
        <w:rPr>
          <w:rFonts w:ascii="Times New Roman"/>
          <w:i/>
          <w:sz w:val="24"/>
        </w:rPr>
        <w:t xml:space="preserve">Agricultural Lending </w:t>
      </w:r>
      <w:r w:rsidR="002C2B28">
        <w:rPr>
          <w:rFonts w:ascii="Times New Roman"/>
          <w:sz w:val="24"/>
        </w:rPr>
        <w:t>(ARF</w:t>
      </w:r>
      <w:r w:rsidR="002C2B28">
        <w:rPr>
          <w:rFonts w:ascii="Times New Roman"/>
          <w:sz w:val="24"/>
        </w:rPr>
        <w:t> </w:t>
      </w:r>
      <w:r w:rsidR="002C2B28">
        <w:rPr>
          <w:rFonts w:ascii="Times New Roman"/>
          <w:sz w:val="24"/>
        </w:rPr>
        <w:t xml:space="preserve">750.0) </w:t>
      </w:r>
      <w:r w:rsidR="002C2B28">
        <w:rPr>
          <w:rFonts w:ascii="Times New Roman" w:eastAsia="Times New Roman" w:hAnsi="Times New Roman"/>
          <w:iCs/>
          <w:sz w:val="24"/>
          <w:szCs w:val="24"/>
        </w:rPr>
        <w:t>is</w:t>
      </w:r>
      <w:r w:rsidR="002C2B28"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8851AE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used by </w:t>
      </w:r>
      <w:r w:rsidRPr="008851AE">
        <w:rPr>
          <w:rFonts w:ascii="Times New Roman" w:eastAsia="Times New Roman" w:hAnsi="Times New Roman"/>
          <w:iCs/>
          <w:sz w:val="24"/>
          <w:szCs w:val="24"/>
        </w:rPr>
        <w:t>the</w:t>
      </w:r>
      <w:r w:rsidR="0060218B">
        <w:rPr>
          <w:rFonts w:ascii="Times New Roman" w:eastAsia="Times New Roman" w:hAnsi="Times New Roman"/>
          <w:iCs/>
          <w:sz w:val="24"/>
          <w:szCs w:val="24"/>
        </w:rPr>
        <w:t xml:space="preserve"> Department of Agriculture and Water Resources</w:t>
      </w:r>
      <w:r w:rsidRPr="008851A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60218B">
        <w:rPr>
          <w:rFonts w:ascii="Times New Roman" w:eastAsia="Times New Roman" w:hAnsi="Times New Roman"/>
          <w:iCs/>
          <w:sz w:val="24"/>
          <w:szCs w:val="24"/>
        </w:rPr>
        <w:t>(</w:t>
      </w:r>
      <w:r w:rsidR="00741521" w:rsidRPr="008E2855">
        <w:rPr>
          <w:rFonts w:ascii="Times New Roman" w:eastAsia="Times New Roman" w:hAnsi="Times New Roman"/>
          <w:iCs/>
          <w:sz w:val="24"/>
          <w:szCs w:val="24"/>
        </w:rPr>
        <w:t>DAWR</w:t>
      </w:r>
      <w:r w:rsidR="0060218B">
        <w:rPr>
          <w:rFonts w:ascii="Times New Roman" w:eastAsia="Times New Roman" w:hAnsi="Times New Roman"/>
          <w:iCs/>
          <w:sz w:val="24"/>
          <w:szCs w:val="24"/>
        </w:rPr>
        <w:t>)</w:t>
      </w:r>
      <w:r w:rsidR="00741521" w:rsidRPr="005F1AC6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5F1AC6">
        <w:rPr>
          <w:rFonts w:ascii="Times New Roman" w:hAnsi="Times New Roman"/>
          <w:sz w:val="24"/>
          <w:szCs w:val="24"/>
        </w:rPr>
        <w:t xml:space="preserve">for </w:t>
      </w:r>
      <w:r w:rsidR="007E73AA" w:rsidRPr="00114211">
        <w:rPr>
          <w:rFonts w:ascii="Times New Roman" w:hAnsi="Times New Roman"/>
          <w:sz w:val="24"/>
          <w:szCs w:val="24"/>
        </w:rPr>
        <w:t>policy</w:t>
      </w:r>
      <w:r w:rsidR="0060218B">
        <w:rPr>
          <w:rFonts w:ascii="Times New Roman" w:hAnsi="Times New Roman"/>
          <w:sz w:val="24"/>
          <w:szCs w:val="24"/>
        </w:rPr>
        <w:t>-</w:t>
      </w:r>
      <w:r w:rsidR="007E73AA" w:rsidRPr="00114211">
        <w:rPr>
          <w:rFonts w:ascii="Times New Roman" w:hAnsi="Times New Roman"/>
          <w:sz w:val="24"/>
          <w:szCs w:val="24"/>
        </w:rPr>
        <w:t>making purposes</w:t>
      </w:r>
      <w:r w:rsidR="00741521" w:rsidRPr="003E7E3D">
        <w:rPr>
          <w:rFonts w:ascii="Times New Roman" w:hAnsi="Times New Roman"/>
          <w:sz w:val="24"/>
          <w:szCs w:val="24"/>
        </w:rPr>
        <w:t xml:space="preserve">. The information may also be used by </w:t>
      </w:r>
      <w:r w:rsidR="00881B6E">
        <w:rPr>
          <w:rFonts w:ascii="Times New Roman" w:hAnsi="Times New Roman"/>
          <w:sz w:val="24"/>
          <w:szCs w:val="24"/>
        </w:rPr>
        <w:t xml:space="preserve">the Australian Prudential </w:t>
      </w:r>
      <w:r w:rsidR="00881B6E">
        <w:rPr>
          <w:rFonts w:ascii="Times New Roman" w:hAnsi="Times New Roman"/>
          <w:sz w:val="24"/>
          <w:szCs w:val="24"/>
        </w:rPr>
        <w:lastRenderedPageBreak/>
        <w:t>Regulation Authority (</w:t>
      </w:r>
      <w:r w:rsidR="00741521" w:rsidRPr="008E2855">
        <w:rPr>
          <w:rFonts w:ascii="Times New Roman" w:hAnsi="Times New Roman"/>
          <w:sz w:val="24"/>
          <w:szCs w:val="24"/>
        </w:rPr>
        <w:t>APRA</w:t>
      </w:r>
      <w:r w:rsidR="00881B6E">
        <w:rPr>
          <w:rFonts w:ascii="Times New Roman" w:hAnsi="Times New Roman"/>
          <w:sz w:val="24"/>
          <w:szCs w:val="24"/>
        </w:rPr>
        <w:t>)</w:t>
      </w:r>
      <w:r w:rsidR="00741521" w:rsidRPr="005F1AC6">
        <w:rPr>
          <w:rFonts w:ascii="Times New Roman" w:hAnsi="Times New Roman"/>
          <w:sz w:val="24"/>
          <w:szCs w:val="24"/>
        </w:rPr>
        <w:t xml:space="preserve">, </w:t>
      </w:r>
      <w:r w:rsidR="00881B6E">
        <w:rPr>
          <w:rFonts w:ascii="Times New Roman" w:hAnsi="Times New Roman"/>
          <w:sz w:val="24"/>
          <w:szCs w:val="24"/>
        </w:rPr>
        <w:t xml:space="preserve">the Australian Bureau of </w:t>
      </w:r>
      <w:r w:rsidR="00741521" w:rsidRPr="008E2855">
        <w:rPr>
          <w:rFonts w:ascii="Times New Roman" w:hAnsi="Times New Roman"/>
          <w:sz w:val="24"/>
          <w:szCs w:val="24"/>
        </w:rPr>
        <w:t>S</w:t>
      </w:r>
      <w:r w:rsidR="00881B6E">
        <w:rPr>
          <w:rFonts w:ascii="Times New Roman" w:hAnsi="Times New Roman"/>
          <w:sz w:val="24"/>
          <w:szCs w:val="24"/>
        </w:rPr>
        <w:t>tatistics</w:t>
      </w:r>
      <w:r w:rsidR="00741521" w:rsidRPr="005F1AC6">
        <w:rPr>
          <w:rFonts w:ascii="Times New Roman" w:hAnsi="Times New Roman"/>
          <w:sz w:val="24"/>
          <w:szCs w:val="24"/>
        </w:rPr>
        <w:t xml:space="preserve"> </w:t>
      </w:r>
      <w:r w:rsidR="004568B2" w:rsidRPr="005F1AC6">
        <w:rPr>
          <w:rFonts w:ascii="Times New Roman" w:hAnsi="Times New Roman"/>
          <w:sz w:val="24"/>
          <w:szCs w:val="24"/>
        </w:rPr>
        <w:t xml:space="preserve">or </w:t>
      </w:r>
      <w:r w:rsidR="00881B6E">
        <w:rPr>
          <w:rFonts w:ascii="Times New Roman" w:hAnsi="Times New Roman"/>
          <w:sz w:val="24"/>
          <w:szCs w:val="24"/>
        </w:rPr>
        <w:t xml:space="preserve">the </w:t>
      </w:r>
      <w:r w:rsidR="00741521" w:rsidRPr="008E2855">
        <w:rPr>
          <w:rFonts w:ascii="Times New Roman" w:hAnsi="Times New Roman"/>
          <w:sz w:val="24"/>
          <w:szCs w:val="24"/>
        </w:rPr>
        <w:t>R</w:t>
      </w:r>
      <w:r w:rsidR="00881B6E">
        <w:rPr>
          <w:rFonts w:ascii="Times New Roman" w:hAnsi="Times New Roman"/>
          <w:sz w:val="24"/>
          <w:szCs w:val="24"/>
        </w:rPr>
        <w:t xml:space="preserve">eserve </w:t>
      </w:r>
      <w:r w:rsidR="00741521" w:rsidRPr="008E2855">
        <w:rPr>
          <w:rFonts w:ascii="Times New Roman" w:hAnsi="Times New Roman"/>
          <w:sz w:val="24"/>
          <w:szCs w:val="24"/>
        </w:rPr>
        <w:t>B</w:t>
      </w:r>
      <w:r w:rsidR="00881B6E">
        <w:rPr>
          <w:rFonts w:ascii="Times New Roman" w:hAnsi="Times New Roman"/>
          <w:sz w:val="24"/>
          <w:szCs w:val="24"/>
        </w:rPr>
        <w:t xml:space="preserve">ank of </w:t>
      </w:r>
      <w:r w:rsidR="00741521" w:rsidRPr="008E2855">
        <w:rPr>
          <w:rFonts w:ascii="Times New Roman" w:hAnsi="Times New Roman"/>
          <w:sz w:val="24"/>
          <w:szCs w:val="24"/>
        </w:rPr>
        <w:t>A</w:t>
      </w:r>
      <w:r w:rsidR="00881B6E">
        <w:rPr>
          <w:rFonts w:ascii="Times New Roman" w:hAnsi="Times New Roman"/>
          <w:sz w:val="24"/>
          <w:szCs w:val="24"/>
        </w:rPr>
        <w:t>ustralia</w:t>
      </w:r>
      <w:r w:rsidRPr="005F1AC6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193CC69E" w14:textId="77777777" w:rsidR="00CD3512" w:rsidRPr="00CD6287" w:rsidRDefault="00CD3512" w:rsidP="006934C5">
      <w:pPr>
        <w:keepNext/>
        <w:keepLines/>
        <w:spacing w:before="120"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14:paraId="3AC36D12" w14:textId="589655B1" w:rsidR="0060218B" w:rsidRPr="00024EB4" w:rsidRDefault="00CD3512" w:rsidP="005042AD">
      <w:pPr>
        <w:numPr>
          <w:ilvl w:val="0"/>
          <w:numId w:val="2"/>
        </w:numPr>
        <w:spacing w:before="240" w:after="240"/>
        <w:jc w:val="both"/>
        <w:rPr>
          <w:rFonts w:ascii="Arial" w:eastAsia="Times New Roman" w:hAnsi="Arial"/>
          <w:b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This R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eporting </w:t>
      </w:r>
      <w:r>
        <w:rPr>
          <w:rFonts w:ascii="Times New Roman" w:eastAsia="Times New Roman" w:hAnsi="Times New Roman"/>
          <w:iCs/>
          <w:sz w:val="24"/>
          <w:szCs w:val="24"/>
        </w:rPr>
        <w:t>S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>tandard applies to</w:t>
      </w:r>
      <w:r w:rsidR="0060218B">
        <w:rPr>
          <w:rFonts w:ascii="Times New Roman" w:eastAsia="Times New Roman" w:hAnsi="Times New Roman"/>
          <w:iCs/>
          <w:sz w:val="24"/>
          <w:szCs w:val="24"/>
        </w:rPr>
        <w:t>:</w:t>
      </w:r>
    </w:p>
    <w:p w14:paraId="46F5E245" w14:textId="112BBA8C" w:rsidR="0060218B" w:rsidRPr="00024EB4" w:rsidRDefault="00A948A6">
      <w:pPr>
        <w:pStyle w:val="ListParagraph"/>
        <w:numPr>
          <w:ilvl w:val="0"/>
          <w:numId w:val="11"/>
        </w:numPr>
        <w:spacing w:before="240" w:after="240"/>
        <w:jc w:val="both"/>
        <w:rPr>
          <w:rFonts w:ascii="Arial" w:eastAsia="Times New Roman" w:hAnsi="Arial"/>
          <w:b/>
          <w:sz w:val="24"/>
          <w:szCs w:val="24"/>
          <w:lang w:val="x-none"/>
        </w:rPr>
      </w:pPr>
      <w:r w:rsidRPr="00024EB4">
        <w:rPr>
          <w:rFonts w:ascii="Times New Roman" w:eastAsia="Times New Roman" w:hAnsi="Times New Roman"/>
          <w:sz w:val="24"/>
          <w:szCs w:val="24"/>
        </w:rPr>
        <w:t xml:space="preserve">all </w:t>
      </w:r>
      <w:r w:rsidR="00CD3512" w:rsidRPr="00024EB4">
        <w:rPr>
          <w:rFonts w:ascii="Times New Roman" w:eastAsia="Times New Roman" w:hAnsi="Times New Roman"/>
          <w:sz w:val="24"/>
          <w:szCs w:val="24"/>
        </w:rPr>
        <w:t>authorised deposit-taking institution</w:t>
      </w:r>
      <w:r w:rsidRPr="00024EB4">
        <w:rPr>
          <w:rFonts w:ascii="Times New Roman" w:eastAsia="Times New Roman" w:hAnsi="Times New Roman"/>
          <w:sz w:val="24"/>
          <w:szCs w:val="24"/>
        </w:rPr>
        <w:t>s</w:t>
      </w:r>
      <w:r w:rsidR="00CD3512" w:rsidRPr="00024EB4">
        <w:rPr>
          <w:rFonts w:ascii="Times New Roman" w:eastAsia="Times New Roman" w:hAnsi="Times New Roman"/>
          <w:sz w:val="24"/>
          <w:szCs w:val="24"/>
        </w:rPr>
        <w:t xml:space="preserve"> (ADI</w:t>
      </w:r>
      <w:r w:rsidR="00E84FE0" w:rsidRPr="00024EB4">
        <w:rPr>
          <w:rFonts w:ascii="Times New Roman" w:eastAsia="Times New Roman" w:hAnsi="Times New Roman"/>
          <w:sz w:val="24"/>
          <w:szCs w:val="24"/>
        </w:rPr>
        <w:t>s</w:t>
      </w:r>
      <w:r w:rsidR="00CD3512" w:rsidRPr="00802B01">
        <w:rPr>
          <w:rFonts w:ascii="Times New Roman" w:eastAsia="Times New Roman" w:hAnsi="Times New Roman"/>
          <w:iCs/>
          <w:sz w:val="24"/>
          <w:szCs w:val="24"/>
        </w:rPr>
        <w:t>)</w:t>
      </w:r>
      <w:r w:rsidR="006562C7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EB3632">
        <w:rPr>
          <w:rFonts w:ascii="Times New Roman" w:eastAsia="Times New Roman" w:hAnsi="Times New Roman"/>
          <w:iCs/>
          <w:sz w:val="24"/>
          <w:szCs w:val="24"/>
        </w:rPr>
        <w:t>other than p</w:t>
      </w:r>
      <w:r w:rsidR="006562C7">
        <w:rPr>
          <w:rFonts w:ascii="Times New Roman" w:eastAsia="Times New Roman" w:hAnsi="Times New Roman"/>
          <w:iCs/>
          <w:sz w:val="24"/>
          <w:szCs w:val="24"/>
        </w:rPr>
        <w:t xml:space="preserve">urchased </w:t>
      </w:r>
      <w:r w:rsidR="00EB3632">
        <w:rPr>
          <w:rFonts w:ascii="Times New Roman" w:eastAsia="Times New Roman" w:hAnsi="Times New Roman"/>
          <w:iCs/>
          <w:sz w:val="24"/>
          <w:szCs w:val="24"/>
        </w:rPr>
        <w:t>p</w:t>
      </w:r>
      <w:r w:rsidR="006562C7">
        <w:rPr>
          <w:rFonts w:ascii="Times New Roman" w:eastAsia="Times New Roman" w:hAnsi="Times New Roman"/>
          <w:iCs/>
          <w:sz w:val="24"/>
          <w:szCs w:val="24"/>
        </w:rPr>
        <w:t xml:space="preserve">ayment </w:t>
      </w:r>
      <w:r w:rsidR="00EB3632">
        <w:rPr>
          <w:rFonts w:ascii="Times New Roman" w:eastAsia="Times New Roman" w:hAnsi="Times New Roman"/>
          <w:iCs/>
          <w:sz w:val="24"/>
          <w:szCs w:val="24"/>
        </w:rPr>
        <w:t>f</w:t>
      </w:r>
      <w:r w:rsidR="006562C7">
        <w:rPr>
          <w:rFonts w:ascii="Times New Roman" w:eastAsia="Times New Roman" w:hAnsi="Times New Roman"/>
          <w:iCs/>
          <w:sz w:val="24"/>
          <w:szCs w:val="24"/>
        </w:rPr>
        <w:t>acilit</w:t>
      </w:r>
      <w:r w:rsidR="00EB3632">
        <w:rPr>
          <w:rFonts w:ascii="Times New Roman" w:eastAsia="Times New Roman" w:hAnsi="Times New Roman"/>
          <w:iCs/>
          <w:sz w:val="24"/>
          <w:szCs w:val="24"/>
        </w:rPr>
        <w:t xml:space="preserve">y providers </w:t>
      </w:r>
      <w:r w:rsidR="006562C7">
        <w:rPr>
          <w:rFonts w:ascii="Times New Roman" w:eastAsia="Times New Roman" w:hAnsi="Times New Roman"/>
          <w:iCs/>
          <w:sz w:val="24"/>
          <w:szCs w:val="24"/>
        </w:rPr>
        <w:t>(PPF</w:t>
      </w:r>
      <w:r w:rsidR="00EB3632">
        <w:rPr>
          <w:rFonts w:ascii="Times New Roman" w:eastAsia="Times New Roman" w:hAnsi="Times New Roman"/>
          <w:iCs/>
          <w:sz w:val="24"/>
          <w:szCs w:val="24"/>
        </w:rPr>
        <w:t xml:space="preserve"> providers</w:t>
      </w:r>
      <w:r w:rsidR="006562C7">
        <w:rPr>
          <w:rFonts w:ascii="Times New Roman" w:eastAsia="Times New Roman" w:hAnsi="Times New Roman"/>
          <w:iCs/>
          <w:sz w:val="24"/>
          <w:szCs w:val="24"/>
        </w:rPr>
        <w:t>)</w:t>
      </w:r>
      <w:r w:rsidR="0060218B">
        <w:rPr>
          <w:rFonts w:ascii="Times New Roman" w:eastAsia="Times New Roman" w:hAnsi="Times New Roman"/>
          <w:iCs/>
          <w:sz w:val="24"/>
          <w:szCs w:val="24"/>
        </w:rPr>
        <w:t>;</w:t>
      </w:r>
      <w:r w:rsidR="00354B9F"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539F37AB" w14:textId="6B02879C" w:rsidR="0060218B" w:rsidRDefault="009134E3">
      <w:pPr>
        <w:pStyle w:val="ListParagraph"/>
        <w:numPr>
          <w:ilvl w:val="0"/>
          <w:numId w:val="11"/>
        </w:numPr>
        <w:spacing w:before="240" w:after="240"/>
        <w:jc w:val="both"/>
      </w:pPr>
      <w:proofErr w:type="gramStart"/>
      <w:r w:rsidRPr="00280EC4">
        <w:rPr>
          <w:rFonts w:ascii="Times New Roman" w:eastAsia="Times New Roman" w:hAnsi="Times New Roman"/>
          <w:sz w:val="24"/>
          <w:szCs w:val="24"/>
        </w:rPr>
        <w:t>a</w:t>
      </w:r>
      <w:proofErr w:type="gramEnd"/>
      <w:r w:rsidR="00450A8F" w:rsidRPr="00280EC4">
        <w:rPr>
          <w:rFonts w:ascii="Times New Roman" w:eastAsia="Times New Roman" w:hAnsi="Times New Roman"/>
          <w:sz w:val="24"/>
          <w:szCs w:val="24"/>
        </w:rPr>
        <w:t xml:space="preserve"> </w:t>
      </w:r>
      <w:r w:rsidR="00D92CE1" w:rsidRPr="00280EC4">
        <w:rPr>
          <w:rFonts w:ascii="Times New Roman" w:eastAsia="Times New Roman" w:hAnsi="Times New Roman"/>
          <w:sz w:val="24"/>
          <w:szCs w:val="24"/>
        </w:rPr>
        <w:t xml:space="preserve">registered financial corporation </w:t>
      </w:r>
      <w:r w:rsidR="00450A8F" w:rsidRPr="00280EC4">
        <w:rPr>
          <w:rFonts w:ascii="Times New Roman" w:eastAsia="Times New Roman" w:hAnsi="Times New Roman"/>
          <w:sz w:val="24"/>
          <w:szCs w:val="24"/>
        </w:rPr>
        <w:t>(RFC)</w:t>
      </w:r>
      <w:r w:rsidR="00CD3512" w:rsidRPr="0060218B">
        <w:rPr>
          <w:rFonts w:ascii="Times New Roman" w:eastAsia="Times New Roman" w:hAnsi="Times New Roman"/>
          <w:sz w:val="24"/>
          <w:szCs w:val="24"/>
        </w:rPr>
        <w:t xml:space="preserve"> </w:t>
      </w:r>
      <w:r w:rsidR="00E84FE0" w:rsidRPr="0060218B">
        <w:rPr>
          <w:rFonts w:ascii="Times New Roman" w:eastAsia="Times New Roman" w:hAnsi="Times New Roman"/>
          <w:sz w:val="24"/>
          <w:szCs w:val="24"/>
        </w:rPr>
        <w:t xml:space="preserve">that </w:t>
      </w:r>
      <w:r w:rsidR="00623BF8" w:rsidRPr="0060218B">
        <w:rPr>
          <w:rFonts w:ascii="Times New Roman" w:eastAsia="Times New Roman" w:hAnsi="Times New Roman"/>
          <w:sz w:val="24"/>
          <w:szCs w:val="24"/>
        </w:rPr>
        <w:t>meets the requirements of</w:t>
      </w:r>
      <w:r w:rsidRPr="0060218B">
        <w:rPr>
          <w:rFonts w:ascii="Times New Roman" w:eastAsia="Times New Roman" w:hAnsi="Times New Roman"/>
          <w:sz w:val="24"/>
          <w:szCs w:val="24"/>
        </w:rPr>
        <w:t xml:space="preserve"> paragraph</w:t>
      </w:r>
      <w:r w:rsidR="006B1F2E" w:rsidRPr="0060218B">
        <w:rPr>
          <w:rFonts w:ascii="Times New Roman" w:eastAsia="Times New Roman" w:hAnsi="Times New Roman"/>
          <w:sz w:val="24"/>
          <w:szCs w:val="24"/>
        </w:rPr>
        <w:t xml:space="preserve"> </w:t>
      </w:r>
      <w:r w:rsidR="003527E3">
        <w:rPr>
          <w:rFonts w:ascii="Times New Roman" w:eastAsia="Times New Roman" w:hAnsi="Times New Roman"/>
          <w:sz w:val="24"/>
          <w:szCs w:val="24"/>
        </w:rPr>
        <w:t>6</w:t>
      </w:r>
      <w:r w:rsidR="00354B9F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47511020" w14:textId="1E27824D" w:rsidR="00CD3512" w:rsidRPr="00024EB4" w:rsidRDefault="00CD3512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sz w:val="24"/>
          <w:szCs w:val="24"/>
        </w:rPr>
      </w:pPr>
      <w:r w:rsidRPr="00024EB4">
        <w:rPr>
          <w:rFonts w:ascii="Times New Roman" w:eastAsia="Times New Roman" w:hAnsi="Times New Roman"/>
          <w:sz w:val="24"/>
          <w:szCs w:val="24"/>
        </w:rPr>
        <w:t xml:space="preserve">This Reporting Standard applies for reporting periods ending on or after </w:t>
      </w:r>
      <w:r w:rsidR="00D92CE1" w:rsidRPr="00024EB4">
        <w:rPr>
          <w:rFonts w:ascii="Times New Roman" w:eastAsia="Times New Roman" w:hAnsi="Times New Roman"/>
          <w:sz w:val="24"/>
          <w:szCs w:val="24"/>
        </w:rPr>
        <w:t>3</w:t>
      </w:r>
      <w:r w:rsidR="00741521" w:rsidRPr="00024EB4">
        <w:rPr>
          <w:rFonts w:ascii="Times New Roman" w:eastAsia="Times New Roman" w:hAnsi="Times New Roman"/>
          <w:sz w:val="24"/>
          <w:szCs w:val="24"/>
        </w:rPr>
        <w:t>0 June 2017</w:t>
      </w:r>
      <w:r w:rsidR="00AE1EBD" w:rsidRPr="00024EB4">
        <w:rPr>
          <w:rFonts w:ascii="Times New Roman" w:eastAsia="Times New Roman" w:hAnsi="Times New Roman"/>
          <w:sz w:val="24"/>
          <w:szCs w:val="24"/>
        </w:rPr>
        <w:t xml:space="preserve">.  </w:t>
      </w:r>
    </w:p>
    <w:p w14:paraId="7667DDA6" w14:textId="77777777" w:rsidR="0060218B" w:rsidRDefault="0060218B" w:rsidP="006934C5">
      <w:pPr>
        <w:spacing w:before="240"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</w:p>
    <w:p w14:paraId="0BE46535" w14:textId="77777777" w:rsidR="00CD3512" w:rsidRPr="00CD6287" w:rsidRDefault="00CD3512" w:rsidP="006934C5">
      <w:pPr>
        <w:spacing w:before="240"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Information required</w:t>
      </w:r>
    </w:p>
    <w:p w14:paraId="2EA65935" w14:textId="6D56D416" w:rsidR="002B780E" w:rsidRDefault="002B780E" w:rsidP="0013255A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bookmarkStart w:id="5" w:name="_Ref188416914"/>
      <w:r w:rsidRPr="0013255A">
        <w:rPr>
          <w:rFonts w:ascii="Times New Roman" w:eastAsia="Times New Roman" w:hAnsi="Times New Roman"/>
          <w:iCs/>
          <w:sz w:val="24"/>
          <w:szCs w:val="24"/>
        </w:rPr>
        <w:t>An ADI</w:t>
      </w:r>
      <w:r w:rsidR="006F6E67">
        <w:rPr>
          <w:rFonts w:ascii="Times New Roman" w:eastAsia="Times New Roman" w:hAnsi="Times New Roman"/>
          <w:iCs/>
          <w:sz w:val="24"/>
          <w:szCs w:val="24"/>
        </w:rPr>
        <w:t xml:space="preserve"> or RFC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 must provide APRA with the information required by ARF </w:t>
      </w:r>
      <w:r>
        <w:rPr>
          <w:rFonts w:ascii="Times New Roman" w:eastAsia="Times New Roman" w:hAnsi="Times New Roman"/>
          <w:iCs/>
          <w:sz w:val="24"/>
          <w:szCs w:val="24"/>
        </w:rPr>
        <w:t>750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.0 </w:t>
      </w:r>
      <w:r w:rsidR="00931231" w:rsidRPr="00931231">
        <w:rPr>
          <w:rFonts w:ascii="Times New Roman" w:eastAsia="Times New Roman" w:hAnsi="Times New Roman"/>
          <w:iCs/>
          <w:sz w:val="24"/>
          <w:szCs w:val="24"/>
        </w:rPr>
        <w:t xml:space="preserve">on a </w:t>
      </w:r>
      <w:r w:rsidR="00EF0AC3" w:rsidRPr="008E2855">
        <w:rPr>
          <w:rFonts w:ascii="Times New Roman" w:eastAsia="Times New Roman" w:hAnsi="Times New Roman"/>
          <w:iCs/>
          <w:sz w:val="24"/>
          <w:szCs w:val="24"/>
        </w:rPr>
        <w:t>domestic books</w:t>
      </w:r>
      <w:r w:rsidR="00931231" w:rsidRPr="00931231">
        <w:rPr>
          <w:rFonts w:ascii="Times New Roman" w:eastAsia="Times New Roman" w:hAnsi="Times New Roman"/>
          <w:iCs/>
          <w:sz w:val="24"/>
          <w:szCs w:val="24"/>
        </w:rPr>
        <w:t xml:space="preserve"> basis for each </w:t>
      </w:r>
      <w:r w:rsidR="00931231" w:rsidRPr="008E2855">
        <w:rPr>
          <w:rFonts w:ascii="Times New Roman" w:eastAsia="Times New Roman" w:hAnsi="Times New Roman"/>
          <w:iCs/>
          <w:sz w:val="24"/>
          <w:szCs w:val="24"/>
        </w:rPr>
        <w:t>reporting period</w:t>
      </w:r>
      <w:r w:rsidR="00EF0AC3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6223B48A" w14:textId="5B196DD2" w:rsidR="009134E3" w:rsidRPr="0013255A" w:rsidRDefault="009134E3" w:rsidP="0013255A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Subject to paragraph </w:t>
      </w:r>
      <w:r w:rsidR="003527E3">
        <w:rPr>
          <w:rFonts w:ascii="Times New Roman" w:eastAsia="Times New Roman" w:hAnsi="Times New Roman"/>
          <w:iCs/>
          <w:sz w:val="24"/>
          <w:szCs w:val="24"/>
        </w:rPr>
        <w:t>7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>, a</w:t>
      </w:r>
      <w:r w:rsidR="007D25F9">
        <w:rPr>
          <w:rFonts w:ascii="Times New Roman" w:eastAsia="Times New Roman" w:hAnsi="Times New Roman"/>
          <w:iCs/>
          <w:sz w:val="24"/>
          <w:szCs w:val="24"/>
        </w:rPr>
        <w:t>n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7D25F9" w:rsidRPr="008E2855">
        <w:rPr>
          <w:rFonts w:ascii="Times New Roman" w:eastAsia="Times New Roman" w:hAnsi="Times New Roman"/>
          <w:iCs/>
          <w:sz w:val="24"/>
          <w:szCs w:val="24"/>
        </w:rPr>
        <w:t>RFC</w:t>
      </w:r>
      <w:r w:rsidR="007D25F9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must provide APRA with the information required by </w:t>
      </w:r>
      <w:r w:rsidR="00AB52FC">
        <w:rPr>
          <w:rFonts w:ascii="Times New Roman" w:eastAsia="Times New Roman" w:hAnsi="Times New Roman"/>
          <w:iCs/>
          <w:sz w:val="24"/>
          <w:szCs w:val="24"/>
        </w:rPr>
        <w:t>ARF 750.0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 in respect of a </w:t>
      </w:r>
      <w:r w:rsidRPr="008E2855">
        <w:rPr>
          <w:rFonts w:ascii="Times New Roman" w:eastAsia="Times New Roman" w:hAnsi="Times New Roman"/>
          <w:iCs/>
          <w:sz w:val="24"/>
          <w:szCs w:val="24"/>
        </w:rPr>
        <w:t>reporting period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 if, at the end of the most recent complete financial year for </w:t>
      </w:r>
      <w:r w:rsidRPr="005F1AC6"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="00623BF8">
        <w:rPr>
          <w:rFonts w:ascii="Times New Roman" w:eastAsia="Times New Roman" w:hAnsi="Times New Roman"/>
          <w:iCs/>
          <w:sz w:val="24"/>
          <w:szCs w:val="24"/>
        </w:rPr>
        <w:t>RFC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>, it:</w:t>
      </w:r>
      <w:bookmarkEnd w:id="5"/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 </w:t>
      </w:r>
    </w:p>
    <w:p w14:paraId="0ED20394" w14:textId="477E0C7E" w:rsidR="009134E3" w:rsidRPr="0013255A" w:rsidRDefault="009134E3" w:rsidP="00C94AAE">
      <w:pPr>
        <w:numPr>
          <w:ilvl w:val="1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13255A">
        <w:rPr>
          <w:rFonts w:ascii="Times New Roman" w:eastAsia="Times New Roman" w:hAnsi="Times New Roman"/>
          <w:iCs/>
          <w:sz w:val="24"/>
          <w:szCs w:val="24"/>
        </w:rPr>
        <w:t>had total assets of $50 million or more;</w:t>
      </w:r>
      <w:bookmarkStart w:id="6" w:name="_ftnref3"/>
      <w:r w:rsidR="0004122A">
        <w:rPr>
          <w:rStyle w:val="FootnoteReference"/>
          <w:rFonts w:ascii="Times New Roman" w:eastAsia="Times New Roman" w:hAnsi="Times New Roman"/>
          <w:iCs/>
          <w:sz w:val="24"/>
          <w:szCs w:val="24"/>
        </w:rPr>
        <w:footnoteReference w:id="2"/>
      </w:r>
      <w:bookmarkEnd w:id="6"/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 or</w:t>
      </w:r>
    </w:p>
    <w:p w14:paraId="2B302538" w14:textId="432455ED" w:rsidR="009134E3" w:rsidRPr="0013255A" w:rsidRDefault="009134E3" w:rsidP="00C94AAE">
      <w:pPr>
        <w:numPr>
          <w:ilvl w:val="1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bookmarkStart w:id="7" w:name="_Ref188417278"/>
      <w:proofErr w:type="gramStart"/>
      <w:r w:rsidRPr="0013255A">
        <w:rPr>
          <w:rFonts w:ascii="Times New Roman" w:eastAsia="Times New Roman" w:hAnsi="Times New Roman"/>
          <w:iCs/>
          <w:sz w:val="24"/>
          <w:szCs w:val="24"/>
        </w:rPr>
        <w:t>was</w:t>
      </w:r>
      <w:proofErr w:type="gramEnd"/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 one of a number of </w:t>
      </w:r>
      <w:r w:rsidR="00623BF8">
        <w:rPr>
          <w:rFonts w:ascii="Times New Roman" w:eastAsia="Times New Roman" w:hAnsi="Times New Roman"/>
          <w:iCs/>
          <w:sz w:val="24"/>
          <w:szCs w:val="24"/>
        </w:rPr>
        <w:t>RFCs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 that, during the </w:t>
      </w:r>
      <w:r w:rsidRPr="008E2855">
        <w:rPr>
          <w:rFonts w:ascii="Times New Roman" w:eastAsia="Times New Roman" w:hAnsi="Times New Roman"/>
          <w:iCs/>
          <w:sz w:val="24"/>
          <w:szCs w:val="24"/>
        </w:rPr>
        <w:t>reporting period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>, were</w:t>
      </w:r>
      <w:bookmarkEnd w:id="7"/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8E2855">
        <w:rPr>
          <w:rFonts w:ascii="Times New Roman" w:eastAsia="Times New Roman" w:hAnsi="Times New Roman"/>
          <w:iCs/>
          <w:sz w:val="24"/>
          <w:szCs w:val="24"/>
        </w:rPr>
        <w:t>related bodies corporate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 of each other</w:t>
      </w:r>
      <w:r w:rsidR="00BA3B6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and had combined total assets of $50 million or more. </w:t>
      </w:r>
    </w:p>
    <w:p w14:paraId="24F2D438" w14:textId="385A2762" w:rsidR="009134E3" w:rsidRPr="00BA3B6F" w:rsidRDefault="009134E3" w:rsidP="00BA3B6F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bookmarkStart w:id="8" w:name="_Ref188416894"/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However, </w:t>
      </w:r>
      <w:r w:rsidR="0082655B">
        <w:rPr>
          <w:rFonts w:ascii="Times New Roman" w:eastAsia="Times New Roman" w:hAnsi="Times New Roman"/>
          <w:iCs/>
          <w:sz w:val="24"/>
          <w:szCs w:val="24"/>
        </w:rPr>
        <w:t>an RFC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 is not required to report in respect of a particular </w:t>
      </w:r>
      <w:r w:rsidRPr="008E2855">
        <w:rPr>
          <w:rFonts w:ascii="Times New Roman" w:eastAsia="Times New Roman" w:hAnsi="Times New Roman"/>
          <w:iCs/>
          <w:sz w:val="24"/>
          <w:szCs w:val="24"/>
        </w:rPr>
        <w:t>reporting period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 if another </w:t>
      </w:r>
      <w:r w:rsidR="00623BF8">
        <w:rPr>
          <w:rFonts w:ascii="Times New Roman" w:eastAsia="Times New Roman" w:hAnsi="Times New Roman"/>
          <w:iCs/>
          <w:sz w:val="24"/>
          <w:szCs w:val="24"/>
        </w:rPr>
        <w:t>RFC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 has reported under this </w:t>
      </w:r>
      <w:r w:rsidR="0082655B">
        <w:rPr>
          <w:rFonts w:ascii="Times New Roman" w:eastAsia="Times New Roman" w:hAnsi="Times New Roman"/>
          <w:iCs/>
          <w:sz w:val="24"/>
          <w:szCs w:val="24"/>
        </w:rPr>
        <w:t>R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eporting </w:t>
      </w:r>
      <w:r w:rsidR="0082655B">
        <w:rPr>
          <w:rFonts w:ascii="Times New Roman" w:eastAsia="Times New Roman" w:hAnsi="Times New Roman"/>
          <w:iCs/>
          <w:sz w:val="24"/>
          <w:szCs w:val="24"/>
        </w:rPr>
        <w:t>S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 xml:space="preserve">tandard in respect of that </w:t>
      </w:r>
      <w:r w:rsidRPr="008E2855">
        <w:rPr>
          <w:rFonts w:ascii="Times New Roman" w:eastAsia="Times New Roman" w:hAnsi="Times New Roman"/>
          <w:iCs/>
          <w:sz w:val="24"/>
          <w:szCs w:val="24"/>
        </w:rPr>
        <w:t>reporting period</w:t>
      </w:r>
      <w:r w:rsidRPr="0013255A">
        <w:rPr>
          <w:rFonts w:ascii="Times New Roman" w:eastAsia="Times New Roman" w:hAnsi="Times New Roman"/>
          <w:iCs/>
          <w:sz w:val="24"/>
          <w:szCs w:val="24"/>
        </w:rPr>
        <w:t>, and that other entity is</w:t>
      </w:r>
      <w:bookmarkEnd w:id="8"/>
      <w:r w:rsidRPr="00BA3B6F">
        <w:rPr>
          <w:rFonts w:ascii="Times New Roman" w:eastAsia="Times New Roman" w:hAnsi="Times New Roman"/>
          <w:iCs/>
          <w:sz w:val="24"/>
          <w:szCs w:val="24"/>
        </w:rPr>
        <w:t xml:space="preserve"> a </w:t>
      </w:r>
      <w:r w:rsidRPr="00024EB4">
        <w:rPr>
          <w:rFonts w:ascii="Times New Roman" w:eastAsia="Times New Roman" w:hAnsi="Times New Roman"/>
          <w:sz w:val="24"/>
          <w:szCs w:val="24"/>
        </w:rPr>
        <w:t>related body corporate</w:t>
      </w:r>
      <w:r w:rsidRPr="00BA3B6F">
        <w:rPr>
          <w:rFonts w:ascii="Times New Roman" w:eastAsia="Times New Roman" w:hAnsi="Times New Roman"/>
          <w:iCs/>
          <w:sz w:val="24"/>
          <w:szCs w:val="24"/>
        </w:rPr>
        <w:t xml:space="preserve"> of the first-mentioned </w:t>
      </w:r>
      <w:r w:rsidR="00623BF8">
        <w:rPr>
          <w:rFonts w:ascii="Times New Roman" w:eastAsia="Times New Roman" w:hAnsi="Times New Roman"/>
          <w:iCs/>
          <w:sz w:val="24"/>
          <w:szCs w:val="24"/>
        </w:rPr>
        <w:t>RFC</w:t>
      </w:r>
      <w:r w:rsidR="00BA3B6F" w:rsidRPr="00BA3B6F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5406E008" w14:textId="77777777" w:rsidR="00CD3512" w:rsidRPr="00CD6287" w:rsidRDefault="00CD3512" w:rsidP="006934C5">
      <w:pPr>
        <w:keepNext/>
        <w:keepLines/>
        <w:spacing w:before="120"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lastRenderedPageBreak/>
        <w:t>Method</w:t>
      </w: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14:paraId="26CD82ED" w14:textId="2149FB99" w:rsidR="00CD3512" w:rsidRDefault="00CD3512" w:rsidP="005042AD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form using the ‘Direct to </w:t>
      </w:r>
      <w:r w:rsidRPr="00C432A1">
        <w:rPr>
          <w:rFonts w:ascii="Times New Roman" w:eastAsia="Times New Roman" w:hAnsi="Times New Roman"/>
          <w:iCs/>
          <w:sz w:val="24"/>
          <w:szCs w:val="24"/>
          <w:lang w:val="x-none"/>
        </w:rPr>
        <w:t>APRA</w:t>
      </w:r>
      <w:r w:rsidRPr="00D92CE1">
        <w:rPr>
          <w:rFonts w:ascii="Times New Roman" w:eastAsia="Times New Roman" w:hAnsi="Times New Roman"/>
          <w:iCs/>
          <w:sz w:val="24"/>
          <w:szCs w:val="24"/>
          <w:lang w:val="x-none"/>
        </w:rPr>
        <w:t>’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(also known as ‘D2A’) application</w:t>
      </w:r>
      <w:r w:rsidR="00F15145">
        <w:rPr>
          <w:rFonts w:ascii="Times New Roman" w:eastAsia="Times New Roman" w:hAnsi="Times New Roman"/>
          <w:iCs/>
          <w:sz w:val="24"/>
          <w:szCs w:val="24"/>
        </w:rPr>
        <w:t xml:space="preserve"> or</w:t>
      </w:r>
      <w:r w:rsidR="00EB3632">
        <w:rPr>
          <w:rFonts w:ascii="Times New Roman" w:eastAsia="Times New Roman" w:hAnsi="Times New Roman"/>
          <w:iCs/>
          <w:sz w:val="24"/>
          <w:szCs w:val="24"/>
        </w:rPr>
        <w:t>, where ‘Direct to APRA’ is not available,</w:t>
      </w:r>
      <w:r w:rsidR="00F15145">
        <w:rPr>
          <w:rFonts w:ascii="Times New Roman" w:eastAsia="Times New Roman" w:hAnsi="Times New Roman"/>
          <w:iCs/>
          <w:sz w:val="24"/>
          <w:szCs w:val="24"/>
        </w:rPr>
        <w:t xml:space="preserve"> by a method notified by </w:t>
      </w:r>
      <w:r w:rsidR="00F15145" w:rsidRPr="008E2855">
        <w:rPr>
          <w:rFonts w:ascii="Times New Roman" w:eastAsia="Times New Roman" w:hAnsi="Times New Roman"/>
          <w:iCs/>
          <w:sz w:val="24"/>
          <w:szCs w:val="24"/>
        </w:rPr>
        <w:t>APRA</w:t>
      </w:r>
      <w:r w:rsidR="00EB3632">
        <w:rPr>
          <w:rFonts w:ascii="Times New Roman" w:eastAsia="Times New Roman" w:hAnsi="Times New Roman"/>
          <w:iCs/>
          <w:sz w:val="24"/>
          <w:szCs w:val="24"/>
        </w:rPr>
        <w:t>,</w:t>
      </w:r>
      <w:r w:rsidR="00F15145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 w:rsidR="00F15145">
        <w:rPr>
          <w:rFonts w:ascii="Times New Roman" w:eastAsia="Times New Roman" w:hAnsi="Times New Roman"/>
          <w:iCs/>
          <w:sz w:val="24"/>
          <w:szCs w:val="24"/>
        </w:rPr>
        <w:t>in writing</w:t>
      </w:r>
      <w:r w:rsidR="00EB3632">
        <w:rPr>
          <w:rFonts w:ascii="Times New Roman" w:eastAsia="Times New Roman" w:hAnsi="Times New Roman"/>
          <w:iCs/>
          <w:sz w:val="24"/>
          <w:szCs w:val="24"/>
        </w:rPr>
        <w:t>,</w:t>
      </w:r>
      <w:r w:rsidR="00F15145">
        <w:rPr>
          <w:rFonts w:ascii="Times New Roman" w:eastAsia="Times New Roman" w:hAnsi="Times New Roman"/>
          <w:iCs/>
          <w:sz w:val="24"/>
          <w:szCs w:val="24"/>
        </w:rPr>
        <w:t xml:space="preserve"> prior to submission.  </w:t>
      </w:r>
    </w:p>
    <w:p w14:paraId="352486C7" w14:textId="77777777" w:rsidR="00CD3512" w:rsidRPr="00DC4E62" w:rsidRDefault="00CD3512" w:rsidP="006934C5">
      <w:pPr>
        <w:pStyle w:val="IntroTo"/>
        <w:spacing w:after="240"/>
        <w:ind w:left="567" w:firstLine="0"/>
        <w:jc w:val="both"/>
        <w:rPr>
          <w:sz w:val="20"/>
        </w:rPr>
      </w:pPr>
      <w:r w:rsidRPr="008D6B62">
        <w:rPr>
          <w:i/>
          <w:sz w:val="20"/>
        </w:rPr>
        <w:t>Note</w:t>
      </w:r>
      <w:r w:rsidRPr="007B3049">
        <w:rPr>
          <w:sz w:val="20"/>
        </w:rPr>
        <w:t xml:space="preserve">: the </w:t>
      </w:r>
      <w:r>
        <w:rPr>
          <w:sz w:val="20"/>
        </w:rPr>
        <w:t>‘</w:t>
      </w:r>
      <w:r w:rsidRPr="007B3049">
        <w:rPr>
          <w:sz w:val="20"/>
        </w:rPr>
        <w:t xml:space="preserve">Direct to </w:t>
      </w:r>
      <w:r w:rsidRPr="00C432A1">
        <w:rPr>
          <w:sz w:val="20"/>
        </w:rPr>
        <w:t>APRA</w:t>
      </w:r>
      <w:r w:rsidRPr="00D92CE1">
        <w:rPr>
          <w:sz w:val="20"/>
        </w:rPr>
        <w:t>’</w:t>
      </w:r>
      <w:r w:rsidRPr="007B3049">
        <w:rPr>
          <w:sz w:val="20"/>
        </w:rPr>
        <w:t xml:space="preserve"> application software</w:t>
      </w:r>
      <w:r>
        <w:rPr>
          <w:sz w:val="20"/>
        </w:rPr>
        <w:t xml:space="preserve"> </w:t>
      </w:r>
      <w:r w:rsidRPr="007B3049">
        <w:rPr>
          <w:sz w:val="20"/>
        </w:rPr>
        <w:t xml:space="preserve">may be obtained from </w:t>
      </w:r>
      <w:r w:rsidRPr="00E82369">
        <w:rPr>
          <w:sz w:val="20"/>
        </w:rPr>
        <w:t>APRA</w:t>
      </w:r>
      <w:r w:rsidRPr="007B3049">
        <w:rPr>
          <w:sz w:val="20"/>
        </w:rPr>
        <w:t>.</w:t>
      </w:r>
      <w:r>
        <w:rPr>
          <w:sz w:val="20"/>
        </w:rPr>
        <w:t xml:space="preserve"> </w:t>
      </w:r>
    </w:p>
    <w:p w14:paraId="55536179" w14:textId="77777777" w:rsidR="00CD3512" w:rsidRPr="00135A22" w:rsidRDefault="00CD3512" w:rsidP="006934C5">
      <w:pPr>
        <w:keepNext/>
        <w:keepLines/>
        <w:spacing w:before="120"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14:paraId="7ACF4F59" w14:textId="726CD697" w:rsidR="00F15145" w:rsidRPr="00684879" w:rsidRDefault="00F15145" w:rsidP="005042AD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9" w:name="_Ref188416538"/>
      <w:bookmarkStart w:id="10" w:name="_Ref391456739"/>
      <w:bookmarkStart w:id="11" w:name="_Ref349587044"/>
      <w:bookmarkStart w:id="12" w:name="_Ref351559533"/>
      <w:r>
        <w:rPr>
          <w:rFonts w:ascii="Times New Roman" w:eastAsia="Times New Roman" w:hAnsi="Times New Roman"/>
          <w:iCs/>
          <w:sz w:val="24"/>
          <w:szCs w:val="24"/>
        </w:rPr>
        <w:t>The information required by this Reporting Standard must be provided</w:t>
      </w:r>
      <w:r w:rsidR="00737C5C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340E15">
        <w:rPr>
          <w:rFonts w:ascii="Times New Roman" w:eastAsia="Times New Roman" w:hAnsi="Times New Roman"/>
          <w:iCs/>
          <w:sz w:val="24"/>
          <w:szCs w:val="24"/>
        </w:rPr>
        <w:t xml:space="preserve">to </w:t>
      </w:r>
      <w:r w:rsidR="00340E15" w:rsidRPr="008E2855">
        <w:rPr>
          <w:rFonts w:ascii="Times New Roman" w:eastAsia="Times New Roman" w:hAnsi="Times New Roman"/>
          <w:iCs/>
          <w:sz w:val="24"/>
          <w:szCs w:val="24"/>
        </w:rPr>
        <w:t>APRA</w:t>
      </w:r>
      <w:r w:rsidR="00741521">
        <w:rPr>
          <w:rFonts w:ascii="Times New Roman" w:eastAsia="Times New Roman" w:hAnsi="Times New Roman"/>
          <w:iCs/>
          <w:sz w:val="24"/>
          <w:szCs w:val="24"/>
        </w:rPr>
        <w:t xml:space="preserve"> in respect of each year ending</w:t>
      </w:r>
      <w:r w:rsidR="00EB3632">
        <w:rPr>
          <w:rFonts w:ascii="Times New Roman" w:eastAsia="Times New Roman" w:hAnsi="Times New Roman"/>
          <w:iCs/>
          <w:sz w:val="24"/>
          <w:szCs w:val="24"/>
        </w:rPr>
        <w:t xml:space="preserve"> on</w:t>
      </w:r>
      <w:r w:rsidR="00741521">
        <w:rPr>
          <w:rFonts w:ascii="Times New Roman" w:eastAsia="Times New Roman" w:hAnsi="Times New Roman"/>
          <w:iCs/>
          <w:sz w:val="24"/>
          <w:szCs w:val="24"/>
        </w:rPr>
        <w:t xml:space="preserve"> 30 June.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</w:p>
    <w:p w14:paraId="65B18432" w14:textId="640133FF" w:rsidR="005D63D0" w:rsidRPr="005D63D0" w:rsidRDefault="00CD3512" w:rsidP="005042AD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13" w:name="_Ref489009245"/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>The information required by this Reporting Standard</w:t>
      </w:r>
      <w:r w:rsidR="00967FB6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967FB6"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must be provided to </w:t>
      </w:r>
      <w:r w:rsidR="00967FB6"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APRA</w:t>
      </w:r>
      <w:r w:rsidR="005D63D0">
        <w:rPr>
          <w:rFonts w:ascii="Times New Roman" w:eastAsia="Times New Roman" w:hAnsi="Times New Roman"/>
          <w:iCs/>
          <w:sz w:val="24"/>
          <w:szCs w:val="24"/>
        </w:rPr>
        <w:t>:</w:t>
      </w:r>
      <w:bookmarkEnd w:id="13"/>
    </w:p>
    <w:p w14:paraId="38BCE9D5" w14:textId="2AFC402E" w:rsidR="005D63D0" w:rsidRPr="005D63D0" w:rsidRDefault="005D63D0" w:rsidP="005D63D0">
      <w:pPr>
        <w:numPr>
          <w:ilvl w:val="1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for the reporting period ending </w:t>
      </w:r>
      <w:r w:rsidR="004F5BE3">
        <w:rPr>
          <w:rFonts w:ascii="Times New Roman" w:eastAsia="Times New Roman" w:hAnsi="Times New Roman"/>
          <w:iCs/>
          <w:sz w:val="24"/>
          <w:szCs w:val="24"/>
        </w:rPr>
        <w:t xml:space="preserve">on </w:t>
      </w:r>
      <w:r>
        <w:rPr>
          <w:rFonts w:ascii="Times New Roman" w:eastAsia="Times New Roman" w:hAnsi="Times New Roman"/>
          <w:iCs/>
          <w:sz w:val="24"/>
          <w:szCs w:val="24"/>
        </w:rPr>
        <w:t>30 June 2017, by 30 November 2017; and</w:t>
      </w:r>
    </w:p>
    <w:p w14:paraId="7E23F4DA" w14:textId="76C0A24E" w:rsidR="007E73AA" w:rsidRPr="007E73AA" w:rsidRDefault="005D63D0" w:rsidP="005D63D0">
      <w:pPr>
        <w:numPr>
          <w:ilvl w:val="1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proofErr w:type="gramStart"/>
      <w:r>
        <w:rPr>
          <w:rFonts w:ascii="Times New Roman" w:eastAsia="Times New Roman" w:hAnsi="Times New Roman"/>
          <w:iCs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/>
          <w:iCs/>
          <w:sz w:val="24"/>
          <w:szCs w:val="24"/>
        </w:rPr>
        <w:t xml:space="preserve"> the reporting periods ending on or after 30 June 2018,</w:t>
      </w:r>
      <w:r w:rsidR="00967FB6"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</w:t>
      </w:r>
      <w:r w:rsidR="00967FB6">
        <w:rPr>
          <w:rFonts w:ascii="Times New Roman" w:eastAsia="Times New Roman" w:hAnsi="Times New Roman"/>
          <w:iCs/>
          <w:sz w:val="24"/>
          <w:szCs w:val="24"/>
        </w:rPr>
        <w:t xml:space="preserve"> 3 months </w:t>
      </w:r>
      <w:r w:rsidR="00967FB6"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after the end of the </w:t>
      </w:r>
      <w:r w:rsidR="00967FB6"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reporting period</w:t>
      </w:r>
      <w:r w:rsidR="00967FB6"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which the information relates</w:t>
      </w:r>
      <w:r w:rsidR="008755E5">
        <w:rPr>
          <w:rFonts w:ascii="Times New Roman" w:eastAsia="Times New Roman" w:hAnsi="Times New Roman"/>
          <w:iCs/>
          <w:sz w:val="24"/>
          <w:szCs w:val="24"/>
        </w:rPr>
        <w:t>.</w:t>
      </w:r>
      <w:r w:rsidR="00967FB6" w:rsidRPr="00D65D94">
        <w:rPr>
          <w:rFonts w:ascii="Times New Roman" w:eastAsia="Times New Roman" w:hAnsi="Times New Roman"/>
          <w:iCs/>
          <w:szCs w:val="24"/>
          <w:vertAlign w:val="superscript"/>
          <w:lang w:val="x-none"/>
        </w:rPr>
        <w:footnoteReference w:id="3"/>
      </w:r>
      <w:r w:rsidR="008755E5" w:rsidDel="008755E5">
        <w:rPr>
          <w:rFonts w:ascii="Times New Roman" w:eastAsia="Times New Roman" w:hAnsi="Times New Roman"/>
          <w:iCs/>
          <w:sz w:val="24"/>
          <w:szCs w:val="24"/>
        </w:rPr>
        <w:t xml:space="preserve"> </w:t>
      </w:r>
    </w:p>
    <w:bookmarkEnd w:id="9"/>
    <w:p w14:paraId="5B846A3B" w14:textId="41D0E19F" w:rsidR="00CD3512" w:rsidRPr="00135A22" w:rsidRDefault="00CD3512" w:rsidP="003D3C1D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ADI</w:t>
      </w:r>
      <w:r w:rsidR="0019029E" w:rsidRPr="005F1AC6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8E2855">
        <w:rPr>
          <w:rFonts w:ascii="Times New Roman" w:eastAsia="Times New Roman" w:hAnsi="Times New Roman"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to require it to provide the information </w:t>
      </w:r>
      <w:r w:rsidR="00EA40A5">
        <w:rPr>
          <w:rFonts w:ascii="Times New Roman" w:eastAsia="Times New Roman" w:hAnsi="Times New Roman"/>
          <w:iCs/>
          <w:sz w:val="24"/>
          <w:szCs w:val="24"/>
        </w:rPr>
        <w:t>specified</w:t>
      </w:r>
      <w:r w:rsidR="00EA40A5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EA40A5">
        <w:rPr>
          <w:rFonts w:ascii="Times New Roman" w:eastAsia="Times New Roman" w:hAnsi="Times New Roman"/>
          <w:iCs/>
          <w:sz w:val="24"/>
          <w:szCs w:val="24"/>
        </w:rPr>
        <w:t>in</w:t>
      </w:r>
      <w:r w:rsidR="00EA40A5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this Reporting Standard more frequently, or less frequently, having regard to:</w:t>
      </w:r>
      <w:bookmarkEnd w:id="10"/>
    </w:p>
    <w:p w14:paraId="01EC3646" w14:textId="77777777" w:rsidR="00CD3512" w:rsidRPr="00135A22" w:rsidRDefault="00CD3512" w:rsidP="005042AD">
      <w:pPr>
        <w:numPr>
          <w:ilvl w:val="1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circumstances of the </w:t>
      </w: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ADI</w:t>
      </w:r>
      <w:r w:rsidR="0019029E" w:rsidRPr="005F1AC6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8E2855">
        <w:rPr>
          <w:rFonts w:ascii="Times New Roman" w:eastAsia="Times New Roman" w:hAnsi="Times New Roman"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5DEAD0ED" w14:textId="056C7505" w:rsidR="00CD3512" w:rsidRPr="00135A22" w:rsidRDefault="00CD3512" w:rsidP="005042AD">
      <w:pPr>
        <w:numPr>
          <w:ilvl w:val="1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proofErr w:type="gramStart"/>
      <w:r>
        <w:rPr>
          <w:rFonts w:ascii="Times New Roman" w:eastAsia="Times New Roman" w:hAnsi="Times New Roman"/>
          <w:iCs/>
          <w:sz w:val="24"/>
          <w:szCs w:val="24"/>
        </w:rPr>
        <w:t>t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he</w:t>
      </w:r>
      <w:proofErr w:type="gramEnd"/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extent to which the information is </w:t>
      </w:r>
      <w:r w:rsidR="00EA40A5">
        <w:rPr>
          <w:rFonts w:ascii="Times New Roman" w:eastAsia="Times New Roman" w:hAnsi="Times New Roman"/>
          <w:iCs/>
          <w:sz w:val="24"/>
          <w:szCs w:val="24"/>
        </w:rPr>
        <w:t>necessary</w:t>
      </w:r>
      <w:r w:rsidR="00EA40A5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for the purposes of </w:t>
      </w:r>
      <w:r w:rsidR="007F504C"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="00741521">
        <w:rPr>
          <w:rFonts w:ascii="Times New Roman" w:eastAsia="Times New Roman" w:hAnsi="Times New Roman"/>
          <w:iCs/>
          <w:sz w:val="24"/>
          <w:szCs w:val="24"/>
        </w:rPr>
        <w:t>DAWR</w:t>
      </w:r>
      <w:r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</w:p>
    <w:p w14:paraId="145E0877" w14:textId="77777777" w:rsidR="00CD3512" w:rsidRPr="00AE1EBD" w:rsidRDefault="00CD3512" w:rsidP="005042AD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APRA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may grant an </w:t>
      </w: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ADI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 w:rsidRPr="005F1AC6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8E2855">
        <w:rPr>
          <w:rFonts w:ascii="Times New Roman" w:eastAsia="Times New Roman" w:hAnsi="Times New Roman"/>
          <w:iCs/>
          <w:sz w:val="24"/>
          <w:szCs w:val="24"/>
        </w:rPr>
        <w:t>RFC</w:t>
      </w:r>
      <w:r w:rsidR="0019029E"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due date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the new </w:t>
      </w: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due date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</w:t>
      </w:r>
      <w:r w:rsidRPr="00AE1EBD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provision of the information will be the date on the notice of extension.</w:t>
      </w:r>
    </w:p>
    <w:bookmarkEnd w:id="11"/>
    <w:bookmarkEnd w:id="12"/>
    <w:p w14:paraId="76778B14" w14:textId="77777777" w:rsidR="00CD3512" w:rsidRPr="003B2696" w:rsidRDefault="00CD3512" w:rsidP="006934C5">
      <w:pPr>
        <w:keepNext/>
        <w:keepLines/>
        <w:spacing w:before="120"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AE1EBD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lastRenderedPageBreak/>
        <w:t>Quality control</w:t>
      </w:r>
      <w:r w:rsidR="00277F90"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and assurance</w:t>
      </w:r>
    </w:p>
    <w:p w14:paraId="0AB26376" w14:textId="78F80AAF" w:rsidR="005D63D0" w:rsidRDefault="005D63D0" w:rsidP="005D63D0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D63D0">
        <w:rPr>
          <w:rFonts w:ascii="Times New Roman" w:eastAsia="Times New Roman" w:hAnsi="Times New Roman"/>
          <w:iCs/>
          <w:sz w:val="24"/>
          <w:szCs w:val="24"/>
          <w:lang w:val="x-none"/>
        </w:rPr>
        <w:t>The information provided by an ADI</w:t>
      </w:r>
      <w:r w:rsidR="0060218B">
        <w:rPr>
          <w:rFonts w:ascii="Times New Roman" w:eastAsia="Times New Roman" w:hAnsi="Times New Roman"/>
          <w:iCs/>
          <w:sz w:val="24"/>
          <w:szCs w:val="24"/>
        </w:rPr>
        <w:t xml:space="preserve"> or RFC</w:t>
      </w:r>
      <w:r w:rsidRPr="005D63D0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under this Reporting Standard may be completed on a best endeavours basis for </w:t>
      </w:r>
      <w:r w:rsidR="00E82369"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5D63D0">
        <w:rPr>
          <w:rFonts w:ascii="Times New Roman" w:eastAsia="Times New Roman" w:hAnsi="Times New Roman"/>
          <w:iCs/>
          <w:sz w:val="24"/>
          <w:szCs w:val="24"/>
          <w:lang w:val="x-none"/>
        </w:rPr>
        <w:t>reporting period ending on 30 June 201</w:t>
      </w:r>
      <w:r w:rsidR="001B6E29">
        <w:rPr>
          <w:rFonts w:ascii="Times New Roman" w:eastAsia="Times New Roman" w:hAnsi="Times New Roman"/>
          <w:iCs/>
          <w:sz w:val="24"/>
          <w:szCs w:val="24"/>
        </w:rPr>
        <w:t>7</w:t>
      </w:r>
      <w:r w:rsidRPr="005D63D0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2966346D" w14:textId="539487A0" w:rsidR="005D63D0" w:rsidRPr="00A8605A" w:rsidRDefault="005D63D0" w:rsidP="00A8605A">
      <w:pPr>
        <w:spacing w:before="240" w:after="240"/>
        <w:ind w:left="567"/>
        <w:jc w:val="both"/>
        <w:rPr>
          <w:rFonts w:ascii="Times New Roman" w:eastAsia="Times New Roman" w:hAnsi="Times New Roman"/>
          <w:iCs/>
          <w:sz w:val="20"/>
          <w:szCs w:val="20"/>
          <w:lang w:val="x-none"/>
        </w:rPr>
      </w:pPr>
      <w:r w:rsidRPr="00A8605A">
        <w:rPr>
          <w:rFonts w:ascii="Times New Roman" w:eastAsia="Times New Roman" w:hAnsi="Times New Roman"/>
          <w:i/>
          <w:iCs/>
          <w:sz w:val="20"/>
          <w:szCs w:val="20"/>
          <w:lang w:val="x-none"/>
        </w:rPr>
        <w:t>Note</w:t>
      </w:r>
      <w:r w:rsidRPr="00A8605A">
        <w:rPr>
          <w:rFonts w:ascii="Times New Roman" w:eastAsia="Times New Roman" w:hAnsi="Times New Roman"/>
          <w:iCs/>
          <w:sz w:val="20"/>
          <w:szCs w:val="20"/>
          <w:lang w:val="x-none"/>
        </w:rPr>
        <w:t xml:space="preserve">: for the avoidance of doubt, paragraph </w:t>
      </w:r>
      <w:r>
        <w:rPr>
          <w:rFonts w:ascii="Times New Roman" w:eastAsia="Times New Roman" w:hAnsi="Times New Roman"/>
          <w:iCs/>
          <w:sz w:val="20"/>
          <w:szCs w:val="20"/>
        </w:rPr>
        <w:t>1</w:t>
      </w:r>
      <w:r w:rsidR="004F5BE3">
        <w:rPr>
          <w:rFonts w:ascii="Times New Roman" w:eastAsia="Times New Roman" w:hAnsi="Times New Roman"/>
          <w:iCs/>
          <w:sz w:val="20"/>
          <w:szCs w:val="20"/>
        </w:rPr>
        <w:t>3</w:t>
      </w:r>
      <w:r w:rsidRPr="00A8605A">
        <w:rPr>
          <w:rFonts w:ascii="Times New Roman" w:eastAsia="Times New Roman" w:hAnsi="Times New Roman"/>
          <w:iCs/>
          <w:sz w:val="20"/>
          <w:szCs w:val="20"/>
          <w:lang w:val="x-none"/>
        </w:rPr>
        <w:t xml:space="preserve"> of this Reporting Standard does not limit APRA from, under section 17 of the </w:t>
      </w:r>
      <w:r w:rsidRPr="00A8605A">
        <w:rPr>
          <w:rFonts w:ascii="Times New Roman" w:eastAsia="Times New Roman" w:hAnsi="Times New Roman"/>
          <w:i/>
          <w:iCs/>
          <w:sz w:val="20"/>
          <w:szCs w:val="20"/>
          <w:lang w:val="x-none"/>
        </w:rPr>
        <w:t>Financial Sector (Collection of Data) Act 2001</w:t>
      </w:r>
      <w:r w:rsidRPr="00A8605A">
        <w:rPr>
          <w:rFonts w:ascii="Times New Roman" w:eastAsia="Times New Roman" w:hAnsi="Times New Roman"/>
          <w:iCs/>
          <w:sz w:val="20"/>
          <w:szCs w:val="20"/>
          <w:lang w:val="x-none"/>
        </w:rPr>
        <w:t xml:space="preserve">, directing an ADI </w:t>
      </w:r>
      <w:r w:rsidR="007C7221">
        <w:rPr>
          <w:rFonts w:ascii="Times New Roman" w:eastAsia="Times New Roman" w:hAnsi="Times New Roman"/>
          <w:iCs/>
          <w:sz w:val="20"/>
          <w:szCs w:val="20"/>
        </w:rPr>
        <w:t xml:space="preserve">or RFC </w:t>
      </w:r>
      <w:r w:rsidRPr="00A8605A">
        <w:rPr>
          <w:rFonts w:ascii="Times New Roman" w:eastAsia="Times New Roman" w:hAnsi="Times New Roman"/>
          <w:iCs/>
          <w:sz w:val="20"/>
          <w:szCs w:val="20"/>
          <w:lang w:val="x-none"/>
        </w:rPr>
        <w:t xml:space="preserve">to give APRA explanation of, or variation to, information provided by an ADI </w:t>
      </w:r>
      <w:r w:rsidR="007C7221">
        <w:rPr>
          <w:rFonts w:ascii="Times New Roman" w:eastAsia="Times New Roman" w:hAnsi="Times New Roman"/>
          <w:iCs/>
          <w:sz w:val="20"/>
          <w:szCs w:val="20"/>
        </w:rPr>
        <w:t xml:space="preserve">or RFC </w:t>
      </w:r>
      <w:r w:rsidRPr="00A8605A">
        <w:rPr>
          <w:rFonts w:ascii="Times New Roman" w:eastAsia="Times New Roman" w:hAnsi="Times New Roman"/>
          <w:iCs/>
          <w:sz w:val="20"/>
          <w:szCs w:val="20"/>
          <w:lang w:val="x-none"/>
        </w:rPr>
        <w:t>under this Reporting Standard.</w:t>
      </w:r>
    </w:p>
    <w:p w14:paraId="6373C347" w14:textId="68DFD1A3" w:rsidR="00EA0847" w:rsidRPr="00EA0847" w:rsidRDefault="00207980" w:rsidP="00942677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For reporting periods ending after </w:t>
      </w:r>
      <w:r w:rsidR="00EA4654">
        <w:rPr>
          <w:rFonts w:ascii="Times New Roman" w:eastAsia="Times New Roman" w:hAnsi="Times New Roman"/>
          <w:iCs/>
          <w:sz w:val="24"/>
          <w:szCs w:val="24"/>
        </w:rPr>
        <w:t>30 June 2017</w:t>
      </w:r>
      <w:r>
        <w:rPr>
          <w:rFonts w:ascii="Times New Roman" w:eastAsia="Times New Roman" w:hAnsi="Times New Roman"/>
          <w:iCs/>
          <w:sz w:val="24"/>
          <w:szCs w:val="24"/>
        </w:rPr>
        <w:t>, a</w:t>
      </w:r>
      <w:r w:rsidR="005D63D0" w:rsidRPr="002E32B5">
        <w:rPr>
          <w:rFonts w:ascii="Times New Roman" w:eastAsia="Times New Roman" w:hAnsi="Times New Roman"/>
          <w:iCs/>
          <w:sz w:val="24"/>
          <w:szCs w:val="24"/>
        </w:rPr>
        <w:t xml:space="preserve">ll information provided by an </w:t>
      </w:r>
      <w:r w:rsidR="005D63D0" w:rsidRPr="005D63D0">
        <w:rPr>
          <w:rFonts w:ascii="Times New Roman" w:eastAsia="Times New Roman" w:hAnsi="Times New Roman"/>
          <w:iCs/>
          <w:sz w:val="24"/>
          <w:szCs w:val="24"/>
        </w:rPr>
        <w:t>ADI</w:t>
      </w:r>
      <w:r w:rsidR="005D63D0" w:rsidRPr="002E32B5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="005D63D0" w:rsidRPr="005D63D0">
        <w:rPr>
          <w:rFonts w:ascii="Times New Roman" w:eastAsia="Times New Roman" w:hAnsi="Times New Roman"/>
          <w:iCs/>
          <w:sz w:val="24"/>
          <w:szCs w:val="24"/>
        </w:rPr>
        <w:t>ADI</w:t>
      </w:r>
      <w:r w:rsidR="00126745">
        <w:rPr>
          <w:rFonts w:ascii="Times New Roman" w:eastAsia="Times New Roman" w:hAnsi="Times New Roman"/>
          <w:iCs/>
          <w:sz w:val="24"/>
          <w:szCs w:val="24"/>
        </w:rPr>
        <w:t xml:space="preserve"> as set out in </w:t>
      </w:r>
      <w:r w:rsidR="00126745">
        <w:rPr>
          <w:rFonts w:ascii="Times New Roman" w:eastAsia="Times New Roman" w:hAnsi="Times New Roman"/>
          <w:i/>
          <w:iCs/>
          <w:sz w:val="24"/>
          <w:szCs w:val="24"/>
        </w:rPr>
        <w:t xml:space="preserve">Prudential Standard </w:t>
      </w:r>
      <w:r w:rsidR="00126745" w:rsidRPr="00722918">
        <w:rPr>
          <w:rFonts w:ascii="Times New Roman" w:eastAsia="Times New Roman" w:hAnsi="Times New Roman"/>
          <w:i/>
          <w:iCs/>
          <w:sz w:val="24"/>
          <w:szCs w:val="24"/>
        </w:rPr>
        <w:t>APS 310</w:t>
      </w:r>
      <w:r w:rsidR="00126745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26745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5D63D0" w:rsidRPr="002E32B5">
        <w:rPr>
          <w:rFonts w:ascii="Times New Roman" w:eastAsia="Times New Roman" w:hAnsi="Times New Roman"/>
          <w:iCs/>
          <w:sz w:val="24"/>
          <w:szCs w:val="24"/>
        </w:rPr>
        <w:t>. Relevant standards and guidance statements issued by the Auditing and Assurance Standards Board provide information on the scope and nature of the review and testing required from external auditors.</w:t>
      </w:r>
      <w:r w:rsidR="005D63D0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5D63D0" w:rsidRPr="005D63D0">
        <w:rPr>
          <w:rFonts w:ascii="Times New Roman" w:eastAsia="Times New Roman" w:hAnsi="Times New Roman"/>
          <w:iCs/>
          <w:sz w:val="24"/>
          <w:szCs w:val="24"/>
        </w:rPr>
        <w:t xml:space="preserve">This review and testing must be done on an annual basis or more frequently if </w:t>
      </w:r>
      <w:r w:rsidR="005D63D0">
        <w:rPr>
          <w:rFonts w:ascii="Times New Roman" w:eastAsia="Times New Roman" w:hAnsi="Times New Roman"/>
          <w:iCs/>
          <w:sz w:val="24"/>
          <w:szCs w:val="24"/>
        </w:rPr>
        <w:t>required by the external auditor</w:t>
      </w:r>
      <w:r w:rsidR="005D63D0" w:rsidRPr="005D63D0">
        <w:rPr>
          <w:rFonts w:ascii="Times New Roman" w:eastAsia="Times New Roman" w:hAnsi="Times New Roman"/>
          <w:iCs/>
          <w:sz w:val="24"/>
          <w:szCs w:val="24"/>
        </w:rPr>
        <w:t xml:space="preserve"> to enable the external auditor to form an opinion on the accuracy and reliability of the information</w:t>
      </w:r>
      <w:r w:rsidR="005D63D0" w:rsidRPr="00163ED5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5D63D0" w:rsidRPr="002E32B5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="005D63D0" w:rsidRPr="005D63D0">
        <w:rPr>
          <w:rFonts w:ascii="Times New Roman" w:eastAsia="Times New Roman" w:hAnsi="Times New Roman"/>
          <w:iCs/>
          <w:sz w:val="24"/>
          <w:szCs w:val="24"/>
        </w:rPr>
        <w:t>ADI</w:t>
      </w:r>
      <w:r w:rsidR="005D63D0" w:rsidRPr="002E32B5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="005D63D0" w:rsidRPr="005D527D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631F73E7" w14:textId="097198E5" w:rsidR="00D00333" w:rsidRPr="00A8605A" w:rsidRDefault="00942677" w:rsidP="00942677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94267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All information provided by 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8E2855">
        <w:rPr>
          <w:rFonts w:ascii="Times New Roman" w:eastAsia="Times New Roman" w:hAnsi="Times New Roman"/>
          <w:iCs/>
          <w:sz w:val="24"/>
          <w:szCs w:val="24"/>
        </w:rPr>
        <w:t>ADI</w:t>
      </w:r>
      <w:r w:rsidRPr="005F1AC6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8E2855">
        <w:rPr>
          <w:rFonts w:ascii="Times New Roman" w:eastAsia="Times New Roman" w:hAnsi="Times New Roman"/>
          <w:iCs/>
          <w:sz w:val="24"/>
          <w:szCs w:val="24"/>
        </w:rPr>
        <w:t>RFC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under this Reporting Standard must be subject to </w:t>
      </w:r>
      <w:r w:rsidR="00532D73">
        <w:rPr>
          <w:rFonts w:ascii="Times New Roman" w:eastAsia="Times New Roman" w:hAnsi="Times New Roman"/>
          <w:iCs/>
          <w:sz w:val="24"/>
          <w:szCs w:val="24"/>
        </w:rPr>
        <w:t xml:space="preserve">systems, 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processes and controls developed by the </w:t>
      </w:r>
      <w:r w:rsidRPr="008E2855">
        <w:rPr>
          <w:rFonts w:ascii="Times New Roman" w:eastAsia="Times New Roman" w:hAnsi="Times New Roman"/>
          <w:iCs/>
          <w:sz w:val="24"/>
          <w:szCs w:val="24"/>
        </w:rPr>
        <w:t>ADI</w:t>
      </w:r>
      <w:r w:rsidRPr="005F1AC6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8E2855">
        <w:rPr>
          <w:rFonts w:ascii="Times New Roman" w:eastAsia="Times New Roman" w:hAnsi="Times New Roman"/>
          <w:iCs/>
          <w:sz w:val="24"/>
          <w:szCs w:val="24"/>
        </w:rPr>
        <w:t>RFC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</w:t>
      </w:r>
      <w:r w:rsidRPr="0094267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the internal review and authorisation of that information. </w:t>
      </w:r>
      <w:r w:rsidR="006056EC">
        <w:rPr>
          <w:rFonts w:ascii="Times New Roman" w:eastAsia="Times New Roman" w:hAnsi="Times New Roman"/>
          <w:iCs/>
          <w:sz w:val="24"/>
          <w:szCs w:val="24"/>
        </w:rPr>
        <w:t xml:space="preserve">These systems, processes and controls developed by </w:t>
      </w:r>
      <w:r w:rsidR="006056EC" w:rsidRPr="005F1AC6"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="006056EC" w:rsidRPr="008E2855">
        <w:rPr>
          <w:rFonts w:ascii="Times New Roman" w:eastAsia="Times New Roman" w:hAnsi="Times New Roman"/>
          <w:sz w:val="24"/>
          <w:szCs w:val="24"/>
        </w:rPr>
        <w:t>ADI</w:t>
      </w:r>
      <w:r w:rsidR="006056EC" w:rsidRPr="005F1AC6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6056EC" w:rsidRPr="008E2855">
        <w:rPr>
          <w:rFonts w:ascii="Times New Roman" w:eastAsia="Times New Roman" w:hAnsi="Times New Roman"/>
          <w:sz w:val="24"/>
          <w:szCs w:val="24"/>
        </w:rPr>
        <w:t>RFC</w:t>
      </w:r>
      <w:r w:rsidR="006056EC">
        <w:rPr>
          <w:rFonts w:ascii="Times New Roman" w:eastAsia="Times New Roman" w:hAnsi="Times New Roman"/>
          <w:iCs/>
          <w:sz w:val="24"/>
          <w:szCs w:val="24"/>
        </w:rPr>
        <w:t xml:space="preserve"> are to ensure the completeness and reliability of the information provided.</w:t>
      </w:r>
    </w:p>
    <w:p w14:paraId="6B9B7548" w14:textId="4F8ECC99" w:rsidR="005D63D0" w:rsidRPr="005D63D0" w:rsidRDefault="005D63D0" w:rsidP="00A8605A">
      <w:pPr>
        <w:pStyle w:val="ListParagraph"/>
        <w:spacing w:before="240"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5D63D0">
        <w:rPr>
          <w:rFonts w:ascii="Times New Roman" w:eastAsia="Times New Roman" w:hAnsi="Times New Roman"/>
          <w:i/>
          <w:iCs/>
          <w:sz w:val="20"/>
          <w:szCs w:val="24"/>
        </w:rPr>
        <w:t>Note</w:t>
      </w:r>
      <w:r w:rsidRPr="005D63D0">
        <w:rPr>
          <w:rFonts w:ascii="Times New Roman" w:eastAsia="Times New Roman" w:hAnsi="Times New Roman"/>
          <w:iCs/>
          <w:sz w:val="20"/>
          <w:szCs w:val="24"/>
        </w:rPr>
        <w:t xml:space="preserve">: for the avoidance of doubt, paragraph </w:t>
      </w:r>
      <w:r w:rsidR="00BF72C3">
        <w:rPr>
          <w:rFonts w:ascii="Times New Roman" w:eastAsia="Times New Roman" w:hAnsi="Times New Roman"/>
          <w:iCs/>
          <w:sz w:val="20"/>
          <w:szCs w:val="24"/>
        </w:rPr>
        <w:t>1</w:t>
      </w:r>
      <w:r w:rsidR="00EA0847">
        <w:rPr>
          <w:rFonts w:ascii="Times New Roman" w:eastAsia="Times New Roman" w:hAnsi="Times New Roman"/>
          <w:iCs/>
          <w:sz w:val="20"/>
          <w:szCs w:val="24"/>
        </w:rPr>
        <w:t>3</w:t>
      </w:r>
      <w:r w:rsidRPr="005D63D0">
        <w:rPr>
          <w:rFonts w:ascii="Times New Roman" w:eastAsia="Times New Roman" w:hAnsi="Times New Roman"/>
          <w:iCs/>
          <w:sz w:val="20"/>
          <w:szCs w:val="24"/>
        </w:rPr>
        <w:t xml:space="preserve"> of this Reporting Standard does not limit the requirements of paragraph </w:t>
      </w:r>
      <w:r w:rsidR="004F299A">
        <w:rPr>
          <w:rFonts w:ascii="Times New Roman" w:eastAsia="Times New Roman" w:hAnsi="Times New Roman"/>
          <w:iCs/>
          <w:sz w:val="20"/>
          <w:szCs w:val="24"/>
        </w:rPr>
        <w:t>1</w:t>
      </w:r>
      <w:r w:rsidR="00EA0847">
        <w:rPr>
          <w:rFonts w:ascii="Times New Roman" w:eastAsia="Times New Roman" w:hAnsi="Times New Roman"/>
          <w:iCs/>
          <w:sz w:val="20"/>
          <w:szCs w:val="24"/>
        </w:rPr>
        <w:t>5</w:t>
      </w:r>
      <w:r w:rsidRPr="005D63D0">
        <w:rPr>
          <w:rFonts w:ascii="Times New Roman" w:eastAsia="Times New Roman" w:hAnsi="Times New Roman"/>
          <w:iCs/>
          <w:sz w:val="20"/>
          <w:szCs w:val="24"/>
        </w:rPr>
        <w:t xml:space="preserve"> of this Reporting Standard.</w:t>
      </w:r>
    </w:p>
    <w:p w14:paraId="48AE45A6" w14:textId="77777777" w:rsidR="00CD3512" w:rsidRPr="00AE1EBD" w:rsidRDefault="00CD3512" w:rsidP="006934C5">
      <w:pPr>
        <w:keepNext/>
        <w:keepLines/>
        <w:spacing w:before="120"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AE1EBD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14:paraId="60B2DE40" w14:textId="5D69080B" w:rsidR="00CD3512" w:rsidRPr="008E2855" w:rsidRDefault="00CD3512" w:rsidP="005042AD">
      <w:pPr>
        <w:numPr>
          <w:ilvl w:val="0"/>
          <w:numId w:val="2"/>
        </w:numPr>
        <w:spacing w:before="240" w:after="240"/>
        <w:jc w:val="both"/>
        <w:rPr>
          <w:rFonts w:ascii="Arial" w:eastAsia="Times New Roman" w:hAnsi="Arial"/>
          <w:bCs/>
          <w:color w:val="000000"/>
          <w:sz w:val="24"/>
          <w:szCs w:val="24"/>
          <w:lang w:val="x-none"/>
        </w:rPr>
      </w:pPr>
      <w:r w:rsidRPr="00AE1EBD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When an officer or agent 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of an </w:t>
      </w:r>
      <w:r w:rsidRPr="008E2855">
        <w:rPr>
          <w:rFonts w:ascii="Times New Roman" w:eastAsia="Times New Roman" w:hAnsi="Times New Roman"/>
          <w:iCs/>
          <w:sz w:val="24"/>
          <w:szCs w:val="24"/>
        </w:rPr>
        <w:t>ADI</w:t>
      </w:r>
      <w:r w:rsidR="0019029E" w:rsidRPr="005F1AC6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8E2855">
        <w:rPr>
          <w:rFonts w:ascii="Times New Roman" w:eastAsia="Times New Roman" w:hAnsi="Times New Roman"/>
          <w:iCs/>
          <w:sz w:val="24"/>
          <w:szCs w:val="24"/>
        </w:rPr>
        <w:t>RFC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provides the information required by this Reporting Standard using the ‘Direct to </w:t>
      </w:r>
      <w:r w:rsidRPr="00E01A7B">
        <w:rPr>
          <w:rFonts w:ascii="Times New Roman" w:eastAsia="Times New Roman" w:hAnsi="Times New Roman"/>
          <w:iCs/>
          <w:sz w:val="24"/>
          <w:szCs w:val="24"/>
          <w:lang w:val="x-none"/>
        </w:rPr>
        <w:t>APRA</w:t>
      </w:r>
      <w:r w:rsidRPr="008E081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’ software, it will be necessary for the officer or agent to digitally sign the relevant information using a digital certificate acceptable to </w:t>
      </w: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APRA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49051B23" w14:textId="77777777" w:rsidR="00CD3512" w:rsidRPr="008817DC" w:rsidRDefault="00CD3512" w:rsidP="0013255A">
      <w:pPr>
        <w:keepNext/>
        <w:spacing w:before="240"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AE1EBD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lastRenderedPageBreak/>
        <w:t>Minor alterations to forms and instructions</w:t>
      </w:r>
    </w:p>
    <w:p w14:paraId="63EED80B" w14:textId="77777777" w:rsidR="00CD3512" w:rsidRPr="00761D2C" w:rsidRDefault="00CD3512" w:rsidP="0013255A">
      <w:pPr>
        <w:keepNext/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APRA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make minor variations to:</w:t>
      </w:r>
    </w:p>
    <w:p w14:paraId="5CE2FF07" w14:textId="3C9F8C25" w:rsidR="00CD3512" w:rsidRPr="00761D2C" w:rsidRDefault="00CD3512" w:rsidP="005042AD">
      <w:pPr>
        <w:numPr>
          <w:ilvl w:val="1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 form that is part of this </w:t>
      </w:r>
      <w:r w:rsidR="00805365">
        <w:rPr>
          <w:rFonts w:ascii="Times New Roman" w:eastAsia="Times New Roman" w:hAnsi="Times New Roman"/>
          <w:iCs/>
          <w:sz w:val="24"/>
          <w:szCs w:val="24"/>
        </w:rPr>
        <w:t>R</w:t>
      </w:r>
      <w:r w:rsidR="00942677">
        <w:rPr>
          <w:rFonts w:ascii="Times New Roman" w:eastAsia="Times New Roman" w:hAnsi="Times New Roman"/>
          <w:sz w:val="24"/>
          <w:szCs w:val="24"/>
        </w:rPr>
        <w:t>eporting</w:t>
      </w:r>
      <w:r w:rsidR="00942677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805365">
        <w:rPr>
          <w:rFonts w:ascii="Times New Roman" w:eastAsia="Times New Roman" w:hAnsi="Times New Roman"/>
          <w:iCs/>
          <w:sz w:val="24"/>
          <w:szCs w:val="24"/>
        </w:rPr>
        <w:t>S</w:t>
      </w:r>
      <w:r>
        <w:rPr>
          <w:rFonts w:ascii="Times New Roman" w:eastAsia="Times New Roman" w:hAnsi="Times New Roman"/>
          <w:sz w:val="24"/>
          <w:szCs w:val="24"/>
        </w:rPr>
        <w:t>tandard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, and the instructions to such a form, to correct technical, programming or logical errors, inconsistencies or anomalies; or</w:t>
      </w:r>
    </w:p>
    <w:p w14:paraId="0B5E9201" w14:textId="77777777" w:rsidR="00CD3512" w:rsidRPr="00761D2C" w:rsidRDefault="00CD3512" w:rsidP="005042AD">
      <w:pPr>
        <w:numPr>
          <w:ilvl w:val="1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the instructions to a form, to clarify their application to the form</w:t>
      </w:r>
    </w:p>
    <w:p w14:paraId="4613D767" w14:textId="77777777" w:rsidR="00CD3512" w:rsidRPr="00761D2C" w:rsidRDefault="00CD3512" w:rsidP="006934C5">
      <w:pPr>
        <w:spacing w:before="240"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without changing any substantive requirement in the form or instructions.</w:t>
      </w:r>
    </w:p>
    <w:p w14:paraId="023B5640" w14:textId="18C44534" w:rsidR="00CD3512" w:rsidRPr="00761D2C" w:rsidRDefault="00CD3512" w:rsidP="005042AD">
      <w:pPr>
        <w:numPr>
          <w:ilvl w:val="0"/>
          <w:numId w:val="2"/>
        </w:numPr>
        <w:spacing w:before="240" w:after="240"/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</w:pP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If </w:t>
      </w: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APRA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makes such a variation it must notify in writing each </w:t>
      </w:r>
      <w:r w:rsidRPr="008E2855">
        <w:rPr>
          <w:rFonts w:ascii="Times New Roman" w:eastAsia="Times New Roman" w:hAnsi="Times New Roman"/>
          <w:iCs/>
          <w:sz w:val="24"/>
          <w:szCs w:val="24"/>
          <w:lang w:val="x-none"/>
        </w:rPr>
        <w:t>ADI</w:t>
      </w:r>
      <w:r w:rsidRPr="005F1AC6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 w:rsidRPr="005F1AC6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8E2855">
        <w:rPr>
          <w:rFonts w:ascii="Times New Roman" w:eastAsia="Times New Roman" w:hAnsi="Times New Roman"/>
          <w:iCs/>
          <w:sz w:val="24"/>
          <w:szCs w:val="24"/>
        </w:rPr>
        <w:t>RFC</w:t>
      </w:r>
      <w:r w:rsidR="0019029E"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that is required to report under this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805365">
        <w:rPr>
          <w:rFonts w:ascii="Times New Roman" w:eastAsia="Times New Roman" w:hAnsi="Times New Roman"/>
          <w:iCs/>
          <w:sz w:val="24"/>
          <w:szCs w:val="24"/>
        </w:rPr>
        <w:t>R</w:t>
      </w:r>
      <w:r>
        <w:rPr>
          <w:rFonts w:ascii="Times New Roman" w:eastAsia="Times New Roman" w:hAnsi="Times New Roman"/>
          <w:sz w:val="24"/>
          <w:szCs w:val="24"/>
        </w:rPr>
        <w:t xml:space="preserve">eporting </w:t>
      </w:r>
      <w:r w:rsidR="00805365">
        <w:rPr>
          <w:rFonts w:ascii="Times New Roman" w:eastAsia="Times New Roman" w:hAnsi="Times New Roman"/>
          <w:iCs/>
          <w:sz w:val="24"/>
          <w:szCs w:val="24"/>
        </w:rPr>
        <w:t>S</w:t>
      </w:r>
      <w:r>
        <w:rPr>
          <w:rFonts w:ascii="Times New Roman" w:eastAsia="Times New Roman" w:hAnsi="Times New Roman"/>
          <w:sz w:val="24"/>
          <w:szCs w:val="24"/>
        </w:rPr>
        <w:t>tandard</w:t>
      </w:r>
      <w:r w:rsidRPr="00761D2C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396881D5" w14:textId="77777777" w:rsidR="00CD3512" w:rsidRPr="00761D2C" w:rsidRDefault="00CD3512" w:rsidP="006934C5">
      <w:pPr>
        <w:keepNext/>
        <w:keepLines/>
        <w:spacing w:before="120" w:after="240"/>
        <w:jc w:val="both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761D2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14:paraId="195141FA" w14:textId="7B84B9B9" w:rsidR="00CD3512" w:rsidRPr="00BA3B6F" w:rsidRDefault="00CD3512" w:rsidP="00BA3B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BA3B6F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 this </w:t>
      </w:r>
      <w:r w:rsidR="00805365" w:rsidRPr="00BA3B6F">
        <w:rPr>
          <w:rFonts w:ascii="Times New Roman" w:eastAsia="Times New Roman" w:hAnsi="Times New Roman"/>
          <w:iCs/>
          <w:sz w:val="24"/>
          <w:szCs w:val="24"/>
          <w:lang w:val="x-none"/>
        </w:rPr>
        <w:t>R</w:t>
      </w:r>
      <w:r w:rsidRPr="00BA3B6F">
        <w:rPr>
          <w:rFonts w:ascii="Times New Roman" w:eastAsia="Times New Roman" w:hAnsi="Times New Roman"/>
          <w:iCs/>
          <w:sz w:val="24"/>
          <w:szCs w:val="24"/>
          <w:lang w:val="x-none"/>
        </w:rPr>
        <w:t>eporting</w:t>
      </w:r>
      <w:r w:rsidRPr="00BA3B6F">
        <w:rPr>
          <w:rFonts w:ascii="Times New Roman" w:hAnsi="Times New Roman"/>
          <w:color w:val="000000"/>
          <w:sz w:val="24"/>
          <w:szCs w:val="24"/>
          <w:lang w:eastAsia="en-AU"/>
        </w:rPr>
        <w:t xml:space="preserve"> </w:t>
      </w:r>
      <w:r w:rsidR="00805365" w:rsidRPr="00BA3B6F">
        <w:rPr>
          <w:rFonts w:ascii="Times New Roman" w:hAnsi="Times New Roman"/>
          <w:color w:val="000000"/>
          <w:sz w:val="24"/>
          <w:szCs w:val="24"/>
          <w:lang w:eastAsia="en-AU"/>
        </w:rPr>
        <w:t>S</w:t>
      </w:r>
      <w:r w:rsidRPr="00BA3B6F">
        <w:rPr>
          <w:rFonts w:ascii="Times New Roman" w:hAnsi="Times New Roman"/>
          <w:color w:val="000000"/>
          <w:sz w:val="24"/>
          <w:szCs w:val="24"/>
          <w:lang w:eastAsia="en-AU"/>
        </w:rPr>
        <w:t xml:space="preserve">tandard: </w:t>
      </w:r>
    </w:p>
    <w:p w14:paraId="1E8EEE3D" w14:textId="6F549D36" w:rsidR="0068548A" w:rsidRPr="005B1F67" w:rsidRDefault="0068548A" w:rsidP="005B1F67">
      <w:pPr>
        <w:spacing w:before="240" w:after="240"/>
        <w:ind w:left="567"/>
        <w:jc w:val="both"/>
        <w:rPr>
          <w:rFonts w:ascii="Times New Roman" w:eastAsia="Times New Roman" w:hAnsi="Times New Roman"/>
          <w:b/>
          <w:i/>
          <w:iCs/>
          <w:sz w:val="24"/>
          <w:szCs w:val="24"/>
        </w:rPr>
      </w:pPr>
      <w:r w:rsidRPr="005B1F67">
        <w:rPr>
          <w:rFonts w:ascii="Times New Roman" w:eastAsia="Times New Roman" w:hAnsi="Times New Roman"/>
          <w:b/>
          <w:i/>
          <w:iCs/>
          <w:sz w:val="24"/>
          <w:szCs w:val="24"/>
        </w:rPr>
        <w:t>AASB</w:t>
      </w:r>
      <w:r w:rsidRPr="0068548A">
        <w:rPr>
          <w:rFonts w:ascii="Times New Roman" w:hAnsi="Times New Roman"/>
          <w:color w:val="000000"/>
          <w:sz w:val="23"/>
          <w:szCs w:val="23"/>
          <w:lang w:eastAsia="en-AU"/>
        </w:rPr>
        <w:t xml:space="preserve"> </w:t>
      </w:r>
      <w:r w:rsidRPr="005B1F67">
        <w:rPr>
          <w:rFonts w:ascii="Times New Roman" w:eastAsia="Times New Roman" w:hAnsi="Times New Roman"/>
          <w:iCs/>
          <w:sz w:val="24"/>
          <w:szCs w:val="24"/>
        </w:rPr>
        <w:t xml:space="preserve">has the meaning in section 9 of the </w:t>
      </w:r>
      <w:r w:rsidRPr="005B1F67">
        <w:rPr>
          <w:rFonts w:ascii="Times New Roman" w:eastAsia="Times New Roman" w:hAnsi="Times New Roman"/>
          <w:i/>
          <w:iCs/>
          <w:sz w:val="24"/>
          <w:szCs w:val="24"/>
        </w:rPr>
        <w:t>Corporations Act 2001</w:t>
      </w:r>
      <w:r w:rsidRPr="005B1F67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15F32877" w14:textId="7AFF19EC" w:rsidR="00942677" w:rsidRPr="00585A5D" w:rsidRDefault="00942677" w:rsidP="00A90420">
      <w:pPr>
        <w:spacing w:before="240"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lang w:eastAsia="en-AU"/>
        </w:rPr>
      </w:pPr>
      <w:proofErr w:type="gramStart"/>
      <w:r>
        <w:rPr>
          <w:rFonts w:ascii="Times New Roman" w:eastAsia="Times New Roman" w:hAnsi="Times New Roman"/>
          <w:b/>
          <w:i/>
          <w:iCs/>
          <w:sz w:val="24"/>
          <w:szCs w:val="24"/>
        </w:rPr>
        <w:t>agricultural</w:t>
      </w:r>
      <w:proofErr w:type="gramEnd"/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activity </w:t>
      </w:r>
      <w:r w:rsidRPr="00585A5D">
        <w:rPr>
          <w:rFonts w:ascii="Times New Roman" w:hAnsi="Times New Roman"/>
          <w:bCs/>
          <w:iCs/>
          <w:color w:val="000000"/>
          <w:sz w:val="24"/>
          <w:lang w:eastAsia="en-AU"/>
        </w:rPr>
        <w:t xml:space="preserve">means </w:t>
      </w:r>
      <w:r>
        <w:rPr>
          <w:rFonts w:ascii="Times New Roman" w:hAnsi="Times New Roman"/>
          <w:bCs/>
          <w:iCs/>
          <w:color w:val="000000"/>
          <w:sz w:val="24"/>
          <w:lang w:eastAsia="en-AU"/>
        </w:rPr>
        <w:t>econom</w:t>
      </w:r>
      <w:r w:rsidR="009B6478">
        <w:rPr>
          <w:rFonts w:ascii="Times New Roman" w:hAnsi="Times New Roman"/>
          <w:bCs/>
          <w:iCs/>
          <w:color w:val="000000"/>
          <w:sz w:val="24"/>
          <w:lang w:eastAsia="en-AU"/>
        </w:rPr>
        <w:t>ic</w:t>
      </w:r>
      <w:r>
        <w:rPr>
          <w:rFonts w:ascii="Times New Roman" w:hAnsi="Times New Roman"/>
          <w:bCs/>
          <w:iCs/>
          <w:color w:val="000000"/>
          <w:sz w:val="24"/>
          <w:lang w:eastAsia="en-AU"/>
        </w:rPr>
        <w:t xml:space="preserve"> activity in one of the industry </w:t>
      </w:r>
      <w:r w:rsidR="008445A9">
        <w:rPr>
          <w:rFonts w:ascii="Times New Roman" w:hAnsi="Times New Roman"/>
          <w:bCs/>
          <w:iCs/>
          <w:color w:val="000000"/>
          <w:sz w:val="24"/>
          <w:lang w:eastAsia="en-AU"/>
        </w:rPr>
        <w:t xml:space="preserve">classifications </w:t>
      </w:r>
      <w:r>
        <w:rPr>
          <w:rFonts w:ascii="Times New Roman" w:hAnsi="Times New Roman"/>
          <w:bCs/>
          <w:iCs/>
          <w:color w:val="000000"/>
          <w:sz w:val="24"/>
          <w:lang w:eastAsia="en-AU"/>
        </w:rPr>
        <w:t xml:space="preserve">listed on </w:t>
      </w:r>
      <w:r w:rsidR="008E1D94">
        <w:rPr>
          <w:rFonts w:ascii="Times New Roman" w:hAnsi="Times New Roman"/>
          <w:bCs/>
          <w:iCs/>
          <w:color w:val="000000"/>
          <w:sz w:val="24"/>
          <w:lang w:eastAsia="en-AU"/>
        </w:rPr>
        <w:t>ARF 750.0</w:t>
      </w:r>
      <w:r w:rsidRPr="00585A5D">
        <w:rPr>
          <w:rFonts w:ascii="Times New Roman" w:hAnsi="Times New Roman"/>
          <w:bCs/>
          <w:iCs/>
          <w:color w:val="000000"/>
          <w:sz w:val="24"/>
          <w:lang w:eastAsia="en-AU"/>
        </w:rPr>
        <w:t>.</w:t>
      </w:r>
    </w:p>
    <w:p w14:paraId="44A1F387" w14:textId="3A2AAFC3" w:rsidR="00551DFD" w:rsidRDefault="00A90420" w:rsidP="00654E02">
      <w:pPr>
        <w:spacing w:before="240"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i/>
          <w:iCs/>
          <w:sz w:val="24"/>
          <w:szCs w:val="24"/>
        </w:rPr>
        <w:t>a</w:t>
      </w:r>
      <w:r w:rsidRPr="00A90420">
        <w:rPr>
          <w:rFonts w:ascii="Times New Roman" w:eastAsia="Times New Roman" w:hAnsi="Times New Roman"/>
          <w:b/>
          <w:i/>
          <w:iCs/>
          <w:sz w:val="24"/>
          <w:szCs w:val="24"/>
        </w:rPr>
        <w:t>uthor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>ised</w:t>
      </w:r>
      <w:proofErr w:type="gramEnd"/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deposit-taking institution (ADI</w:t>
      </w:r>
      <w:r w:rsidRPr="00A90420">
        <w:rPr>
          <w:rFonts w:ascii="Times New Roman" w:eastAsia="Times New Roman" w:hAnsi="Times New Roman"/>
          <w:b/>
          <w:i/>
          <w:iCs/>
          <w:sz w:val="24"/>
          <w:szCs w:val="24"/>
        </w:rPr>
        <w:t>)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m</w:t>
      </w:r>
      <w:r w:rsidRPr="00A90420">
        <w:rPr>
          <w:rFonts w:ascii="Times New Roman" w:eastAsia="Times New Roman" w:hAnsi="Times New Roman"/>
          <w:iCs/>
          <w:sz w:val="24"/>
          <w:szCs w:val="24"/>
        </w:rPr>
        <w:t xml:space="preserve">eans an authorised deposit-taking institution within the meaning of the </w:t>
      </w:r>
      <w:r w:rsidRPr="00A90420">
        <w:rPr>
          <w:rFonts w:ascii="Times New Roman" w:eastAsia="Times New Roman" w:hAnsi="Times New Roman"/>
          <w:i/>
          <w:iCs/>
          <w:sz w:val="24"/>
          <w:szCs w:val="24"/>
        </w:rPr>
        <w:t>Banking Act 1959</w:t>
      </w:r>
      <w:r w:rsidRPr="00A90420">
        <w:rPr>
          <w:rFonts w:ascii="Times New Roman" w:eastAsia="Times New Roman" w:hAnsi="Times New Roman"/>
          <w:iCs/>
          <w:sz w:val="24"/>
          <w:szCs w:val="24"/>
        </w:rPr>
        <w:t xml:space="preserve">. </w:t>
      </w:r>
    </w:p>
    <w:p w14:paraId="3D04A5AD" w14:textId="1D923309" w:rsidR="00860C9E" w:rsidRPr="00A90420" w:rsidRDefault="00860C9E" w:rsidP="00860C9E">
      <w:pPr>
        <w:spacing w:before="240"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</w:rPr>
      </w:pPr>
      <w:proofErr w:type="gramStart"/>
      <w:r w:rsidRPr="00077B48">
        <w:rPr>
          <w:rFonts w:ascii="Times New Roman" w:eastAsia="Times New Roman" w:hAnsi="Times New Roman"/>
          <w:b/>
          <w:i/>
          <w:iCs/>
          <w:sz w:val="24"/>
          <w:szCs w:val="24"/>
        </w:rPr>
        <w:t>bank</w:t>
      </w:r>
      <w:proofErr w:type="gramEnd"/>
      <w:r>
        <w:rPr>
          <w:rFonts w:ascii="Times New Roman" w:eastAsia="Times New Roman" w:hAnsi="Times New Roman"/>
          <w:iCs/>
          <w:sz w:val="24"/>
          <w:szCs w:val="24"/>
        </w:rPr>
        <w:t xml:space="preserve"> means </w:t>
      </w:r>
      <w:r w:rsidRPr="00860C9E">
        <w:rPr>
          <w:rFonts w:ascii="Times New Roman" w:eastAsia="Times New Roman" w:hAnsi="Times New Roman"/>
          <w:iCs/>
          <w:sz w:val="24"/>
          <w:szCs w:val="24"/>
        </w:rPr>
        <w:t xml:space="preserve">a locally incorporated ADI that assumes or uses the word ‘bank’ in relation to its banking business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a </w:t>
      </w:r>
      <w:r w:rsidRPr="00860C9E">
        <w:rPr>
          <w:rFonts w:ascii="Times New Roman" w:eastAsia="Times New Roman" w:hAnsi="Times New Roman"/>
          <w:iCs/>
          <w:sz w:val="24"/>
          <w:szCs w:val="24"/>
        </w:rPr>
        <w:t xml:space="preserve">‘foreign ADI’ as defined in section 5 of the </w:t>
      </w:r>
      <w:r w:rsidRPr="00024EB4">
        <w:rPr>
          <w:rFonts w:ascii="Times New Roman" w:eastAsia="Times New Roman" w:hAnsi="Times New Roman"/>
          <w:i/>
          <w:sz w:val="24"/>
          <w:szCs w:val="24"/>
        </w:rPr>
        <w:t>Banking Act 1959</w:t>
      </w:r>
      <w:r w:rsidR="00615950">
        <w:rPr>
          <w:rFonts w:ascii="Times New Roman" w:eastAsia="Times New Roman" w:hAnsi="Times New Roman"/>
          <w:iCs/>
          <w:sz w:val="24"/>
          <w:szCs w:val="24"/>
        </w:rPr>
        <w:t>.</w:t>
      </w:r>
      <w:r w:rsidR="00615950" w:rsidDel="00615950">
        <w:rPr>
          <w:rStyle w:val="CommentReference"/>
          <w:lang w:val="x-none" w:eastAsia="x-none"/>
        </w:rPr>
        <w:t xml:space="preserve"> </w:t>
      </w:r>
    </w:p>
    <w:p w14:paraId="11EB57C6" w14:textId="66D60FFE" w:rsidR="000718BF" w:rsidRDefault="00741521" w:rsidP="000718BF">
      <w:pPr>
        <w:autoSpaceDE w:val="0"/>
        <w:autoSpaceDN w:val="0"/>
        <w:adjustRightInd w:val="0"/>
        <w:spacing w:after="240"/>
        <w:ind w:left="567"/>
        <w:jc w:val="both"/>
        <w:rPr>
          <w:rFonts w:ascii="Times New Roman" w:hAnsi="Times New Roman"/>
          <w:i/>
          <w:iCs/>
          <w:color w:val="000000"/>
          <w:sz w:val="24"/>
          <w:lang w:eastAsia="en-AU"/>
        </w:rPr>
      </w:pPr>
      <w:r>
        <w:rPr>
          <w:rFonts w:ascii="Times New Roman" w:hAnsi="Times New Roman"/>
          <w:b/>
          <w:bCs/>
          <w:i/>
          <w:iCs/>
          <w:color w:val="000000"/>
          <w:sz w:val="24"/>
          <w:lang w:eastAsia="en-AU"/>
        </w:rPr>
        <w:t xml:space="preserve">DAWR </w:t>
      </w:r>
      <w:r w:rsidRPr="00585A5D">
        <w:rPr>
          <w:rFonts w:ascii="Times New Roman" w:hAnsi="Times New Roman"/>
          <w:color w:val="000000"/>
          <w:sz w:val="24"/>
          <w:lang w:eastAsia="en-AU"/>
        </w:rPr>
        <w:t xml:space="preserve">means the </w:t>
      </w:r>
      <w:r>
        <w:rPr>
          <w:rFonts w:ascii="Times New Roman" w:hAnsi="Times New Roman"/>
          <w:color w:val="000000"/>
          <w:sz w:val="24"/>
          <w:lang w:eastAsia="en-AU"/>
        </w:rPr>
        <w:t>Department of Agriculture and Water Resources</w:t>
      </w:r>
      <w:r w:rsidR="0060218B">
        <w:rPr>
          <w:rFonts w:ascii="Times New Roman" w:hAnsi="Times New Roman"/>
          <w:color w:val="000000"/>
          <w:sz w:val="24"/>
          <w:lang w:eastAsia="en-AU"/>
        </w:rPr>
        <w:t xml:space="preserve"> (</w:t>
      </w:r>
      <w:r w:rsidR="0060218B" w:rsidRPr="0060218B">
        <w:rPr>
          <w:rFonts w:ascii="Times New Roman" w:hAnsi="Times New Roman"/>
          <w:color w:val="000000"/>
          <w:sz w:val="24"/>
          <w:lang w:eastAsia="en-AU"/>
        </w:rPr>
        <w:t>including the Australian Bureau of Agricultural and Resource Economics and Sciences</w:t>
      </w:r>
      <w:r w:rsidR="0060218B">
        <w:rPr>
          <w:rFonts w:ascii="Times New Roman" w:hAnsi="Times New Roman"/>
          <w:color w:val="000000"/>
          <w:sz w:val="24"/>
          <w:lang w:eastAsia="en-AU"/>
        </w:rPr>
        <w:t>)</w:t>
      </w:r>
      <w:r w:rsidR="0060218B" w:rsidRPr="0060218B">
        <w:rPr>
          <w:rStyle w:val="FootnoteReference"/>
          <w:rFonts w:ascii="Times New Roman" w:hAnsi="Times New Roman"/>
          <w:color w:val="000000"/>
          <w:sz w:val="24"/>
          <w:vertAlign w:val="baseline"/>
          <w:lang w:eastAsia="en-AU"/>
        </w:rPr>
        <w:t xml:space="preserve"> </w:t>
      </w:r>
      <w:r w:rsidR="00340E15" w:rsidRPr="00340E15">
        <w:rPr>
          <w:rFonts w:ascii="Times New Roman" w:hAnsi="Times New Roman"/>
          <w:color w:val="000000"/>
          <w:sz w:val="24"/>
          <w:lang w:eastAsia="en-AU"/>
        </w:rPr>
        <w:t>or any Commonwealth government department that assumes</w:t>
      </w:r>
      <w:r w:rsidR="008234C1">
        <w:rPr>
          <w:rFonts w:ascii="Times New Roman" w:hAnsi="Times New Roman"/>
          <w:color w:val="000000"/>
          <w:sz w:val="24"/>
          <w:lang w:eastAsia="en-AU"/>
        </w:rPr>
        <w:t>,</w:t>
      </w:r>
      <w:r w:rsidR="00340E15" w:rsidRPr="00340E15">
        <w:rPr>
          <w:rFonts w:ascii="Times New Roman" w:hAnsi="Times New Roman"/>
          <w:color w:val="000000"/>
          <w:sz w:val="24"/>
          <w:lang w:eastAsia="en-AU"/>
        </w:rPr>
        <w:t xml:space="preserve"> or succeeds to</w:t>
      </w:r>
      <w:r w:rsidR="008234C1">
        <w:rPr>
          <w:rFonts w:ascii="Times New Roman" w:hAnsi="Times New Roman"/>
          <w:color w:val="000000"/>
          <w:sz w:val="24"/>
          <w:lang w:eastAsia="en-AU"/>
        </w:rPr>
        <w:t>,</w:t>
      </w:r>
      <w:r w:rsidR="00340E15" w:rsidRPr="00340E15">
        <w:rPr>
          <w:rFonts w:ascii="Times New Roman" w:hAnsi="Times New Roman"/>
          <w:color w:val="000000"/>
          <w:sz w:val="24"/>
          <w:lang w:eastAsia="en-AU"/>
        </w:rPr>
        <w:t xml:space="preserve"> its functions</w:t>
      </w:r>
      <w:r w:rsidRPr="00585A5D">
        <w:rPr>
          <w:rFonts w:ascii="Times New Roman" w:hAnsi="Times New Roman"/>
          <w:i/>
          <w:iCs/>
          <w:color w:val="000000"/>
          <w:sz w:val="24"/>
          <w:lang w:eastAsia="en-AU"/>
        </w:rPr>
        <w:t xml:space="preserve">. </w:t>
      </w:r>
    </w:p>
    <w:p w14:paraId="3BE0B6F6" w14:textId="2C4F2982" w:rsidR="000718BF" w:rsidRDefault="000718BF" w:rsidP="008E2855">
      <w:pPr>
        <w:autoSpaceDE w:val="0"/>
        <w:autoSpaceDN w:val="0"/>
        <w:adjustRightInd w:val="0"/>
        <w:spacing w:after="240"/>
        <w:ind w:left="567"/>
        <w:jc w:val="both"/>
        <w:rPr>
          <w:rFonts w:ascii="Times New Roman" w:hAnsi="Times New Roman"/>
          <w:color w:val="000000"/>
          <w:sz w:val="24"/>
          <w:lang w:eastAsia="en-AU"/>
        </w:rPr>
      </w:pPr>
      <w:proofErr w:type="gramStart"/>
      <w:r w:rsidRPr="008E2855">
        <w:rPr>
          <w:rFonts w:ascii="Times New Roman" w:hAnsi="Times New Roman"/>
          <w:b/>
          <w:i/>
          <w:color w:val="000000"/>
          <w:sz w:val="24"/>
          <w:lang w:eastAsia="en-AU"/>
        </w:rPr>
        <w:t>domestic</w:t>
      </w:r>
      <w:proofErr w:type="gramEnd"/>
      <w:r w:rsidRPr="008E2855">
        <w:rPr>
          <w:rFonts w:ascii="Times New Roman" w:hAnsi="Times New Roman"/>
          <w:b/>
          <w:i/>
          <w:color w:val="000000"/>
          <w:sz w:val="24"/>
          <w:lang w:eastAsia="en-AU"/>
        </w:rPr>
        <w:t xml:space="preserve"> books</w:t>
      </w:r>
      <w:r w:rsidRPr="000718BF">
        <w:rPr>
          <w:rFonts w:ascii="Times New Roman" w:hAnsi="Times New Roman"/>
          <w:color w:val="000000"/>
          <w:sz w:val="24"/>
          <w:lang w:eastAsia="en-AU"/>
        </w:rPr>
        <w:t xml:space="preserve"> </w:t>
      </w:r>
    </w:p>
    <w:p w14:paraId="0588A950" w14:textId="36D7D462" w:rsidR="000718BF" w:rsidRPr="008E2855" w:rsidRDefault="000718BF" w:rsidP="008E2855">
      <w:pPr>
        <w:autoSpaceDE w:val="0"/>
        <w:autoSpaceDN w:val="0"/>
        <w:adjustRightInd w:val="0"/>
        <w:spacing w:after="240"/>
        <w:ind w:left="567"/>
        <w:jc w:val="both"/>
        <w:rPr>
          <w:rFonts w:ascii="Times New Roman" w:hAnsi="Times New Roman"/>
          <w:color w:val="000000"/>
          <w:sz w:val="24"/>
          <w:lang w:eastAsia="en-AU"/>
        </w:rPr>
      </w:pPr>
      <w:r w:rsidRPr="008E2855">
        <w:rPr>
          <w:rFonts w:ascii="Times New Roman" w:hAnsi="Times New Roman"/>
          <w:color w:val="000000"/>
          <w:sz w:val="24"/>
          <w:lang w:eastAsia="en-AU"/>
        </w:rPr>
        <w:t>For an ADI:</w:t>
      </w:r>
    </w:p>
    <w:p w14:paraId="66D41EAD" w14:textId="77777777" w:rsidR="000718BF" w:rsidRPr="004B5DD5" w:rsidRDefault="000718BF" w:rsidP="00FC5D6F">
      <w:pPr>
        <w:autoSpaceDE w:val="0"/>
        <w:autoSpaceDN w:val="0"/>
        <w:adjustRightInd w:val="0"/>
        <w:spacing w:after="240"/>
        <w:ind w:left="1134"/>
        <w:jc w:val="both"/>
        <w:rPr>
          <w:rFonts w:ascii="Times New Roman" w:hAnsi="Times New Roman"/>
          <w:color w:val="000000"/>
          <w:sz w:val="24"/>
          <w:lang w:eastAsia="en-AU"/>
        </w:rPr>
      </w:pPr>
      <w:r w:rsidRPr="004B5DD5">
        <w:rPr>
          <w:rFonts w:ascii="Times New Roman" w:hAnsi="Times New Roman"/>
          <w:color w:val="000000"/>
          <w:sz w:val="24"/>
          <w:lang w:eastAsia="en-AU"/>
        </w:rPr>
        <w:lastRenderedPageBreak/>
        <w:t>Means an unconsolidated report of positions, transactions and other information recorded on the ADI’s Australian books, including transactions and positions with both residents and non-residents.</w:t>
      </w:r>
    </w:p>
    <w:p w14:paraId="77C4CEE2" w14:textId="77777777" w:rsidR="000718BF" w:rsidRPr="004B5DD5" w:rsidRDefault="000718BF" w:rsidP="008E2855">
      <w:pPr>
        <w:autoSpaceDE w:val="0"/>
        <w:autoSpaceDN w:val="0"/>
        <w:adjustRightInd w:val="0"/>
        <w:spacing w:after="240"/>
        <w:ind w:left="567"/>
        <w:jc w:val="both"/>
        <w:rPr>
          <w:rFonts w:ascii="Times New Roman" w:hAnsi="Times New Roman"/>
          <w:color w:val="000000"/>
          <w:sz w:val="24"/>
          <w:lang w:eastAsia="en-AU"/>
        </w:rPr>
      </w:pPr>
      <w:r w:rsidRPr="004B5DD5">
        <w:rPr>
          <w:rFonts w:ascii="Times New Roman" w:hAnsi="Times New Roman"/>
          <w:color w:val="000000"/>
          <w:sz w:val="24"/>
          <w:lang w:eastAsia="en-AU"/>
        </w:rPr>
        <w:t>For an RFC:</w:t>
      </w:r>
    </w:p>
    <w:p w14:paraId="5441B01B" w14:textId="77777777" w:rsidR="000718BF" w:rsidRPr="004B5DD5" w:rsidRDefault="000718BF" w:rsidP="00FC5D6F">
      <w:pPr>
        <w:autoSpaceDE w:val="0"/>
        <w:autoSpaceDN w:val="0"/>
        <w:adjustRightInd w:val="0"/>
        <w:spacing w:after="240"/>
        <w:ind w:left="1134"/>
        <w:jc w:val="both"/>
        <w:rPr>
          <w:rFonts w:ascii="Times New Roman" w:hAnsi="Times New Roman"/>
          <w:color w:val="000000"/>
          <w:sz w:val="24"/>
          <w:lang w:eastAsia="en-AU"/>
        </w:rPr>
      </w:pPr>
      <w:r w:rsidRPr="004B5DD5">
        <w:rPr>
          <w:rFonts w:ascii="Times New Roman" w:hAnsi="Times New Roman"/>
          <w:color w:val="000000"/>
          <w:sz w:val="24"/>
          <w:lang w:eastAsia="en-AU"/>
        </w:rPr>
        <w:t>Means an unconsolidated report of positions, transactions and other information recorded on the Australian books of the registered entity. Includes transactions and positions with both residents and non-residents that are recorded on the Australian books of these entities.</w:t>
      </w:r>
    </w:p>
    <w:p w14:paraId="770DED52" w14:textId="1C088026" w:rsidR="000718BF" w:rsidRPr="008E2855" w:rsidRDefault="000718BF" w:rsidP="00FC5D6F">
      <w:pPr>
        <w:autoSpaceDE w:val="0"/>
        <w:autoSpaceDN w:val="0"/>
        <w:adjustRightInd w:val="0"/>
        <w:spacing w:after="240"/>
        <w:ind w:left="1134"/>
        <w:jc w:val="both"/>
        <w:rPr>
          <w:rFonts w:ascii="Times New Roman" w:hAnsi="Times New Roman"/>
          <w:color w:val="000000"/>
          <w:sz w:val="24"/>
          <w:lang w:eastAsia="en-AU"/>
        </w:rPr>
      </w:pPr>
      <w:r w:rsidRPr="004B5DD5">
        <w:rPr>
          <w:rFonts w:ascii="Times New Roman" w:hAnsi="Times New Roman"/>
          <w:color w:val="000000"/>
          <w:sz w:val="24"/>
          <w:lang w:eastAsia="en-AU"/>
        </w:rPr>
        <w:t>In the case of a foreign</w:t>
      </w:r>
      <w:r w:rsidR="00547447" w:rsidRPr="004B5DD5">
        <w:rPr>
          <w:rFonts w:ascii="Times New Roman" w:hAnsi="Times New Roman"/>
          <w:color w:val="000000"/>
          <w:sz w:val="24"/>
          <w:lang w:eastAsia="en-AU"/>
        </w:rPr>
        <w:t>-</w:t>
      </w:r>
      <w:r w:rsidRPr="004B5DD5">
        <w:rPr>
          <w:rFonts w:ascii="Times New Roman" w:hAnsi="Times New Roman"/>
          <w:color w:val="000000"/>
          <w:sz w:val="24"/>
          <w:lang w:eastAsia="en-AU"/>
        </w:rPr>
        <w:t>based RFC (an RFC that does not have a physical presence in Australia)</w:t>
      </w:r>
      <w:r w:rsidR="00547447" w:rsidRPr="004B5DD5">
        <w:rPr>
          <w:rFonts w:ascii="Times New Roman" w:hAnsi="Times New Roman"/>
          <w:color w:val="000000"/>
          <w:sz w:val="24"/>
          <w:lang w:eastAsia="en-AU"/>
        </w:rPr>
        <w:t>,</w:t>
      </w:r>
      <w:r w:rsidRPr="004B5DD5">
        <w:rPr>
          <w:rFonts w:ascii="Times New Roman" w:hAnsi="Times New Roman"/>
          <w:color w:val="000000"/>
          <w:sz w:val="24"/>
          <w:lang w:eastAsia="en-AU"/>
        </w:rPr>
        <w:t xml:space="preserve"> </w:t>
      </w:r>
      <w:r w:rsidR="00D07900">
        <w:rPr>
          <w:rFonts w:ascii="Times New Roman" w:hAnsi="Times New Roman"/>
          <w:color w:val="000000"/>
          <w:sz w:val="24"/>
          <w:lang w:eastAsia="en-AU"/>
        </w:rPr>
        <w:t>‘</w:t>
      </w:r>
      <w:r w:rsidR="00D07900" w:rsidRPr="004B5DD5">
        <w:rPr>
          <w:rFonts w:ascii="Times New Roman" w:hAnsi="Times New Roman"/>
          <w:color w:val="000000"/>
          <w:sz w:val="24"/>
          <w:lang w:eastAsia="en-AU"/>
        </w:rPr>
        <w:t>domestic</w:t>
      </w:r>
      <w:r w:rsidRPr="004B5DD5">
        <w:rPr>
          <w:rFonts w:ascii="Times New Roman" w:hAnsi="Times New Roman"/>
          <w:color w:val="000000"/>
          <w:sz w:val="24"/>
          <w:lang w:eastAsia="en-AU"/>
        </w:rPr>
        <w:t xml:space="preserve"> books</w:t>
      </w:r>
      <w:r w:rsidR="00547447" w:rsidRPr="004B5DD5">
        <w:rPr>
          <w:rFonts w:ascii="Times New Roman" w:hAnsi="Times New Roman"/>
          <w:color w:val="000000"/>
          <w:sz w:val="24"/>
          <w:lang w:eastAsia="en-AU"/>
        </w:rPr>
        <w:t>’</w:t>
      </w:r>
      <w:r w:rsidRPr="004B5DD5">
        <w:rPr>
          <w:rFonts w:ascii="Times New Roman" w:hAnsi="Times New Roman"/>
          <w:color w:val="000000"/>
          <w:sz w:val="24"/>
          <w:lang w:eastAsia="en-AU"/>
        </w:rPr>
        <w:t xml:space="preserve"> refers to the books of that RFC which record the positions, transactions and other information relating to that entity’s business and assets located in Australia</w:t>
      </w:r>
    </w:p>
    <w:p w14:paraId="6C566A1B" w14:textId="0CBC9FE3" w:rsidR="000718BF" w:rsidRPr="008E2855" w:rsidRDefault="000718BF" w:rsidP="00FC5D6F">
      <w:pPr>
        <w:autoSpaceDE w:val="0"/>
        <w:autoSpaceDN w:val="0"/>
        <w:adjustRightInd w:val="0"/>
        <w:spacing w:after="240"/>
        <w:ind w:left="1134"/>
        <w:jc w:val="both"/>
        <w:rPr>
          <w:rFonts w:ascii="Times New Roman" w:hAnsi="Times New Roman"/>
          <w:color w:val="000000"/>
          <w:sz w:val="24"/>
          <w:lang w:eastAsia="en-AU"/>
        </w:rPr>
      </w:pPr>
      <w:r w:rsidRPr="004B5DD5">
        <w:rPr>
          <w:rFonts w:ascii="Times New Roman" w:hAnsi="Times New Roman"/>
          <w:color w:val="000000"/>
          <w:sz w:val="24"/>
          <w:lang w:eastAsia="en-AU"/>
        </w:rPr>
        <w:t>In general, do not consolidate positions,</w:t>
      </w:r>
      <w:r w:rsidRPr="008E2855">
        <w:rPr>
          <w:rFonts w:ascii="Times New Roman" w:hAnsi="Times New Roman"/>
          <w:color w:val="000000"/>
          <w:sz w:val="24"/>
          <w:lang w:eastAsia="en-AU"/>
        </w:rPr>
        <w:t xml:space="preserve"> transactions and other information recorded on the books of </w:t>
      </w:r>
      <w:r w:rsidR="006328EC" w:rsidRPr="00504E75">
        <w:rPr>
          <w:rFonts w:ascii="Times New Roman" w:hAnsi="Times New Roman"/>
          <w:b/>
          <w:i/>
          <w:color w:val="000000"/>
          <w:sz w:val="24"/>
          <w:lang w:eastAsia="en-AU"/>
        </w:rPr>
        <w:t>related bodies corporate</w:t>
      </w:r>
      <w:r w:rsidRPr="008E2855">
        <w:rPr>
          <w:rFonts w:ascii="Times New Roman" w:hAnsi="Times New Roman"/>
          <w:color w:val="000000"/>
          <w:sz w:val="24"/>
          <w:lang w:eastAsia="en-AU"/>
        </w:rPr>
        <w:t xml:space="preserve"> (such as subsidiaries, </w:t>
      </w:r>
      <w:r w:rsidR="004B5DD5">
        <w:rPr>
          <w:rFonts w:ascii="Times New Roman" w:hAnsi="Times New Roman"/>
          <w:color w:val="000000"/>
          <w:sz w:val="24"/>
          <w:lang w:eastAsia="en-AU"/>
        </w:rPr>
        <w:t>special purpose vehicles</w:t>
      </w:r>
      <w:r w:rsidRPr="008E2855">
        <w:rPr>
          <w:rFonts w:ascii="Times New Roman" w:hAnsi="Times New Roman"/>
          <w:color w:val="000000"/>
          <w:sz w:val="24"/>
          <w:lang w:eastAsia="en-AU"/>
        </w:rPr>
        <w:t xml:space="preserve"> or parent entities) and of overseas-based entities (e.g. overseas-based branches and offshore banking units (within the meaning of section 128AE of the </w:t>
      </w:r>
      <w:r w:rsidRPr="00077B48">
        <w:rPr>
          <w:rFonts w:ascii="Times New Roman" w:hAnsi="Times New Roman"/>
          <w:i/>
          <w:color w:val="000000"/>
          <w:sz w:val="24"/>
          <w:lang w:eastAsia="en-AU"/>
        </w:rPr>
        <w:t>Income Tax Assessment Act 1936</w:t>
      </w:r>
      <w:r w:rsidRPr="008E2855">
        <w:rPr>
          <w:rFonts w:ascii="Times New Roman" w:hAnsi="Times New Roman"/>
          <w:color w:val="000000"/>
          <w:sz w:val="24"/>
          <w:lang w:eastAsia="en-AU"/>
        </w:rPr>
        <w:t xml:space="preserve">). </w:t>
      </w:r>
    </w:p>
    <w:p w14:paraId="6A66D7BB" w14:textId="77777777" w:rsidR="000718BF" w:rsidRPr="008E2855" w:rsidRDefault="000718BF" w:rsidP="00FC5D6F">
      <w:pPr>
        <w:autoSpaceDE w:val="0"/>
        <w:autoSpaceDN w:val="0"/>
        <w:adjustRightInd w:val="0"/>
        <w:spacing w:after="240"/>
        <w:ind w:left="1134"/>
        <w:jc w:val="both"/>
        <w:rPr>
          <w:rFonts w:ascii="Times New Roman" w:hAnsi="Times New Roman"/>
          <w:color w:val="000000"/>
          <w:sz w:val="24"/>
          <w:lang w:eastAsia="en-AU"/>
        </w:rPr>
      </w:pPr>
      <w:r w:rsidRPr="008E2855">
        <w:rPr>
          <w:rFonts w:ascii="Times New Roman" w:hAnsi="Times New Roman"/>
          <w:color w:val="000000"/>
          <w:sz w:val="24"/>
          <w:lang w:eastAsia="en-AU"/>
        </w:rPr>
        <w:t xml:space="preserve">However, </w:t>
      </w:r>
      <w:r w:rsidRPr="004B5DD5">
        <w:rPr>
          <w:rFonts w:ascii="Times New Roman" w:hAnsi="Times New Roman"/>
          <w:color w:val="000000"/>
          <w:sz w:val="24"/>
          <w:lang w:eastAsia="en-AU"/>
        </w:rPr>
        <w:t>where an RFC elects to report on behalf of a group of RFCs, these entities are to be consolidated for reporting purposes.</w:t>
      </w:r>
      <w:r w:rsidRPr="008E2855">
        <w:rPr>
          <w:rFonts w:ascii="Times New Roman" w:hAnsi="Times New Roman"/>
          <w:color w:val="000000"/>
          <w:sz w:val="24"/>
          <w:lang w:eastAsia="en-AU"/>
        </w:rPr>
        <w:t xml:space="preserve"> </w:t>
      </w:r>
    </w:p>
    <w:p w14:paraId="2E2EBA7C" w14:textId="1E443AD6" w:rsidR="00CD3512" w:rsidRDefault="00CD3512" w:rsidP="000718BF">
      <w:pPr>
        <w:autoSpaceDE w:val="0"/>
        <w:autoSpaceDN w:val="0"/>
        <w:adjustRightInd w:val="0"/>
        <w:spacing w:after="240"/>
        <w:ind w:left="567"/>
        <w:jc w:val="both"/>
        <w:rPr>
          <w:rFonts w:ascii="Times New Roman" w:hAnsi="Times New Roman"/>
          <w:sz w:val="24"/>
          <w:szCs w:val="24"/>
        </w:rPr>
      </w:pPr>
      <w:proofErr w:type="gramStart"/>
      <w:r w:rsidRPr="00741521">
        <w:rPr>
          <w:rFonts w:ascii="Times New Roman" w:hAnsi="Times New Roman"/>
          <w:b/>
          <w:bCs/>
          <w:i/>
          <w:iCs/>
          <w:sz w:val="24"/>
          <w:szCs w:val="24"/>
        </w:rPr>
        <w:t>due</w:t>
      </w:r>
      <w:proofErr w:type="gramEnd"/>
      <w:r w:rsidRPr="00741521">
        <w:rPr>
          <w:rFonts w:ascii="Times New Roman" w:hAnsi="Times New Roman"/>
          <w:b/>
          <w:bCs/>
          <w:i/>
          <w:iCs/>
          <w:sz w:val="24"/>
          <w:szCs w:val="24"/>
        </w:rPr>
        <w:t xml:space="preserve"> date </w:t>
      </w:r>
      <w:r w:rsidRPr="00741521">
        <w:rPr>
          <w:rFonts w:ascii="Times New Roman" w:hAnsi="Times New Roman"/>
          <w:sz w:val="24"/>
          <w:szCs w:val="24"/>
        </w:rPr>
        <w:t xml:space="preserve">means the last day of the </w:t>
      </w:r>
      <w:r w:rsidR="004568B2">
        <w:rPr>
          <w:rFonts w:ascii="Times New Roman" w:hAnsi="Times New Roman"/>
          <w:sz w:val="24"/>
          <w:szCs w:val="24"/>
        </w:rPr>
        <w:t xml:space="preserve">3-month period </w:t>
      </w:r>
      <w:r w:rsidRPr="00741521">
        <w:rPr>
          <w:rFonts w:ascii="Times New Roman" w:hAnsi="Times New Roman"/>
          <w:sz w:val="24"/>
          <w:szCs w:val="24"/>
        </w:rPr>
        <w:t>provided for in paragraph</w:t>
      </w:r>
      <w:r w:rsidR="00805365" w:rsidRPr="00741521">
        <w:rPr>
          <w:rFonts w:ascii="Times New Roman" w:hAnsi="Times New Roman"/>
          <w:sz w:val="24"/>
          <w:szCs w:val="24"/>
        </w:rPr>
        <w:t> </w:t>
      </w:r>
      <w:r w:rsidR="00077B48">
        <w:rPr>
          <w:rFonts w:ascii="Times New Roman" w:hAnsi="Times New Roman"/>
          <w:sz w:val="24"/>
          <w:szCs w:val="24"/>
        </w:rPr>
        <w:fldChar w:fldCharType="begin"/>
      </w:r>
      <w:r w:rsidR="00077B48">
        <w:rPr>
          <w:rFonts w:ascii="Times New Roman" w:hAnsi="Times New Roman"/>
          <w:sz w:val="24"/>
          <w:szCs w:val="24"/>
        </w:rPr>
        <w:instrText xml:space="preserve"> REF _Ref489009245 \r \h </w:instrText>
      </w:r>
      <w:r w:rsidR="00077B48">
        <w:rPr>
          <w:rFonts w:ascii="Times New Roman" w:hAnsi="Times New Roman"/>
          <w:sz w:val="24"/>
          <w:szCs w:val="24"/>
        </w:rPr>
      </w:r>
      <w:r w:rsidR="00077B48">
        <w:rPr>
          <w:rFonts w:ascii="Times New Roman" w:hAnsi="Times New Roman"/>
          <w:sz w:val="24"/>
          <w:szCs w:val="24"/>
        </w:rPr>
        <w:fldChar w:fldCharType="separate"/>
      </w:r>
      <w:r w:rsidR="00C173A9">
        <w:rPr>
          <w:rFonts w:ascii="Times New Roman" w:hAnsi="Times New Roman"/>
          <w:sz w:val="24"/>
          <w:szCs w:val="24"/>
        </w:rPr>
        <w:t>10</w:t>
      </w:r>
      <w:r w:rsidR="00077B48">
        <w:rPr>
          <w:rFonts w:ascii="Times New Roman" w:hAnsi="Times New Roman"/>
          <w:sz w:val="24"/>
          <w:szCs w:val="24"/>
        </w:rPr>
        <w:fldChar w:fldCharType="end"/>
      </w:r>
      <w:r w:rsidRPr="00741521">
        <w:rPr>
          <w:rFonts w:ascii="Times New Roman" w:hAnsi="Times New Roman"/>
          <w:sz w:val="24"/>
          <w:szCs w:val="24"/>
        </w:rPr>
        <w:t>.</w:t>
      </w:r>
    </w:p>
    <w:p w14:paraId="2700A052" w14:textId="739A132F" w:rsidR="002B2507" w:rsidRPr="00077B48" w:rsidRDefault="002B2507" w:rsidP="000718BF">
      <w:pPr>
        <w:autoSpaceDE w:val="0"/>
        <w:autoSpaceDN w:val="0"/>
        <w:adjustRightInd w:val="0"/>
        <w:spacing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lang w:eastAsia="en-AU"/>
        </w:rPr>
      </w:pPr>
      <w:proofErr w:type="gramStart"/>
      <w:r w:rsidRPr="00077B48">
        <w:rPr>
          <w:rFonts w:ascii="Times New Roman" w:hAnsi="Times New Roman"/>
          <w:b/>
          <w:bCs/>
          <w:i/>
          <w:iCs/>
          <w:sz w:val="24"/>
          <w:szCs w:val="24"/>
        </w:rPr>
        <w:t>other</w:t>
      </w:r>
      <w:proofErr w:type="gramEnd"/>
      <w:r w:rsidRPr="00077B48">
        <w:rPr>
          <w:rFonts w:ascii="Times New Roman" w:hAnsi="Times New Roman"/>
          <w:b/>
          <w:bCs/>
          <w:i/>
          <w:iCs/>
          <w:sz w:val="24"/>
          <w:szCs w:val="24"/>
        </w:rPr>
        <w:t xml:space="preserve"> ADI</w:t>
      </w:r>
      <w:r>
        <w:t xml:space="preserve"> </w:t>
      </w:r>
      <w:r w:rsidRPr="00077B48">
        <w:rPr>
          <w:rFonts w:ascii="Times New Roman" w:hAnsi="Times New Roman"/>
          <w:bCs/>
          <w:iCs/>
          <w:color w:val="000000"/>
          <w:sz w:val="24"/>
          <w:lang w:eastAsia="en-AU"/>
        </w:rPr>
        <w:t xml:space="preserve">means an ADI that </w:t>
      </w:r>
      <w:r w:rsidRPr="00303287">
        <w:rPr>
          <w:rFonts w:ascii="Times New Roman" w:hAnsi="Times New Roman"/>
          <w:bCs/>
          <w:iCs/>
          <w:color w:val="000000"/>
          <w:sz w:val="24"/>
          <w:lang w:eastAsia="en-AU"/>
        </w:rPr>
        <w:t>is not an Australian-owned bank</w:t>
      </w:r>
      <w:r>
        <w:rPr>
          <w:rFonts w:ascii="Times New Roman" w:hAnsi="Times New Roman"/>
          <w:bCs/>
          <w:iCs/>
          <w:color w:val="000000"/>
          <w:sz w:val="24"/>
          <w:lang w:eastAsia="en-AU"/>
        </w:rPr>
        <w:t xml:space="preserve"> or</w:t>
      </w:r>
      <w:r w:rsidRPr="00077B48">
        <w:rPr>
          <w:rFonts w:ascii="Times New Roman" w:hAnsi="Times New Roman"/>
          <w:bCs/>
          <w:iCs/>
          <w:color w:val="000000"/>
          <w:sz w:val="24"/>
          <w:lang w:eastAsia="en-AU"/>
        </w:rPr>
        <w:t xml:space="preserve"> a foreign </w:t>
      </w:r>
      <w:r w:rsidR="0060218B">
        <w:rPr>
          <w:rFonts w:ascii="Times New Roman" w:hAnsi="Times New Roman"/>
          <w:bCs/>
          <w:iCs/>
          <w:color w:val="000000"/>
          <w:sz w:val="24"/>
          <w:lang w:eastAsia="en-AU"/>
        </w:rPr>
        <w:t>ADI</w:t>
      </w:r>
      <w:r w:rsidR="0027672D">
        <w:rPr>
          <w:rFonts w:ascii="Times New Roman" w:hAnsi="Times New Roman"/>
          <w:bCs/>
          <w:iCs/>
          <w:color w:val="000000"/>
          <w:sz w:val="24"/>
          <w:lang w:eastAsia="en-AU"/>
        </w:rPr>
        <w:t>.</w:t>
      </w:r>
    </w:p>
    <w:p w14:paraId="62377626" w14:textId="5DE627A8" w:rsidR="00861993" w:rsidRDefault="00861993" w:rsidP="00DA7964">
      <w:pPr>
        <w:ind w:left="567"/>
        <w:divId w:val="2133278216"/>
        <w:rPr>
          <w:rFonts w:ascii="Times New Roman" w:eastAsia="Times New Roman" w:hAnsi="Times New Roman"/>
          <w:i/>
          <w:iCs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i/>
          <w:iCs/>
          <w:sz w:val="24"/>
          <w:szCs w:val="24"/>
        </w:rPr>
        <w:t>r</w:t>
      </w:r>
      <w:r w:rsidRPr="00A90420">
        <w:rPr>
          <w:rFonts w:ascii="Times New Roman" w:eastAsia="Times New Roman" w:hAnsi="Times New Roman"/>
          <w:b/>
          <w:i/>
          <w:iCs/>
          <w:sz w:val="24"/>
          <w:szCs w:val="24"/>
        </w:rPr>
        <w:t>egistered</w:t>
      </w:r>
      <w:proofErr w:type="gramEnd"/>
      <w:r w:rsidRPr="00A90420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financial corporation (RFC)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m</w:t>
      </w:r>
      <w:r w:rsidRPr="00A90420">
        <w:rPr>
          <w:rFonts w:ascii="Times New Roman" w:eastAsia="Times New Roman" w:hAnsi="Times New Roman"/>
          <w:iCs/>
          <w:sz w:val="24"/>
          <w:szCs w:val="24"/>
        </w:rPr>
        <w:t xml:space="preserve">eans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a </w:t>
      </w:r>
      <w:r w:rsidRPr="00A90420">
        <w:rPr>
          <w:rFonts w:ascii="Times New Roman" w:eastAsia="Times New Roman" w:hAnsi="Times New Roman"/>
          <w:iCs/>
          <w:sz w:val="24"/>
          <w:szCs w:val="24"/>
        </w:rPr>
        <w:t xml:space="preserve">corporation that </w:t>
      </w:r>
      <w:r>
        <w:rPr>
          <w:rFonts w:ascii="Times New Roman" w:eastAsia="Times New Roman" w:hAnsi="Times New Roman"/>
          <w:iCs/>
          <w:sz w:val="24"/>
          <w:szCs w:val="24"/>
        </w:rPr>
        <w:t>is a</w:t>
      </w:r>
      <w:r w:rsidRPr="00A90420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27672D" w:rsidRPr="0027672D">
        <w:rPr>
          <w:rFonts w:ascii="Times New Roman" w:eastAsia="Times New Roman" w:hAnsi="Times New Roman"/>
          <w:iCs/>
          <w:sz w:val="24"/>
          <w:szCs w:val="24"/>
        </w:rPr>
        <w:t>‘</w:t>
      </w:r>
      <w:r w:rsidRPr="00024EB4">
        <w:rPr>
          <w:rFonts w:ascii="Times New Roman" w:eastAsia="Times New Roman" w:hAnsi="Times New Roman"/>
          <w:sz w:val="24"/>
          <w:szCs w:val="24"/>
        </w:rPr>
        <w:t>registered entity</w:t>
      </w:r>
      <w:r w:rsidR="0027672D" w:rsidRPr="00024EB4">
        <w:rPr>
          <w:rFonts w:ascii="Times New Roman" w:eastAsia="Times New Roman" w:hAnsi="Times New Roman"/>
          <w:sz w:val="24"/>
          <w:szCs w:val="24"/>
        </w:rPr>
        <w:t>’</w:t>
      </w:r>
      <w:r w:rsidRPr="00A90420">
        <w:rPr>
          <w:rFonts w:ascii="Times New Roman" w:eastAsia="Times New Roman" w:hAnsi="Times New Roman"/>
          <w:iCs/>
          <w:sz w:val="24"/>
          <w:szCs w:val="24"/>
        </w:rPr>
        <w:t xml:space="preserve"> under the </w:t>
      </w:r>
      <w:r w:rsidRPr="00A90420">
        <w:rPr>
          <w:rFonts w:ascii="Times New Roman" w:eastAsia="Times New Roman" w:hAnsi="Times New Roman"/>
          <w:i/>
          <w:iCs/>
          <w:sz w:val="24"/>
          <w:szCs w:val="24"/>
        </w:rPr>
        <w:t>Financial Sector (Collection of Data) Act 2001</w:t>
      </w:r>
      <w:r w:rsidR="0027672D">
        <w:rPr>
          <w:rFonts w:ascii="Times New Roman" w:eastAsia="Times New Roman" w:hAnsi="Times New Roman"/>
          <w:i/>
          <w:iCs/>
          <w:sz w:val="24"/>
          <w:szCs w:val="24"/>
        </w:rPr>
        <w:t>.</w:t>
      </w:r>
    </w:p>
    <w:p w14:paraId="5FA84C65" w14:textId="77777777" w:rsidR="000257F9" w:rsidRDefault="000257F9" w:rsidP="00DA7964">
      <w:pPr>
        <w:ind w:left="567"/>
        <w:divId w:val="2133278216"/>
        <w:rPr>
          <w:sz w:val="23"/>
          <w:szCs w:val="23"/>
        </w:rPr>
      </w:pPr>
    </w:p>
    <w:p w14:paraId="418AC356" w14:textId="77777777" w:rsidR="00C6787A" w:rsidRPr="00BA3B6F" w:rsidRDefault="00C6787A">
      <w:pPr>
        <w:shd w:val="clear" w:color="auto" w:fill="FFFFFF"/>
        <w:spacing w:after="240"/>
        <w:ind w:left="567"/>
        <w:jc w:val="both"/>
        <w:divId w:val="2133278216"/>
        <w:rPr>
          <w:rFonts w:ascii="Times New Roman" w:eastAsia="Times New Roman" w:hAnsi="Times New Roman"/>
          <w:iCs/>
          <w:sz w:val="24"/>
          <w:szCs w:val="24"/>
        </w:rPr>
      </w:pPr>
      <w:proofErr w:type="gramStart"/>
      <w:r w:rsidRPr="00BA3B6F">
        <w:rPr>
          <w:rFonts w:ascii="Times New Roman" w:eastAsia="Times New Roman" w:hAnsi="Times New Roman"/>
          <w:b/>
          <w:i/>
          <w:iCs/>
          <w:sz w:val="24"/>
          <w:szCs w:val="24"/>
        </w:rPr>
        <w:t>related</w:t>
      </w:r>
      <w:proofErr w:type="gramEnd"/>
      <w:r w:rsidRPr="00BA3B6F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body corporate</w:t>
      </w:r>
      <w:r w:rsidRPr="00BA3B6F">
        <w:rPr>
          <w:rFonts w:ascii="Times New Roman" w:eastAsia="Times New Roman" w:hAnsi="Times New Roman"/>
          <w:iCs/>
          <w:sz w:val="24"/>
          <w:szCs w:val="24"/>
        </w:rPr>
        <w:t xml:space="preserve"> has the meaning given in section 50 of the </w:t>
      </w:r>
      <w:r w:rsidRPr="00077B48">
        <w:rPr>
          <w:rFonts w:ascii="Times New Roman" w:eastAsia="Times New Roman" w:hAnsi="Times New Roman"/>
          <w:i/>
          <w:iCs/>
          <w:sz w:val="24"/>
          <w:szCs w:val="24"/>
        </w:rPr>
        <w:t>Corporations Act 2001</w:t>
      </w:r>
      <w:r w:rsidRPr="00BA3B6F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4BD6C58A" w14:textId="79DB70F7" w:rsidR="00CD0FEE" w:rsidRPr="005B1F67" w:rsidRDefault="00CD3512" w:rsidP="00CD0FEE">
      <w:pPr>
        <w:shd w:val="clear" w:color="auto" w:fill="FFFFFF"/>
        <w:spacing w:after="240"/>
        <w:ind w:left="567"/>
        <w:jc w:val="both"/>
        <w:rPr>
          <w:rFonts w:ascii="Times New Roman" w:eastAsia="Times New Roman" w:hAnsi="Times New Roman"/>
          <w:iCs/>
          <w:sz w:val="24"/>
          <w:szCs w:val="24"/>
          <w:lang w:eastAsia="en-AU"/>
        </w:rPr>
      </w:pPr>
      <w:proofErr w:type="gramStart"/>
      <w:r w:rsidRPr="0060218B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GB" w:eastAsia="en-AU"/>
        </w:rPr>
        <w:t>reporting</w:t>
      </w:r>
      <w:proofErr w:type="gramEnd"/>
      <w:r w:rsidRPr="0060218B">
        <w:rPr>
          <w:rFonts w:ascii="Times New Roman" w:eastAsia="Times New Roman" w:hAnsi="Times New Roman"/>
          <w:b/>
          <w:bCs/>
          <w:i/>
          <w:iCs/>
          <w:sz w:val="24"/>
          <w:szCs w:val="24"/>
          <w:lang w:val="en-GB" w:eastAsia="en-AU"/>
        </w:rPr>
        <w:t xml:space="preserve"> perio</w:t>
      </w:r>
      <w:r w:rsidRPr="008234C1">
        <w:rPr>
          <w:rFonts w:ascii="Times New Roman" w:eastAsia="Times New Roman" w:hAnsi="Times New Roman"/>
          <w:b/>
          <w:i/>
          <w:sz w:val="24"/>
          <w:szCs w:val="24"/>
          <w:lang w:val="en-GB" w:eastAsia="en-AU"/>
        </w:rPr>
        <w:t>d</w:t>
      </w:r>
      <w:r w:rsidRPr="008234C1">
        <w:rPr>
          <w:rFonts w:ascii="Times New Roman" w:eastAsia="Times New Roman" w:hAnsi="Times New Roman"/>
          <w:sz w:val="24"/>
          <w:szCs w:val="24"/>
          <w:lang w:val="en-GB" w:eastAsia="en-AU"/>
        </w:rPr>
        <w:t xml:space="preserve"> </w:t>
      </w:r>
      <w:r w:rsidRPr="00AC2122">
        <w:rPr>
          <w:rFonts w:ascii="Times New Roman" w:eastAsia="Times New Roman" w:hAnsi="Times New Roman"/>
          <w:sz w:val="24"/>
          <w:lang w:val="en-GB" w:eastAsia="en-AU"/>
        </w:rPr>
        <w:t xml:space="preserve">means a </w:t>
      </w:r>
      <w:r w:rsidR="00BD0849" w:rsidRPr="00AC2122">
        <w:rPr>
          <w:rFonts w:ascii="Times New Roman" w:eastAsia="Times New Roman" w:hAnsi="Times New Roman"/>
          <w:sz w:val="24"/>
          <w:lang w:val="en-GB" w:eastAsia="en-AU"/>
        </w:rPr>
        <w:t>period mentioned</w:t>
      </w:r>
      <w:r w:rsidRPr="00AC2122">
        <w:rPr>
          <w:rFonts w:ascii="Times New Roman" w:eastAsia="Times New Roman" w:hAnsi="Times New Roman"/>
          <w:sz w:val="24"/>
          <w:lang w:val="en-GB" w:eastAsia="en-AU"/>
        </w:rPr>
        <w:t xml:space="preserve"> in </w:t>
      </w:r>
      <w:r w:rsidRPr="00077B48">
        <w:rPr>
          <w:rFonts w:ascii="Times New Roman" w:eastAsia="Times New Roman" w:hAnsi="Times New Roman"/>
          <w:sz w:val="24"/>
          <w:lang w:val="en-GB" w:eastAsia="en-AU"/>
        </w:rPr>
        <w:t>paragraph</w:t>
      </w:r>
      <w:r w:rsidR="00805365" w:rsidRPr="00077B48">
        <w:rPr>
          <w:rFonts w:ascii="Times New Roman" w:eastAsia="Times New Roman" w:hAnsi="Times New Roman"/>
          <w:sz w:val="24"/>
          <w:lang w:val="en-GB" w:eastAsia="en-AU"/>
        </w:rPr>
        <w:t> </w:t>
      </w:r>
      <w:r w:rsidR="0027672D">
        <w:rPr>
          <w:rFonts w:ascii="Times New Roman" w:eastAsia="Times New Roman" w:hAnsi="Times New Roman"/>
          <w:sz w:val="24"/>
          <w:lang w:val="en-GB" w:eastAsia="en-AU"/>
        </w:rPr>
        <w:t>9</w:t>
      </w:r>
      <w:r w:rsidR="00F70466">
        <w:rPr>
          <w:rFonts w:ascii="Times New Roman" w:eastAsia="Times New Roman" w:hAnsi="Times New Roman"/>
          <w:sz w:val="24"/>
          <w:lang w:val="en-GB" w:eastAsia="en-AU"/>
        </w:rPr>
        <w:t xml:space="preserve"> or, if applicable, paragraph 11</w:t>
      </w:r>
      <w:r w:rsidR="0027672D">
        <w:rPr>
          <w:rFonts w:ascii="Times New Roman" w:eastAsia="Times New Roman" w:hAnsi="Times New Roman"/>
          <w:sz w:val="24"/>
          <w:lang w:val="en-GB" w:eastAsia="en-AU"/>
        </w:rPr>
        <w:t>.</w:t>
      </w:r>
    </w:p>
    <w:p w14:paraId="09652CD5" w14:textId="4A6EFB52" w:rsidR="00CD0FEE" w:rsidRPr="005B1F67" w:rsidRDefault="00CD0FEE" w:rsidP="005B1F67">
      <w:pPr>
        <w:numPr>
          <w:ilvl w:val="0"/>
          <w:numId w:val="2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  <w:lang w:eastAsia="en-AU"/>
        </w:rPr>
      </w:pPr>
      <w:r w:rsidRPr="005B1F67">
        <w:rPr>
          <w:rFonts w:ascii="Times New Roman" w:eastAsia="Times New Roman" w:hAnsi="Times New Roman"/>
          <w:iCs/>
          <w:sz w:val="24"/>
          <w:szCs w:val="24"/>
          <w:lang w:eastAsia="en-AU"/>
        </w:rPr>
        <w:lastRenderedPageBreak/>
        <w:t xml:space="preserve">Unless the contrary intention appears, </w:t>
      </w:r>
      <w:r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any </w:t>
      </w:r>
      <w:r w:rsidR="002F5766" w:rsidRPr="00223117">
        <w:rPr>
          <w:rFonts w:ascii="Times New Roman" w:eastAsia="Times New Roman" w:hAnsi="Times New Roman"/>
          <w:iCs/>
          <w:sz w:val="24"/>
          <w:szCs w:val="24"/>
          <w:lang w:eastAsia="en-AU"/>
        </w:rPr>
        <w:t>reference</w:t>
      </w:r>
      <w:r w:rsidRPr="005B1F67"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 to </w:t>
      </w:r>
      <w:r w:rsidR="002F5766">
        <w:rPr>
          <w:rFonts w:ascii="Times New Roman" w:eastAsia="Times New Roman" w:hAnsi="Times New Roman"/>
          <w:iCs/>
          <w:sz w:val="24"/>
          <w:szCs w:val="24"/>
          <w:lang w:eastAsia="en-AU"/>
        </w:rPr>
        <w:t>an A</w:t>
      </w:r>
      <w:r w:rsidRPr="005B1F67">
        <w:rPr>
          <w:rFonts w:ascii="Times New Roman" w:eastAsia="Times New Roman" w:hAnsi="Times New Roman"/>
          <w:iCs/>
          <w:sz w:val="24"/>
          <w:szCs w:val="24"/>
          <w:lang w:eastAsia="en-AU"/>
        </w:rPr>
        <w:t>ct, Prudential Standard,</w:t>
      </w:r>
      <w:r w:rsidR="0068548A"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 Reporting Standard,</w:t>
      </w:r>
      <w:r w:rsidRPr="005B1F67"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 Australian Acc</w:t>
      </w:r>
      <w:r w:rsidR="0068548A" w:rsidRPr="00223117"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ounting </w:t>
      </w:r>
      <w:r w:rsidR="0068548A">
        <w:rPr>
          <w:rFonts w:ascii="Times New Roman" w:eastAsia="Times New Roman" w:hAnsi="Times New Roman"/>
          <w:iCs/>
          <w:sz w:val="24"/>
          <w:szCs w:val="24"/>
          <w:lang w:eastAsia="en-AU"/>
        </w:rPr>
        <w:t>or</w:t>
      </w:r>
      <w:r w:rsidRPr="005B1F67"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 Auditing Standard</w:t>
      </w:r>
      <w:r w:rsidR="00C95531"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 (including related guidance)</w:t>
      </w:r>
      <w:r w:rsidRPr="005B1F67"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 </w:t>
      </w:r>
      <w:r w:rsidR="00223117">
        <w:rPr>
          <w:rFonts w:ascii="Times New Roman" w:eastAsia="Times New Roman" w:hAnsi="Times New Roman"/>
          <w:iCs/>
          <w:sz w:val="24"/>
          <w:szCs w:val="24"/>
          <w:lang w:eastAsia="en-AU"/>
        </w:rPr>
        <w:t>is</w:t>
      </w:r>
      <w:r w:rsidRPr="005B1F67"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 </w:t>
      </w:r>
      <w:r w:rsidR="00223117"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a </w:t>
      </w:r>
      <w:r w:rsidR="00223117" w:rsidRPr="00223117">
        <w:rPr>
          <w:rFonts w:ascii="Times New Roman" w:eastAsia="Times New Roman" w:hAnsi="Times New Roman"/>
          <w:iCs/>
          <w:sz w:val="24"/>
          <w:szCs w:val="24"/>
          <w:lang w:eastAsia="en-AU"/>
        </w:rPr>
        <w:t>reference</w:t>
      </w:r>
      <w:r w:rsidRPr="005B1F67"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 to th</w:t>
      </w:r>
      <w:r w:rsidR="00223117" w:rsidRPr="00223117">
        <w:rPr>
          <w:rFonts w:ascii="Times New Roman" w:eastAsia="Times New Roman" w:hAnsi="Times New Roman"/>
          <w:iCs/>
          <w:sz w:val="24"/>
          <w:szCs w:val="24"/>
          <w:lang w:eastAsia="en-AU"/>
        </w:rPr>
        <w:t>e instrument</w:t>
      </w:r>
      <w:r w:rsidRPr="005B1F67"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  <w:lang w:eastAsia="en-AU"/>
        </w:rPr>
        <w:t>as</w:t>
      </w:r>
      <w:r w:rsidRPr="005B1F67"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 in force or </w:t>
      </w:r>
      <w:r w:rsidR="002F5766">
        <w:rPr>
          <w:rFonts w:ascii="Times New Roman" w:eastAsia="Times New Roman" w:hAnsi="Times New Roman"/>
          <w:iCs/>
          <w:sz w:val="24"/>
          <w:szCs w:val="24"/>
          <w:lang w:eastAsia="en-AU"/>
        </w:rPr>
        <w:t>existing</w:t>
      </w:r>
      <w:r w:rsidRPr="005B1F67">
        <w:rPr>
          <w:rFonts w:ascii="Times New Roman" w:eastAsia="Times New Roman" w:hAnsi="Times New Roman"/>
          <w:iCs/>
          <w:sz w:val="24"/>
          <w:szCs w:val="24"/>
          <w:lang w:eastAsia="en-AU"/>
        </w:rPr>
        <w:t xml:space="preserve"> from time to time. </w:t>
      </w:r>
    </w:p>
    <w:p w14:paraId="67AF847E" w14:textId="77777777" w:rsidR="004568B2" w:rsidRPr="005B1F67" w:rsidRDefault="004568B2" w:rsidP="00C6787A">
      <w:pPr>
        <w:shd w:val="clear" w:color="auto" w:fill="FFFFFF"/>
        <w:spacing w:after="240"/>
        <w:ind w:left="567"/>
        <w:jc w:val="both"/>
        <w:rPr>
          <w:rFonts w:ascii="Times New Roman" w:eastAsia="Times New Roman" w:hAnsi="Times New Roman"/>
          <w:iCs/>
          <w:lang w:val="en-GB" w:eastAsia="en-AU"/>
        </w:rPr>
      </w:pPr>
    </w:p>
    <w:p w14:paraId="537AC0FF" w14:textId="77777777" w:rsidR="00465FC1" w:rsidRPr="00C6787A" w:rsidRDefault="00465FC1" w:rsidP="00C6787A">
      <w:pPr>
        <w:shd w:val="clear" w:color="auto" w:fill="FFFFFF"/>
        <w:spacing w:after="240"/>
        <w:ind w:left="567"/>
        <w:jc w:val="both"/>
        <w:rPr>
          <w:rFonts w:ascii="Times New Roman" w:eastAsia="Times New Roman" w:hAnsi="Times New Roman"/>
          <w:i/>
          <w:iCs/>
          <w:lang w:val="en-GB" w:eastAsia="en-AU"/>
        </w:rPr>
      </w:pPr>
    </w:p>
    <w:p w14:paraId="274ACDB5" w14:textId="77777777" w:rsidR="00277F90" w:rsidRPr="00C6787A" w:rsidRDefault="00465FC1" w:rsidP="00C6787A">
      <w:pPr>
        <w:shd w:val="clear" w:color="auto" w:fill="FFFFFF"/>
        <w:spacing w:after="240"/>
        <w:ind w:left="567"/>
        <w:jc w:val="both"/>
        <w:rPr>
          <w:rFonts w:ascii="Times New Roman" w:eastAsia="Times New Roman" w:hAnsi="Times New Roman"/>
          <w:i/>
          <w:iCs/>
          <w:lang w:val="en-GB" w:eastAsia="en-AU"/>
        </w:rPr>
      </w:pPr>
      <w:r w:rsidRPr="00C6787A">
        <w:rPr>
          <w:rFonts w:ascii="Times New Roman" w:eastAsia="Times New Roman" w:hAnsi="Times New Roman"/>
          <w:i/>
          <w:iCs/>
          <w:lang w:val="en-GB" w:eastAsia="en-AU"/>
        </w:rPr>
        <w:t xml:space="preserve"> </w:t>
      </w:r>
    </w:p>
    <w:p w14:paraId="64DCE269" w14:textId="77777777" w:rsidR="00AF103C" w:rsidRPr="00C6787A" w:rsidRDefault="00AF103C" w:rsidP="00C6787A">
      <w:pPr>
        <w:shd w:val="clear" w:color="auto" w:fill="FFFFFF"/>
        <w:spacing w:after="240"/>
        <w:ind w:left="567"/>
        <w:jc w:val="both"/>
        <w:rPr>
          <w:rFonts w:ascii="Times New Roman" w:eastAsia="Times New Roman" w:hAnsi="Times New Roman"/>
          <w:i/>
          <w:iCs/>
          <w:lang w:val="en-GB" w:eastAsia="en-AU"/>
        </w:rPr>
        <w:sectPr w:rsidR="00AF103C" w:rsidRPr="00C6787A" w:rsidSect="00827642">
          <w:headerReference w:type="default" r:id="rId16"/>
          <w:footerReference w:type="default" r:id="rId17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7B56FC" w:rsidRPr="00C6787A" w14:paraId="050D2EF8" w14:textId="77777777" w:rsidTr="009F5DB1">
        <w:trPr>
          <w:trHeight w:val="300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p w14:paraId="4412171B" w14:textId="58995DBA" w:rsidR="007B56FC" w:rsidRPr="00C6787A" w:rsidRDefault="007B56FC" w:rsidP="004F315C">
            <w:pPr>
              <w:pStyle w:val="D2Aform"/>
              <w:ind w:left="284"/>
              <w:jc w:val="center"/>
              <w:rPr>
                <w:rFonts w:ascii="Times New Roman" w:hAnsi="Times New Roman"/>
                <w:lang w:val="en-GB"/>
              </w:rPr>
            </w:pPr>
            <w:r w:rsidRPr="004F315C">
              <w:rPr>
                <w:b/>
                <w:sz w:val="32"/>
                <w:szCs w:val="32"/>
              </w:rPr>
              <w:lastRenderedPageBreak/>
              <w:t xml:space="preserve">ARF_750_0: DAWR </w:t>
            </w:r>
            <w:r w:rsidR="004375EA" w:rsidRPr="004F315C">
              <w:rPr>
                <w:b/>
                <w:sz w:val="32"/>
                <w:szCs w:val="32"/>
              </w:rPr>
              <w:t>Agricultural Lending</w:t>
            </w:r>
          </w:p>
        </w:tc>
      </w:tr>
    </w:tbl>
    <w:p w14:paraId="65CF907F" w14:textId="77777777" w:rsidR="007B56FC" w:rsidRPr="00C6787A" w:rsidRDefault="007B56FC" w:rsidP="00C6787A">
      <w:pPr>
        <w:shd w:val="clear" w:color="auto" w:fill="FFFFFF"/>
        <w:spacing w:after="240"/>
        <w:ind w:left="567"/>
        <w:jc w:val="both"/>
        <w:rPr>
          <w:rFonts w:ascii="Times New Roman" w:eastAsia="Times New Roman" w:hAnsi="Times New Roman"/>
          <w:lang w:val="en-GB" w:eastAsia="en-AU"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7B56FC" w:rsidRPr="00C6787A" w14:paraId="70A25523" w14:textId="77777777" w:rsidTr="009F5DB1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E73F03" w14:textId="77777777" w:rsidR="007B56FC" w:rsidRPr="00C6787A" w:rsidRDefault="007B56FC" w:rsidP="004F315C">
            <w:pPr>
              <w:keepNext/>
              <w:keepLines/>
              <w:spacing w:before="120" w:after="240"/>
              <w:jc w:val="both"/>
              <w:outlineLvl w:val="2"/>
              <w:rPr>
                <w:rFonts w:ascii="Times New Roman" w:eastAsia="Times New Roman" w:hAnsi="Times New Roman"/>
                <w:lang w:val="en-GB" w:eastAsia="en-AU"/>
              </w:rPr>
            </w:pPr>
            <w:r w:rsidRPr="004F315C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val="x-none"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0693EFD" w14:textId="77777777" w:rsidR="007B56FC" w:rsidRPr="00C6787A" w:rsidRDefault="007B56FC" w:rsidP="004F315C">
            <w:pPr>
              <w:keepNext/>
              <w:keepLines/>
              <w:spacing w:before="120" w:after="240"/>
              <w:jc w:val="both"/>
              <w:outlineLvl w:val="2"/>
              <w:rPr>
                <w:rFonts w:ascii="Times New Roman" w:eastAsia="Times New Roman" w:hAnsi="Times New Roman"/>
                <w:lang w:val="en-GB" w:eastAsia="en-AU"/>
              </w:rPr>
            </w:pPr>
            <w:r w:rsidRPr="004F315C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val="x-none"/>
              </w:rPr>
              <w:t>Institution Name</w:t>
            </w:r>
          </w:p>
        </w:tc>
      </w:tr>
      <w:tr w:rsidR="007B56FC" w:rsidRPr="00C6787A" w14:paraId="118C0AEA" w14:textId="77777777" w:rsidTr="004F315C">
        <w:trPr>
          <w:trHeight w:val="351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A908C4" w14:textId="77777777" w:rsidR="007B56FC" w:rsidRPr="004F315C" w:rsidRDefault="007B56FC" w:rsidP="004F315C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21427" w14:textId="77777777" w:rsidR="007B56FC" w:rsidRPr="004F315C" w:rsidRDefault="007B56FC" w:rsidP="004F315C">
            <w:pPr>
              <w:pStyle w:val="D2Aform"/>
            </w:pPr>
          </w:p>
        </w:tc>
      </w:tr>
      <w:tr w:rsidR="007B56FC" w:rsidRPr="00C6787A" w14:paraId="79EC0235" w14:textId="77777777" w:rsidTr="009F5DB1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48B7851" w14:textId="77777777" w:rsidR="007B56FC" w:rsidRPr="00C6787A" w:rsidRDefault="007B56FC" w:rsidP="004F315C">
            <w:pPr>
              <w:keepNext/>
              <w:keepLines/>
              <w:spacing w:before="120" w:after="240"/>
              <w:jc w:val="both"/>
              <w:outlineLvl w:val="2"/>
              <w:rPr>
                <w:rFonts w:ascii="Times New Roman" w:eastAsia="Times New Roman" w:hAnsi="Times New Roman"/>
                <w:lang w:val="en-GB" w:eastAsia="en-AU"/>
              </w:rPr>
            </w:pPr>
            <w:r w:rsidRPr="004F315C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val="x-none"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59395F1" w14:textId="77777777" w:rsidR="007B56FC" w:rsidRPr="00C6787A" w:rsidRDefault="007B56FC" w:rsidP="004F315C">
            <w:pPr>
              <w:keepNext/>
              <w:keepLines/>
              <w:spacing w:before="120" w:after="240"/>
              <w:jc w:val="both"/>
              <w:outlineLvl w:val="2"/>
              <w:rPr>
                <w:rFonts w:ascii="Times New Roman" w:eastAsia="Times New Roman" w:hAnsi="Times New Roman"/>
                <w:lang w:val="en-GB" w:eastAsia="en-AU"/>
              </w:rPr>
            </w:pPr>
            <w:r w:rsidRPr="004F315C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val="x-none"/>
              </w:rPr>
              <w:t>Scale Factor</w:t>
            </w:r>
          </w:p>
        </w:tc>
      </w:tr>
      <w:tr w:rsidR="007B56FC" w:rsidRPr="00C6787A" w14:paraId="250CD95A" w14:textId="77777777" w:rsidTr="009F5DB1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DAC47" w14:textId="77777777" w:rsidR="007B56FC" w:rsidRPr="004F315C" w:rsidRDefault="007B56FC" w:rsidP="004F315C">
            <w:pPr>
              <w:pStyle w:val="D2Aform"/>
            </w:pPr>
            <w:r w:rsidRPr="004F315C">
              <w:t>Annual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D49F3" w14:textId="2F05B19E" w:rsidR="00537034" w:rsidRPr="008E2855" w:rsidRDefault="00537034" w:rsidP="00537034">
            <w:pPr>
              <w:pStyle w:val="Default"/>
              <w:rPr>
                <w:rFonts w:ascii="Arial" w:eastAsia="Times New Roman" w:hAnsi="Arial" w:cs="Arial"/>
                <w:color w:val="auto"/>
                <w:sz w:val="22"/>
                <w:szCs w:val="22"/>
              </w:rPr>
            </w:pPr>
            <w:r w:rsidRPr="008E2855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 xml:space="preserve">Banks - millions of dollars to 3 decimal places </w:t>
            </w:r>
          </w:p>
          <w:p w14:paraId="036717E8" w14:textId="3CB42F90" w:rsidR="007B56FC" w:rsidRPr="004F315C" w:rsidRDefault="00E127F3" w:rsidP="00E127F3">
            <w:pPr>
              <w:pStyle w:val="D2Aform"/>
            </w:pPr>
            <w:r>
              <w:t xml:space="preserve">Other </w:t>
            </w:r>
            <w:r w:rsidR="00537034">
              <w:t>ADI</w:t>
            </w:r>
            <w:r>
              <w:t>s</w:t>
            </w:r>
            <w:r w:rsidR="00537034">
              <w:t xml:space="preserve"> and RFCs - thousands of dollars </w:t>
            </w:r>
          </w:p>
        </w:tc>
      </w:tr>
      <w:tr w:rsidR="007B56FC" w:rsidRPr="00C6787A" w14:paraId="04367B50" w14:textId="77777777" w:rsidTr="009F5DB1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78FB22C4" w14:textId="77777777" w:rsidR="007B56FC" w:rsidRPr="00C6787A" w:rsidRDefault="007B56FC" w:rsidP="004F315C">
            <w:pPr>
              <w:keepNext/>
              <w:keepLines/>
              <w:spacing w:before="120" w:after="240"/>
              <w:jc w:val="both"/>
              <w:outlineLvl w:val="2"/>
              <w:rPr>
                <w:rFonts w:ascii="Helvetica Neue" w:eastAsia="Times New Roman" w:hAnsi="Helvetica Neue"/>
                <w:sz w:val="19"/>
                <w:szCs w:val="19"/>
                <w:lang w:val="en-GB" w:eastAsia="en-AU"/>
              </w:rPr>
            </w:pPr>
            <w:r w:rsidRPr="004F315C">
              <w:rPr>
                <w:rFonts w:ascii="Arial" w:eastAsia="Times New Roman" w:hAnsi="Arial"/>
                <w:b/>
                <w:bCs/>
                <w:color w:val="000000"/>
                <w:sz w:val="24"/>
                <w:szCs w:val="24"/>
                <w:lang w:val="x-none"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5571A792" w14:textId="77777777" w:rsidR="007B56FC" w:rsidRPr="00C6787A" w:rsidRDefault="007B56FC" w:rsidP="00C6787A">
            <w:pPr>
              <w:shd w:val="clear" w:color="auto" w:fill="FFFFFF"/>
              <w:spacing w:after="240"/>
              <w:ind w:left="567"/>
              <w:jc w:val="both"/>
              <w:rPr>
                <w:rFonts w:ascii="Helvetica Neue" w:eastAsia="Times New Roman" w:hAnsi="Helvetica Neue"/>
                <w:sz w:val="19"/>
                <w:szCs w:val="19"/>
                <w:lang w:val="en-GB" w:eastAsia="en-AU"/>
              </w:rPr>
            </w:pPr>
          </w:p>
        </w:tc>
      </w:tr>
      <w:tr w:rsidR="007B56FC" w:rsidRPr="00C6787A" w14:paraId="1E899AFD" w14:textId="77777777" w:rsidTr="009F5DB1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5556C" w14:textId="4FA6998B" w:rsidR="007B56FC" w:rsidRPr="004F315C" w:rsidRDefault="009624D7" w:rsidP="0019763B">
            <w:pPr>
              <w:pStyle w:val="D2Aform"/>
            </w:pPr>
            <w:r w:rsidRPr="004F315C">
              <w:t>Domestic books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684AF443" w14:textId="77777777" w:rsidR="007B56FC" w:rsidRPr="004F315C" w:rsidRDefault="007B56FC" w:rsidP="004F315C">
            <w:pPr>
              <w:pStyle w:val="D2Aform"/>
            </w:pPr>
          </w:p>
        </w:tc>
      </w:tr>
    </w:tbl>
    <w:p w14:paraId="200B9DED" w14:textId="77777777" w:rsidR="007B56FC" w:rsidRPr="00C6787A" w:rsidRDefault="007B56FC" w:rsidP="00C6787A">
      <w:pPr>
        <w:shd w:val="clear" w:color="auto" w:fill="FFFFFF"/>
        <w:spacing w:after="240"/>
        <w:ind w:left="567"/>
        <w:jc w:val="both"/>
        <w:rPr>
          <w:rFonts w:ascii="Helvetica Neue" w:eastAsia="Times New Roman" w:hAnsi="Helvetica Neue"/>
          <w:sz w:val="19"/>
          <w:szCs w:val="19"/>
          <w:lang w:val="en-GB"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7B56FC" w:rsidRPr="00C6787A" w14:paraId="02FD7766" w14:textId="77777777" w:rsidTr="009F5DB1">
        <w:tc>
          <w:tcPr>
            <w:tcW w:w="8789" w:type="dxa"/>
          </w:tcPr>
          <w:p w14:paraId="78B6418B" w14:textId="6B748D9E" w:rsidR="007B56FC" w:rsidRPr="00C6787A" w:rsidRDefault="007B56FC" w:rsidP="00077B48">
            <w:pPr>
              <w:pStyle w:val="D2Aform"/>
              <w:numPr>
                <w:ilvl w:val="0"/>
                <w:numId w:val="5"/>
              </w:numPr>
              <w:rPr>
                <w:rFonts w:ascii="Helvetica Neue" w:hAnsi="Helvetica Neue"/>
                <w:sz w:val="19"/>
                <w:szCs w:val="19"/>
                <w:lang w:val="en-GB"/>
              </w:rPr>
            </w:pPr>
            <w:r w:rsidRPr="004F315C">
              <w:rPr>
                <w:b/>
              </w:rPr>
              <w:t xml:space="preserve">Agricultural </w:t>
            </w:r>
            <w:r w:rsidR="00EA40A5" w:rsidRPr="004F315C">
              <w:rPr>
                <w:b/>
              </w:rPr>
              <w:t>activity</w:t>
            </w:r>
            <w:r w:rsidRPr="004F315C">
              <w:rPr>
                <w:b/>
              </w:rPr>
              <w:t xml:space="preserve"> by state and territory</w:t>
            </w:r>
          </w:p>
        </w:tc>
      </w:tr>
    </w:tbl>
    <w:p w14:paraId="50DA27F2" w14:textId="77777777" w:rsidR="007B56FC" w:rsidRPr="00C6787A" w:rsidRDefault="007B56FC" w:rsidP="00C6787A">
      <w:pPr>
        <w:shd w:val="clear" w:color="auto" w:fill="FFFFFF"/>
        <w:spacing w:after="240"/>
        <w:ind w:left="567"/>
        <w:jc w:val="both"/>
        <w:rPr>
          <w:rFonts w:ascii="Helvetica Neue" w:eastAsia="Times New Roman" w:hAnsi="Helvetica Neue"/>
          <w:sz w:val="19"/>
          <w:szCs w:val="19"/>
          <w:lang w:val="en-GB" w:eastAsia="en-AU"/>
        </w:rPr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82"/>
        <w:gridCol w:w="1985"/>
        <w:gridCol w:w="1985"/>
        <w:gridCol w:w="1985"/>
        <w:gridCol w:w="1985"/>
        <w:gridCol w:w="1985"/>
        <w:gridCol w:w="1985"/>
      </w:tblGrid>
      <w:tr w:rsidR="007B56FC" w:rsidRPr="007B56FC" w14:paraId="7AD22A6C" w14:textId="77777777" w:rsidTr="003423AE">
        <w:trPr>
          <w:trHeight w:val="317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B48FB" w14:textId="77777777" w:rsidR="007B56FC" w:rsidRPr="00C6787A" w:rsidRDefault="007B56FC" w:rsidP="00245B0F">
            <w:pPr>
              <w:jc w:val="center"/>
              <w:rPr>
                <w:rFonts w:ascii="Helvetica Neue" w:eastAsia="Times New Roman" w:hAnsi="Helvetica Neue"/>
                <w:sz w:val="19"/>
                <w:szCs w:val="19"/>
                <w:lang w:val="en-GB" w:eastAsia="en-AU"/>
              </w:rPr>
            </w:pPr>
            <w:r w:rsidRPr="00245B0F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State/territory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B9C66" w14:textId="679174F0" w:rsidR="007B56FC" w:rsidRPr="00C6787A" w:rsidRDefault="007B56FC" w:rsidP="00245B0F">
            <w:pPr>
              <w:jc w:val="center"/>
              <w:rPr>
                <w:rFonts w:ascii="Helvetica Neue" w:eastAsia="Times New Roman" w:hAnsi="Helvetica Neue"/>
                <w:sz w:val="19"/>
                <w:szCs w:val="19"/>
                <w:lang w:val="en-GB" w:eastAsia="en-AU"/>
              </w:rPr>
            </w:pPr>
            <w:r w:rsidRPr="00245B0F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Industry </w:t>
            </w:r>
            <w:r w:rsidR="00654E02" w:rsidRPr="00245B0F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05BDF60" w14:textId="0D28F29F" w:rsidR="007B56FC" w:rsidRPr="00C6787A" w:rsidRDefault="007B56FC" w:rsidP="00245B0F">
            <w:pPr>
              <w:jc w:val="center"/>
              <w:rPr>
                <w:rFonts w:ascii="Helvetica Neue" w:eastAsia="Times New Roman" w:hAnsi="Helvetica Neue"/>
                <w:sz w:val="19"/>
                <w:szCs w:val="19"/>
                <w:lang w:val="en-GB" w:eastAsia="en-AU"/>
              </w:rPr>
            </w:pPr>
            <w:r w:rsidRPr="00245B0F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Total </w:t>
            </w:r>
            <w:r w:rsidR="00345CFF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credit outstanding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F955C69" w14:textId="78EA1EE6" w:rsidR="007B56FC" w:rsidRPr="00C6787A" w:rsidRDefault="007B56FC" w:rsidP="00245B0F">
            <w:pPr>
              <w:jc w:val="center"/>
              <w:rPr>
                <w:rFonts w:ascii="Helvetica Neue" w:eastAsia="Times New Roman" w:hAnsi="Helvetica Neue"/>
                <w:sz w:val="19"/>
                <w:szCs w:val="19"/>
                <w:lang w:val="en-GB" w:eastAsia="en-AU"/>
              </w:rPr>
            </w:pPr>
            <w:r w:rsidRPr="00245B0F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Total </w:t>
            </w:r>
            <w:r w:rsidR="00CD6009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credit limits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0070F9E" w14:textId="42564D5A" w:rsidR="007B56FC" w:rsidRPr="00245B0F" w:rsidRDefault="007B56FC" w:rsidP="00875AD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245B0F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Total value of loans </w:t>
            </w:r>
            <w:r w:rsidR="00DF0B3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&gt; </w:t>
            </w:r>
            <w:r w:rsidRPr="00245B0F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90 days past due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EF1AAF" w14:textId="28417637" w:rsidR="007B56FC" w:rsidRPr="00245B0F" w:rsidRDefault="007B56FC" w:rsidP="00875AD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245B0F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Total number of borrowers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4DF6FD6" w14:textId="5EDB89A2" w:rsidR="007B56FC" w:rsidRPr="007B56FC" w:rsidRDefault="007B56FC" w:rsidP="00DF0B34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245B0F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Total number of borrowers </w:t>
            </w:r>
            <w:r w:rsidR="00DF0B34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&gt; </w:t>
            </w: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90 days past due</w:t>
            </w:r>
          </w:p>
        </w:tc>
      </w:tr>
      <w:tr w:rsidR="007B56FC" w:rsidRPr="007B56FC" w14:paraId="07BC63A8" w14:textId="77777777" w:rsidTr="0060218B">
        <w:trPr>
          <w:trHeight w:val="317"/>
        </w:trPr>
        <w:tc>
          <w:tcPr>
            <w:tcW w:w="19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26E96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96C59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E75EA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8E54D9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59BD35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(5)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BC72D1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(6)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658DB096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(7)</w:t>
            </w:r>
          </w:p>
        </w:tc>
      </w:tr>
      <w:tr w:rsidR="007B56FC" w:rsidRPr="007B56FC" w14:paraId="7955AD5F" w14:textId="77777777" w:rsidTr="009F5DB1">
        <w:trPr>
          <w:trHeight w:val="317"/>
        </w:trPr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7CC7E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CDAE9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6EE04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F355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4E298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C5851D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905D3C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05EE59A6" w14:textId="77777777" w:rsidTr="009F5DB1">
        <w:trPr>
          <w:trHeight w:val="317"/>
        </w:trPr>
        <w:tc>
          <w:tcPr>
            <w:tcW w:w="1841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6E908F9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  <w:tc>
          <w:tcPr>
            <w:tcW w:w="1843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50A3537" w14:textId="77777777" w:rsidR="007B56FC" w:rsidRPr="007B56FC" w:rsidRDefault="007B56F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Beef cattle</w:t>
            </w:r>
          </w:p>
        </w:tc>
        <w:tc>
          <w:tcPr>
            <w:tcW w:w="1843" w:type="dxa"/>
            <w:tcBorders>
              <w:top w:val="single" w:sz="4" w:space="0" w:color="auto"/>
              <w:left w:val="dotDash" w:sz="4" w:space="0" w:color="auto"/>
            </w:tcBorders>
            <w:vAlign w:val="bottom"/>
          </w:tcPr>
          <w:p w14:paraId="43A84304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14:paraId="291FC799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14:paraId="4338F593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31DCB2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bottom"/>
          </w:tcPr>
          <w:p w14:paraId="42EC7FC4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C0129C" w:rsidRPr="007B56FC" w14:paraId="0FD235D1" w14:textId="77777777" w:rsidTr="003423AE">
        <w:trPr>
          <w:trHeight w:val="317"/>
        </w:trPr>
        <w:tc>
          <w:tcPr>
            <w:tcW w:w="19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3F1E7CF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256B403" w14:textId="3E14CEDF" w:rsidR="00C0129C" w:rsidRPr="007B56FC" w:rsidRDefault="00C0129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Sheep and sheep-beef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23449954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19BAF4E0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3450E22F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1E01F061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4B6F81C5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C0129C" w:rsidRPr="007B56FC" w14:paraId="7FC593A3" w14:textId="77777777" w:rsidTr="003423AE">
        <w:trPr>
          <w:trHeight w:val="317"/>
        </w:trPr>
        <w:tc>
          <w:tcPr>
            <w:tcW w:w="19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E673ED6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9E25C27" w14:textId="0F849A95" w:rsidR="00C0129C" w:rsidRPr="007B56FC" w:rsidRDefault="00C0129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Pigs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6BF617C9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5AFB6F22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7AE34197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7B5840AD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3B632C0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C0129C" w:rsidRPr="007B56FC" w14:paraId="7AE82642" w14:textId="77777777" w:rsidTr="003423AE">
        <w:trPr>
          <w:trHeight w:val="317"/>
        </w:trPr>
        <w:tc>
          <w:tcPr>
            <w:tcW w:w="19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9BDD4A4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SA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2937E4E" w14:textId="6D2AFB1A" w:rsidR="00C0129C" w:rsidRPr="007B56FC" w:rsidRDefault="00C0129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Dairy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4F61514C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6378BE14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2A20ED91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4C46A785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4D957CF8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C0129C" w:rsidRPr="007B56FC" w14:paraId="5EA8F17C" w14:textId="77777777" w:rsidTr="003423AE">
        <w:trPr>
          <w:trHeight w:val="317"/>
        </w:trPr>
        <w:tc>
          <w:tcPr>
            <w:tcW w:w="19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710AEF5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WA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614C5F2" w14:textId="24EFFE65" w:rsidR="00C0129C" w:rsidRPr="007B56FC" w:rsidRDefault="00C0129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Poultry (meat and eggs)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35FA9FB2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6ACD2DC7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5C621B62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3AC1749D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2AA38819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C0129C" w:rsidRPr="007B56FC" w14:paraId="67A83D3B" w14:textId="77777777" w:rsidTr="003423AE">
        <w:trPr>
          <w:trHeight w:val="317"/>
        </w:trPr>
        <w:tc>
          <w:tcPr>
            <w:tcW w:w="19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2450A0D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TAS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D9F4CB1" w14:textId="25FF3C8A" w:rsidR="00C0129C" w:rsidRPr="007B56FC" w:rsidRDefault="00C0129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Other livestock (horses, deer, beekeeping, other livestock)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634E1670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45BFB582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66A30880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178A1342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27118F03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C0129C" w:rsidRPr="007B56FC" w14:paraId="33797862" w14:textId="77777777" w:rsidTr="003423AE">
        <w:trPr>
          <w:trHeight w:val="317"/>
        </w:trPr>
        <w:tc>
          <w:tcPr>
            <w:tcW w:w="19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C41E3CA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ACT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6CC90AD" w14:textId="4BC2376C" w:rsidR="00C0129C" w:rsidRPr="007B56FC" w:rsidRDefault="00C0129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Grain growing and mixed grains-livestock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30D723F3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488AF8B8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167483B6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0EEDA0EE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4D438CB2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C0129C" w:rsidRPr="007B56FC" w14:paraId="60508C63" w14:textId="77777777" w:rsidTr="003423AE">
        <w:trPr>
          <w:trHeight w:val="317"/>
        </w:trPr>
        <w:tc>
          <w:tcPr>
            <w:tcW w:w="19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60C1AC5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NT</w:t>
            </w: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96BE93C" w14:textId="74D51A66" w:rsidR="00C0129C" w:rsidRPr="007B56FC" w:rsidRDefault="00C0129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n-AU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Cotton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2BDF6B54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352548C3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7265331C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2F66A3F2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FAC4E9D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C0129C" w:rsidRPr="007B56FC" w14:paraId="5939CFEE" w14:textId="77777777" w:rsidTr="003423AE">
        <w:trPr>
          <w:trHeight w:val="317"/>
        </w:trPr>
        <w:tc>
          <w:tcPr>
            <w:tcW w:w="1982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D26AA61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F62FABF" w14:textId="2E62B809" w:rsidR="00C0129C" w:rsidRPr="007B56FC" w:rsidRDefault="00C0129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Sugar cane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333A2B02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5990B95A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2023926E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0FB54C8C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39464E62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C0129C" w:rsidRPr="007B56FC" w14:paraId="0A289216" w14:textId="77777777" w:rsidTr="003423AE">
        <w:trPr>
          <w:trHeight w:val="317"/>
        </w:trPr>
        <w:tc>
          <w:tcPr>
            <w:tcW w:w="198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9EABE7F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D9ACA3A" w14:textId="1C3B0A36" w:rsidR="00C0129C" w:rsidRPr="007B56FC" w:rsidRDefault="00C0129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Vegetables (incl. mushrooms)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164D06D6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240C0B92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7D24B2FB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03F34A50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27768DBF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C0129C" w:rsidRPr="007B56FC" w14:paraId="57195409" w14:textId="77777777" w:rsidTr="003423AE">
        <w:trPr>
          <w:trHeight w:val="317"/>
        </w:trPr>
        <w:tc>
          <w:tcPr>
            <w:tcW w:w="198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1790439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AA3DB52" w14:textId="41FAFB2C" w:rsidR="00C0129C" w:rsidRPr="007B56FC" w:rsidRDefault="00C0129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Grape growing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6B219FBE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3FA3CC1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31F96DFD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48FD4D63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388EBDEF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C0129C" w:rsidRPr="007B56FC" w14:paraId="2C5C959C" w14:textId="77777777" w:rsidTr="003423AE">
        <w:trPr>
          <w:trHeight w:val="317"/>
        </w:trPr>
        <w:tc>
          <w:tcPr>
            <w:tcW w:w="198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1B9D1CA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0B1D0CE" w14:textId="548290B6" w:rsidR="00C0129C" w:rsidRPr="007B56FC" w:rsidRDefault="00C0129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Fruit and nuts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50A43EF0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480F4E56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E3D0838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5671110D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4AA80F37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C0129C" w:rsidRPr="007B56FC" w14:paraId="1708C84B" w14:textId="77777777" w:rsidTr="003423AE">
        <w:trPr>
          <w:trHeight w:val="317"/>
        </w:trPr>
        <w:tc>
          <w:tcPr>
            <w:tcW w:w="198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6E45956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1442603" w14:textId="2FF68C21" w:rsidR="00C0129C" w:rsidRPr="007B56FC" w:rsidRDefault="00C0129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Nursery and floriculture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1E731EFA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41782726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3982BDD6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67B99D32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56D07AED" w14:textId="77777777" w:rsidR="00C0129C" w:rsidRPr="007B56FC" w:rsidRDefault="00C0129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0218B" w:rsidRPr="007B56FC" w14:paraId="6753B21E" w14:textId="77777777" w:rsidTr="00292E7F">
        <w:trPr>
          <w:trHeight w:val="317"/>
        </w:trPr>
        <w:tc>
          <w:tcPr>
            <w:tcW w:w="198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6F891D4" w14:textId="77777777" w:rsidR="0060218B" w:rsidRPr="007B56FC" w:rsidRDefault="0060218B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Merge w:val="restart"/>
            <w:tcBorders>
              <w:top w:val="dotDash" w:sz="4" w:space="0" w:color="auto"/>
              <w:left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8FF4EC7" w14:textId="1CED9B76" w:rsidR="0060218B" w:rsidRPr="007B56FC" w:rsidRDefault="0060218B" w:rsidP="005B1F67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B56FC">
              <w:rPr>
                <w:rFonts w:ascii="Arial" w:hAnsi="Arial" w:cs="Arial"/>
                <w:color w:val="000000"/>
                <w:sz w:val="20"/>
                <w:szCs w:val="20"/>
              </w:rPr>
              <w:t>Other crop growing</w:t>
            </w: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057DFD31" w14:textId="77777777" w:rsidR="0060218B" w:rsidRPr="007B56FC" w:rsidRDefault="0060218B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4D66EC8F" w14:textId="77777777" w:rsidR="0060218B" w:rsidRPr="007B56FC" w:rsidRDefault="0060218B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08E06CA" w14:textId="77777777" w:rsidR="0060218B" w:rsidRPr="007B56FC" w:rsidRDefault="0060218B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63A728E1" w14:textId="77777777" w:rsidR="0060218B" w:rsidRPr="007B56FC" w:rsidRDefault="0060218B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1ED8341B" w14:textId="77777777" w:rsidR="0060218B" w:rsidRPr="007B56FC" w:rsidRDefault="0060218B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60218B" w:rsidRPr="007B56FC" w14:paraId="6EA7A92C" w14:textId="77777777" w:rsidTr="004B5DD5">
        <w:trPr>
          <w:trHeight w:val="80"/>
        </w:trPr>
        <w:tc>
          <w:tcPr>
            <w:tcW w:w="198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0E51F97" w14:textId="77777777" w:rsidR="0060218B" w:rsidRPr="007B56FC" w:rsidRDefault="0060218B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Merge/>
            <w:tcBorders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0F98C8B" w14:textId="286C3237" w:rsidR="0060218B" w:rsidRPr="007B56FC" w:rsidRDefault="0060218B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dotDash" w:sz="4" w:space="0" w:color="auto"/>
            </w:tcBorders>
            <w:vAlign w:val="bottom"/>
          </w:tcPr>
          <w:p w14:paraId="40917C2D" w14:textId="77777777" w:rsidR="0060218B" w:rsidRPr="007B56FC" w:rsidRDefault="0060218B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28558F5C" w14:textId="77777777" w:rsidR="0060218B" w:rsidRPr="007B56FC" w:rsidRDefault="0060218B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75697B0F" w14:textId="77777777" w:rsidR="0060218B" w:rsidRPr="007B56FC" w:rsidRDefault="0060218B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shd w:val="clear" w:color="auto" w:fill="auto"/>
            <w:vAlign w:val="bottom"/>
          </w:tcPr>
          <w:p w14:paraId="6AA2E8F4" w14:textId="77777777" w:rsidR="0060218B" w:rsidRPr="007B56FC" w:rsidRDefault="0060218B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vAlign w:val="bottom"/>
          </w:tcPr>
          <w:p w14:paraId="06CFD83F" w14:textId="77777777" w:rsidR="0060218B" w:rsidRPr="007B56FC" w:rsidRDefault="0060218B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</w:tbl>
    <w:p w14:paraId="3111F758" w14:textId="77777777" w:rsidR="007B56FC" w:rsidRPr="007B56FC" w:rsidRDefault="007B56FC" w:rsidP="007B56FC"/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82"/>
        <w:gridCol w:w="1985"/>
        <w:gridCol w:w="1985"/>
        <w:gridCol w:w="1985"/>
        <w:gridCol w:w="1985"/>
        <w:gridCol w:w="1985"/>
        <w:gridCol w:w="1985"/>
      </w:tblGrid>
      <w:tr w:rsidR="007B56FC" w:rsidRPr="007B56FC" w14:paraId="2C6D284E" w14:textId="77777777" w:rsidTr="009F5DB1">
        <w:trPr>
          <w:trHeight w:val="317"/>
        </w:trPr>
        <w:tc>
          <w:tcPr>
            <w:tcW w:w="1982" w:type="dxa"/>
            <w:shd w:val="clear" w:color="auto" w:fill="auto"/>
            <w:noWrap/>
            <w:vAlign w:val="bottom"/>
          </w:tcPr>
          <w:p w14:paraId="194AB646" w14:textId="77777777" w:rsidR="007B56FC" w:rsidRPr="007B56FC" w:rsidRDefault="007B56FC" w:rsidP="00077B48">
            <w:pPr>
              <w:numPr>
                <w:ilvl w:val="1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Total NSW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F63F5" w14:textId="77777777" w:rsidR="007B56FC" w:rsidRPr="007B56FC" w:rsidRDefault="007B56F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4EAA79D" w14:textId="4ABEBCD1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92D044F" w14:textId="75E9AD6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3F0B0F1C" w14:textId="7537D93C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264F78CB" w14:textId="51CC885E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51D9D27F" w14:textId="408E40C2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</w:pPr>
          </w:p>
        </w:tc>
      </w:tr>
      <w:tr w:rsidR="007B56FC" w:rsidRPr="007B56FC" w14:paraId="5036CA72" w14:textId="77777777" w:rsidTr="009F5DB1">
        <w:trPr>
          <w:trHeight w:val="317"/>
        </w:trPr>
        <w:tc>
          <w:tcPr>
            <w:tcW w:w="1841" w:type="dxa"/>
            <w:shd w:val="clear" w:color="auto" w:fill="auto"/>
            <w:noWrap/>
            <w:vAlign w:val="bottom"/>
          </w:tcPr>
          <w:p w14:paraId="72B00DD4" w14:textId="77777777" w:rsidR="007B56FC" w:rsidRPr="007B56FC" w:rsidRDefault="007B56FC" w:rsidP="00077B48">
            <w:pPr>
              <w:numPr>
                <w:ilvl w:val="1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Total VIC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F6185" w14:textId="77777777" w:rsidR="007B56FC" w:rsidRPr="007B56FC" w:rsidRDefault="007B56F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41D0D8C" w14:textId="08BE3C3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9D92B7" w14:textId="4D46F1CD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D127509" w14:textId="2CBB94DF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820AC2B" w14:textId="600C3236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879B58D" w14:textId="2BA2FA52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2660FAAD" w14:textId="77777777" w:rsidTr="009F5DB1">
        <w:trPr>
          <w:trHeight w:val="317"/>
        </w:trPr>
        <w:tc>
          <w:tcPr>
            <w:tcW w:w="1982" w:type="dxa"/>
            <w:shd w:val="clear" w:color="auto" w:fill="auto"/>
            <w:noWrap/>
            <w:vAlign w:val="bottom"/>
          </w:tcPr>
          <w:p w14:paraId="61016AA7" w14:textId="77777777" w:rsidR="007B56FC" w:rsidRPr="007B56FC" w:rsidRDefault="007B56FC" w:rsidP="00077B48">
            <w:pPr>
              <w:numPr>
                <w:ilvl w:val="1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Total QLD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57072" w14:textId="77777777" w:rsidR="007B56FC" w:rsidRPr="007B56FC" w:rsidRDefault="007B56F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4978ED8" w14:textId="29532701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54FCE9C" w14:textId="78B94EB5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B5FDDC" w14:textId="7033A43B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DD88377" w14:textId="21570D73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6383BF5" w14:textId="42225124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7BE522C9" w14:textId="77777777" w:rsidTr="009F5DB1">
        <w:trPr>
          <w:trHeight w:val="317"/>
        </w:trPr>
        <w:tc>
          <w:tcPr>
            <w:tcW w:w="1982" w:type="dxa"/>
            <w:shd w:val="clear" w:color="auto" w:fill="auto"/>
            <w:noWrap/>
            <w:vAlign w:val="bottom"/>
          </w:tcPr>
          <w:p w14:paraId="717D7C10" w14:textId="77777777" w:rsidR="007B56FC" w:rsidRPr="007B56FC" w:rsidRDefault="007B56FC" w:rsidP="00077B48">
            <w:pPr>
              <w:numPr>
                <w:ilvl w:val="1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Total SA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D5B02" w14:textId="77777777" w:rsidR="007B56FC" w:rsidRPr="007B56FC" w:rsidRDefault="007B56F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9695CD3" w14:textId="7AAC25DB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A1B09A8" w14:textId="7A3A8BA3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A4E4760" w14:textId="4A0C08E9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8150372" w14:textId="188F5579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931F087" w14:textId="57046B6C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49E6F892" w14:textId="77777777" w:rsidTr="009F5DB1">
        <w:trPr>
          <w:trHeight w:val="317"/>
        </w:trPr>
        <w:tc>
          <w:tcPr>
            <w:tcW w:w="1982" w:type="dxa"/>
            <w:shd w:val="clear" w:color="auto" w:fill="auto"/>
            <w:noWrap/>
            <w:vAlign w:val="bottom"/>
          </w:tcPr>
          <w:p w14:paraId="20747E9E" w14:textId="77777777" w:rsidR="007B56FC" w:rsidRPr="007B56FC" w:rsidRDefault="007B56FC" w:rsidP="00077B48">
            <w:pPr>
              <w:numPr>
                <w:ilvl w:val="1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Total WA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A4825" w14:textId="77777777" w:rsidR="007B56FC" w:rsidRPr="007B56FC" w:rsidRDefault="007B56F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11E77A0" w14:textId="31460282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8E01A33" w14:textId="65E83900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85A1800" w14:textId="334100C8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357B368" w14:textId="1C635D10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68A7CEA" w14:textId="5517F795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115CC040" w14:textId="77777777" w:rsidTr="009F5DB1">
        <w:trPr>
          <w:trHeight w:val="317"/>
        </w:trPr>
        <w:tc>
          <w:tcPr>
            <w:tcW w:w="1982" w:type="dxa"/>
            <w:shd w:val="clear" w:color="auto" w:fill="auto"/>
            <w:noWrap/>
            <w:vAlign w:val="bottom"/>
          </w:tcPr>
          <w:p w14:paraId="3CDAD188" w14:textId="77777777" w:rsidR="007B56FC" w:rsidRPr="007B56FC" w:rsidRDefault="007B56FC" w:rsidP="00077B48">
            <w:pPr>
              <w:numPr>
                <w:ilvl w:val="1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Total TAS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515BD" w14:textId="77777777" w:rsidR="007B56FC" w:rsidRPr="007B56FC" w:rsidRDefault="007B56F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53FCA81" w14:textId="0BFB1453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B487E59" w14:textId="044E838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723DABF" w14:textId="153135C4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58BB6FD" w14:textId="03FC7523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BF7ED71" w14:textId="26647A26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21622998" w14:textId="77777777" w:rsidTr="009F5DB1">
        <w:trPr>
          <w:trHeight w:val="317"/>
        </w:trPr>
        <w:tc>
          <w:tcPr>
            <w:tcW w:w="1982" w:type="dxa"/>
            <w:shd w:val="clear" w:color="auto" w:fill="auto"/>
            <w:noWrap/>
            <w:vAlign w:val="bottom"/>
          </w:tcPr>
          <w:p w14:paraId="2E481392" w14:textId="77777777" w:rsidR="007B56FC" w:rsidRPr="007B56FC" w:rsidRDefault="007B56FC" w:rsidP="00077B48">
            <w:pPr>
              <w:numPr>
                <w:ilvl w:val="1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Total ACT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383FC" w14:textId="77777777" w:rsidR="007B56FC" w:rsidRPr="007B56FC" w:rsidRDefault="007B56F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38B1A03" w14:textId="54A3566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A71B929" w14:textId="49B5B481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7D92C18" w14:textId="576E2669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7D522A" w14:textId="5506C995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FC5C6A3" w14:textId="7BC66C3B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350930E9" w14:textId="77777777" w:rsidTr="009F5DB1">
        <w:trPr>
          <w:trHeight w:val="317"/>
        </w:trPr>
        <w:tc>
          <w:tcPr>
            <w:tcW w:w="1982" w:type="dxa"/>
            <w:shd w:val="clear" w:color="auto" w:fill="auto"/>
            <w:noWrap/>
            <w:vAlign w:val="bottom"/>
          </w:tcPr>
          <w:p w14:paraId="4DE26B02" w14:textId="77777777" w:rsidR="007B56FC" w:rsidRPr="007B56FC" w:rsidRDefault="007B56FC" w:rsidP="00077B48">
            <w:pPr>
              <w:numPr>
                <w:ilvl w:val="1"/>
                <w:numId w:val="5"/>
              </w:numPr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Total NT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00DD0" w14:textId="77777777" w:rsidR="007B56FC" w:rsidRPr="007B56FC" w:rsidRDefault="007B56FC" w:rsidP="007B56F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88E8F20" w14:textId="00F3B0FC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601578B2" w14:textId="45729DE4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2C42CBB" w14:textId="02C2B9B8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AF4D7F4" w14:textId="73519F90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E0D7333" w14:textId="2FC5B4D5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3CA63C20" w14:textId="77777777" w:rsidR="007B56FC" w:rsidRPr="007B56FC" w:rsidRDefault="007B56FC" w:rsidP="007B56FC">
      <w:pPr>
        <w:rPr>
          <w:rFonts w:ascii="Arial" w:eastAsia="Times New Roman" w:hAnsi="Arial" w:cs="Arial"/>
          <w:lang w:eastAsia="en-AU"/>
        </w:rPr>
      </w:pPr>
    </w:p>
    <w:p w14:paraId="3679B6F8" w14:textId="5965B875" w:rsidR="007B56FC" w:rsidRPr="007B56FC" w:rsidRDefault="007B56FC" w:rsidP="007B56FC">
      <w:pPr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7B56FC" w:rsidRPr="007B56FC" w14:paraId="55314EAF" w14:textId="77777777" w:rsidTr="009F5DB1">
        <w:tc>
          <w:tcPr>
            <w:tcW w:w="8789" w:type="dxa"/>
          </w:tcPr>
          <w:p w14:paraId="766D2BAC" w14:textId="77777777" w:rsidR="007B56FC" w:rsidRPr="007B56FC" w:rsidRDefault="007B56FC" w:rsidP="00077B48">
            <w:pPr>
              <w:keepNext/>
              <w:numPr>
                <w:ilvl w:val="0"/>
                <w:numId w:val="5"/>
              </w:numPr>
              <w:rPr>
                <w:rFonts w:ascii="Arial" w:eastAsia="Times New Roman" w:hAnsi="Arial" w:cs="Arial"/>
                <w:b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lang w:eastAsia="en-AU"/>
              </w:rPr>
              <w:t>Distress by state and territory</w:t>
            </w:r>
          </w:p>
        </w:tc>
      </w:tr>
    </w:tbl>
    <w:p w14:paraId="5FA46A50" w14:textId="77777777" w:rsidR="007B56FC" w:rsidRPr="007B56FC" w:rsidRDefault="007B56FC" w:rsidP="00796F39">
      <w:pPr>
        <w:keepNext/>
        <w:rPr>
          <w:rFonts w:ascii="Arial" w:eastAsia="Times New Roman" w:hAnsi="Arial" w:cs="Arial"/>
          <w:lang w:eastAsia="en-AU"/>
        </w:rPr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72"/>
        <w:gridCol w:w="3474"/>
        <w:gridCol w:w="3473"/>
        <w:gridCol w:w="3473"/>
      </w:tblGrid>
      <w:tr w:rsidR="007B56FC" w:rsidRPr="007B56FC" w14:paraId="1AD28704" w14:textId="77777777" w:rsidTr="009F5DB1">
        <w:trPr>
          <w:trHeight w:val="317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F57A1" w14:textId="77777777" w:rsidR="007B56FC" w:rsidRPr="007B56FC" w:rsidRDefault="007B56FC" w:rsidP="00796F39">
            <w:pPr>
              <w:keepNext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State/territory</w:t>
            </w:r>
          </w:p>
        </w:tc>
        <w:tc>
          <w:tcPr>
            <w:tcW w:w="463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189CA" w14:textId="77777777" w:rsidR="007B56FC" w:rsidRPr="007B56FC" w:rsidRDefault="007B56FC" w:rsidP="00796F39">
            <w:pPr>
              <w:keepNext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Number of new instances of farm debt mediation</w:t>
            </w: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8AFDD1B" w14:textId="48B05045" w:rsidR="007B56FC" w:rsidRPr="007B56FC" w:rsidRDefault="007B56FC" w:rsidP="00796F39">
            <w:pPr>
              <w:keepNext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Total </w:t>
            </w:r>
            <w:r w:rsidR="00345CFF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credit outstanding</w:t>
            </w: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 xml:space="preserve"> of new foreclosures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21CA9" w14:textId="77777777" w:rsidR="007B56FC" w:rsidRPr="007B56FC" w:rsidRDefault="007B56FC" w:rsidP="00796F39">
            <w:pPr>
              <w:keepNext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Number of new foreclosures</w:t>
            </w:r>
          </w:p>
        </w:tc>
      </w:tr>
      <w:tr w:rsidR="007B56FC" w:rsidRPr="007B56FC" w14:paraId="67BC001F" w14:textId="77777777" w:rsidTr="009F5DB1">
        <w:trPr>
          <w:trHeight w:val="317"/>
        </w:trPr>
        <w:tc>
          <w:tcPr>
            <w:tcW w:w="4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2759A" w14:textId="77777777" w:rsidR="007B56FC" w:rsidRPr="007B56FC" w:rsidRDefault="007B56FC" w:rsidP="00796F39">
            <w:pPr>
              <w:keepNext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(1)</w:t>
            </w:r>
          </w:p>
        </w:tc>
        <w:tc>
          <w:tcPr>
            <w:tcW w:w="4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663EC" w14:textId="77777777" w:rsidR="007B56FC" w:rsidRPr="007B56FC" w:rsidRDefault="007B56FC" w:rsidP="00796F39">
            <w:pPr>
              <w:keepNext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(2)</w:t>
            </w:r>
          </w:p>
        </w:tc>
        <w:tc>
          <w:tcPr>
            <w:tcW w:w="4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41971" w14:textId="77777777" w:rsidR="007B56FC" w:rsidRPr="007B56FC" w:rsidRDefault="007B56FC" w:rsidP="00796F39">
            <w:pPr>
              <w:keepNext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(3)</w:t>
            </w:r>
          </w:p>
        </w:tc>
        <w:tc>
          <w:tcPr>
            <w:tcW w:w="4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0F38B" w14:textId="77777777" w:rsidR="007B56FC" w:rsidRPr="007B56FC" w:rsidRDefault="007B56FC" w:rsidP="00796F39">
            <w:pPr>
              <w:keepNext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</w:pPr>
            <w:r w:rsidRPr="007B56FC">
              <w:rPr>
                <w:rFonts w:ascii="Arial" w:eastAsia="Times New Roman" w:hAnsi="Arial" w:cs="Arial"/>
                <w:b/>
                <w:sz w:val="20"/>
                <w:szCs w:val="20"/>
                <w:lang w:eastAsia="en-AU"/>
              </w:rPr>
              <w:t>(4)</w:t>
            </w:r>
          </w:p>
        </w:tc>
      </w:tr>
      <w:tr w:rsidR="007B56FC" w:rsidRPr="007B56FC" w14:paraId="3E82E026" w14:textId="77777777" w:rsidTr="009F5DB1">
        <w:trPr>
          <w:trHeight w:val="317"/>
        </w:trPr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DA34B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3BA7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3537A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6590C" w14:textId="77777777" w:rsidR="007B56FC" w:rsidRPr="007B56FC" w:rsidRDefault="007B56FC" w:rsidP="00863853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048D9E00" w14:textId="77777777" w:rsidTr="009F5DB1">
        <w:trPr>
          <w:trHeight w:val="317"/>
        </w:trPr>
        <w:tc>
          <w:tcPr>
            <w:tcW w:w="463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DDDF3E3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NSW</w:t>
            </w:r>
          </w:p>
        </w:tc>
        <w:tc>
          <w:tcPr>
            <w:tcW w:w="4632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6E21C64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tcBorders>
              <w:top w:val="single" w:sz="4" w:space="0" w:color="auto"/>
            </w:tcBorders>
            <w:vAlign w:val="bottom"/>
          </w:tcPr>
          <w:p w14:paraId="2B67E266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B653420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28AD388A" w14:textId="77777777" w:rsidTr="009F5DB1">
        <w:trPr>
          <w:trHeight w:val="317"/>
        </w:trPr>
        <w:tc>
          <w:tcPr>
            <w:tcW w:w="463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7F30878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VIC</w:t>
            </w:r>
          </w:p>
        </w:tc>
        <w:tc>
          <w:tcPr>
            <w:tcW w:w="463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198AC59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vAlign w:val="bottom"/>
          </w:tcPr>
          <w:p w14:paraId="6918BA7B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shd w:val="clear" w:color="auto" w:fill="auto"/>
            <w:noWrap/>
            <w:vAlign w:val="bottom"/>
          </w:tcPr>
          <w:p w14:paraId="74B6ECF4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38C9E554" w14:textId="77777777" w:rsidTr="009F5DB1">
        <w:trPr>
          <w:trHeight w:val="317"/>
        </w:trPr>
        <w:tc>
          <w:tcPr>
            <w:tcW w:w="463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85ECF31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QLD</w:t>
            </w:r>
          </w:p>
        </w:tc>
        <w:tc>
          <w:tcPr>
            <w:tcW w:w="463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83F421A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vAlign w:val="bottom"/>
          </w:tcPr>
          <w:p w14:paraId="7DD794DE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shd w:val="clear" w:color="auto" w:fill="auto"/>
            <w:noWrap/>
            <w:vAlign w:val="bottom"/>
          </w:tcPr>
          <w:p w14:paraId="5276F60B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148D9EC5" w14:textId="77777777" w:rsidTr="009F5DB1">
        <w:trPr>
          <w:trHeight w:val="317"/>
        </w:trPr>
        <w:tc>
          <w:tcPr>
            <w:tcW w:w="463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46F9F7C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SA</w:t>
            </w:r>
          </w:p>
        </w:tc>
        <w:tc>
          <w:tcPr>
            <w:tcW w:w="463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94614F7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vAlign w:val="bottom"/>
          </w:tcPr>
          <w:p w14:paraId="509F150E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shd w:val="clear" w:color="auto" w:fill="auto"/>
            <w:noWrap/>
            <w:vAlign w:val="bottom"/>
          </w:tcPr>
          <w:p w14:paraId="01F7A550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3AA45C79" w14:textId="77777777" w:rsidTr="009F5DB1">
        <w:trPr>
          <w:trHeight w:val="317"/>
        </w:trPr>
        <w:tc>
          <w:tcPr>
            <w:tcW w:w="463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810A198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WA</w:t>
            </w:r>
          </w:p>
        </w:tc>
        <w:tc>
          <w:tcPr>
            <w:tcW w:w="463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1140D46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vAlign w:val="bottom"/>
          </w:tcPr>
          <w:p w14:paraId="094E1418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shd w:val="clear" w:color="auto" w:fill="auto"/>
            <w:noWrap/>
            <w:vAlign w:val="bottom"/>
          </w:tcPr>
          <w:p w14:paraId="13659225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57FC4125" w14:textId="77777777" w:rsidTr="009F5DB1">
        <w:trPr>
          <w:trHeight w:val="317"/>
        </w:trPr>
        <w:tc>
          <w:tcPr>
            <w:tcW w:w="463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E7C6F4A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TAS</w:t>
            </w:r>
          </w:p>
        </w:tc>
        <w:tc>
          <w:tcPr>
            <w:tcW w:w="463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6C641DA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vAlign w:val="bottom"/>
          </w:tcPr>
          <w:p w14:paraId="4ED9051D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shd w:val="clear" w:color="auto" w:fill="auto"/>
            <w:noWrap/>
            <w:vAlign w:val="bottom"/>
          </w:tcPr>
          <w:p w14:paraId="76A5F6DC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21C1BA12" w14:textId="77777777" w:rsidTr="009F5DB1">
        <w:trPr>
          <w:trHeight w:val="317"/>
        </w:trPr>
        <w:tc>
          <w:tcPr>
            <w:tcW w:w="463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35BFF96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ACT</w:t>
            </w:r>
          </w:p>
        </w:tc>
        <w:tc>
          <w:tcPr>
            <w:tcW w:w="463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B68DA7B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vAlign w:val="bottom"/>
          </w:tcPr>
          <w:p w14:paraId="00929B58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shd w:val="clear" w:color="auto" w:fill="auto"/>
            <w:noWrap/>
            <w:vAlign w:val="bottom"/>
          </w:tcPr>
          <w:p w14:paraId="135E3FC9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B56FC" w:rsidRPr="007B56FC" w14:paraId="341B53FA" w14:textId="77777777" w:rsidTr="009F5DB1">
        <w:trPr>
          <w:trHeight w:val="317"/>
        </w:trPr>
        <w:tc>
          <w:tcPr>
            <w:tcW w:w="463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00BFE6C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7B56F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AU"/>
              </w:rPr>
              <w:t>NT</w:t>
            </w:r>
          </w:p>
        </w:tc>
        <w:tc>
          <w:tcPr>
            <w:tcW w:w="463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72C4812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vAlign w:val="bottom"/>
          </w:tcPr>
          <w:p w14:paraId="48D599AA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shd w:val="clear" w:color="auto" w:fill="auto"/>
            <w:noWrap/>
            <w:vAlign w:val="bottom"/>
          </w:tcPr>
          <w:p w14:paraId="4574FD04" w14:textId="77777777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17716947" w14:textId="77777777" w:rsidR="007B56FC" w:rsidRPr="007B56FC" w:rsidRDefault="007B56FC" w:rsidP="007B56FC"/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72"/>
        <w:gridCol w:w="3474"/>
        <w:gridCol w:w="3473"/>
        <w:gridCol w:w="3473"/>
      </w:tblGrid>
      <w:tr w:rsidR="007B56FC" w:rsidRPr="007B56FC" w14:paraId="44BA1451" w14:textId="77777777" w:rsidTr="009F5DB1">
        <w:trPr>
          <w:trHeight w:val="317"/>
        </w:trPr>
        <w:tc>
          <w:tcPr>
            <w:tcW w:w="46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78E5" w14:textId="77777777" w:rsidR="007B56FC" w:rsidRPr="007B56FC" w:rsidRDefault="007B56FC" w:rsidP="00077B48">
            <w:pPr>
              <w:numPr>
                <w:ilvl w:val="1"/>
                <w:numId w:val="5"/>
              </w:numPr>
              <w:rPr>
                <w:rFonts w:ascii="Arial" w:eastAsia="Times New Roman" w:hAnsi="Arial" w:cs="Arial"/>
                <w:lang w:eastAsia="en-AU"/>
              </w:rPr>
            </w:pPr>
            <w:r w:rsidRPr="007B56FC">
              <w:rPr>
                <w:rFonts w:ascii="Arial" w:eastAsia="Times New Roman" w:hAnsi="Arial" w:cs="Arial"/>
                <w:lang w:eastAsia="en-AU"/>
              </w:rPr>
              <w:t>Total</w:t>
            </w:r>
          </w:p>
        </w:tc>
        <w:tc>
          <w:tcPr>
            <w:tcW w:w="4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628ADA8E" w14:textId="7C77E9EB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03EF730C" w14:textId="097782D9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14:paraId="141D57B2" w14:textId="12C48833" w:rsidR="007B56FC" w:rsidRPr="007B56FC" w:rsidRDefault="007B56FC" w:rsidP="007B56FC">
            <w:pPr>
              <w:jc w:val="center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</w:tbl>
    <w:p w14:paraId="31AA3A4C" w14:textId="77777777" w:rsidR="007B56FC" w:rsidRPr="007B56FC" w:rsidRDefault="007B56FC" w:rsidP="007B56FC">
      <w:pPr>
        <w:rPr>
          <w:rFonts w:ascii="Arial" w:eastAsia="Times New Roman" w:hAnsi="Arial" w:cs="Arial"/>
          <w:lang w:eastAsia="en-AU"/>
        </w:rPr>
      </w:pPr>
    </w:p>
    <w:p w14:paraId="4F63464E" w14:textId="77777777" w:rsidR="007B56FC" w:rsidRPr="007B56FC" w:rsidRDefault="007B56FC" w:rsidP="007B56FC">
      <w:pPr>
        <w:rPr>
          <w:rFonts w:ascii="Arial" w:eastAsia="Times New Roman" w:hAnsi="Arial" w:cs="Arial"/>
          <w:lang w:eastAsia="en-AU"/>
        </w:rPr>
      </w:pPr>
    </w:p>
    <w:p w14:paraId="2E8CF0AF" w14:textId="77777777" w:rsidR="007B56FC" w:rsidRPr="007B56FC" w:rsidRDefault="007B56FC" w:rsidP="007B56FC">
      <w:pPr>
        <w:rPr>
          <w:rFonts w:ascii="Arial" w:eastAsia="Times New Roman" w:hAnsi="Arial" w:cs="Arial"/>
          <w:lang w:eastAsia="en-AU"/>
        </w:rPr>
      </w:pPr>
    </w:p>
    <w:p w14:paraId="6FFA34F3" w14:textId="77777777" w:rsidR="007B56FC" w:rsidRPr="007B56FC" w:rsidRDefault="007B56FC" w:rsidP="007B56FC">
      <w:pPr>
        <w:rPr>
          <w:rFonts w:ascii="Arial" w:hAnsi="Arial" w:cs="Arial"/>
        </w:rPr>
      </w:pPr>
    </w:p>
    <w:p w14:paraId="6CCE4423" w14:textId="77777777" w:rsidR="007B56FC" w:rsidRPr="007B56FC" w:rsidRDefault="007B56FC" w:rsidP="007B56FC">
      <w:pPr>
        <w:rPr>
          <w:rFonts w:ascii="Arial" w:hAnsi="Arial" w:cs="Arial"/>
          <w:color w:val="000000"/>
        </w:rPr>
      </w:pPr>
    </w:p>
    <w:bookmarkEnd w:id="0"/>
    <w:p w14:paraId="03BF8168" w14:textId="77777777" w:rsidR="00C8047C" w:rsidRPr="00AB4984" w:rsidRDefault="00C8047C" w:rsidP="006934C5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  <w:sectPr w:rsidR="00C8047C" w:rsidRPr="00AB4984" w:rsidSect="00A06640">
          <w:headerReference w:type="default" r:id="rId18"/>
          <w:footerReference w:type="default" r:id="rId19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64D41971" w14:textId="77777777" w:rsidR="00B04B20" w:rsidRPr="00AB4984" w:rsidRDefault="00054C93" w:rsidP="006934C5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</w:t>
      </w:r>
      <w:r w:rsidR="00B315E6" w:rsidRPr="00AB4984">
        <w:rPr>
          <w:rFonts w:ascii="Arial" w:hAnsi="Arial" w:cs="Arial"/>
          <w:b/>
          <w:sz w:val="40"/>
          <w:szCs w:val="40"/>
        </w:rPr>
        <w:t>F</w:t>
      </w:r>
      <w:r w:rsidR="00041673" w:rsidRPr="00AB4984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AB4984">
        <w:rPr>
          <w:rFonts w:ascii="Arial" w:hAnsi="Arial" w:cs="Arial"/>
          <w:b/>
          <w:sz w:val="40"/>
          <w:szCs w:val="40"/>
        </w:rPr>
        <w:t>A</w:t>
      </w:r>
      <w:r w:rsidRPr="00AB4984">
        <w:rPr>
          <w:rFonts w:ascii="Arial" w:hAnsi="Arial" w:cs="Arial"/>
          <w:b/>
          <w:sz w:val="40"/>
          <w:szCs w:val="40"/>
        </w:rPr>
        <w:t xml:space="preserve">RF </w:t>
      </w:r>
      <w:r w:rsidR="00C8047C" w:rsidRPr="00AB4984">
        <w:rPr>
          <w:rFonts w:ascii="Arial" w:hAnsi="Arial" w:cs="Arial"/>
          <w:b/>
          <w:sz w:val="40"/>
          <w:szCs w:val="40"/>
        </w:rPr>
        <w:t>7</w:t>
      </w:r>
      <w:r w:rsidR="00CB7265">
        <w:rPr>
          <w:rFonts w:ascii="Arial" w:hAnsi="Arial" w:cs="Arial"/>
          <w:b/>
          <w:sz w:val="40"/>
          <w:szCs w:val="40"/>
        </w:rPr>
        <w:t>5</w:t>
      </w:r>
      <w:r w:rsidR="0092438E">
        <w:rPr>
          <w:rFonts w:ascii="Arial" w:hAnsi="Arial" w:cs="Arial"/>
          <w:b/>
          <w:sz w:val="40"/>
          <w:szCs w:val="40"/>
        </w:rPr>
        <w:t>0.0</w:t>
      </w:r>
    </w:p>
    <w:p w14:paraId="37E0F9C4" w14:textId="0637069E" w:rsidR="00054C93" w:rsidRPr="00AB4984" w:rsidRDefault="0090097F" w:rsidP="006934C5">
      <w:pPr>
        <w:spacing w:before="360"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DAWR </w:t>
      </w:r>
      <w:r w:rsidR="004375EA">
        <w:rPr>
          <w:rFonts w:ascii="Arial" w:hAnsi="Arial" w:cs="Arial"/>
          <w:b/>
          <w:sz w:val="40"/>
          <w:szCs w:val="40"/>
        </w:rPr>
        <w:t>Agricultural Lending</w:t>
      </w:r>
    </w:p>
    <w:p w14:paraId="4CDA9564" w14:textId="77777777" w:rsidR="00054C93" w:rsidRPr="00AB4984" w:rsidRDefault="00054C93" w:rsidP="006934C5">
      <w:pPr>
        <w:spacing w:before="360"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>Instruction</w:t>
      </w:r>
      <w:r w:rsidR="002A0B6A" w:rsidRPr="00AB4984">
        <w:rPr>
          <w:rFonts w:ascii="Arial" w:hAnsi="Arial" w:cs="Arial"/>
          <w:b/>
          <w:sz w:val="40"/>
          <w:szCs w:val="40"/>
        </w:rPr>
        <w:t>s</w:t>
      </w:r>
    </w:p>
    <w:p w14:paraId="78A1F837" w14:textId="0F197B83" w:rsidR="00EE2B0E" w:rsidRDefault="00C53458" w:rsidP="006934C5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AB4984">
        <w:rPr>
          <w:rFonts w:ascii="Times New Roman" w:hAnsi="Times New Roman"/>
          <w:sz w:val="24"/>
          <w:szCs w:val="24"/>
        </w:rPr>
        <w:t xml:space="preserve">assist completion of </w:t>
      </w:r>
      <w:r w:rsidR="00B95FF0" w:rsidRPr="00AB4984">
        <w:rPr>
          <w:rFonts w:ascii="Times New Roman" w:hAnsi="Times New Roman"/>
          <w:i/>
          <w:sz w:val="24"/>
          <w:szCs w:val="24"/>
        </w:rPr>
        <w:t xml:space="preserve">Reporting Form </w:t>
      </w:r>
      <w:r w:rsidR="00C8047C" w:rsidRPr="00AB4984">
        <w:rPr>
          <w:rFonts w:ascii="Times New Roman" w:hAnsi="Times New Roman"/>
          <w:i/>
          <w:sz w:val="24"/>
          <w:szCs w:val="24"/>
        </w:rPr>
        <w:t>A</w:t>
      </w:r>
      <w:r w:rsidR="00054C93" w:rsidRPr="00AB4984">
        <w:rPr>
          <w:rFonts w:ascii="Times New Roman" w:hAnsi="Times New Roman"/>
          <w:i/>
          <w:sz w:val="24"/>
          <w:szCs w:val="24"/>
        </w:rPr>
        <w:t xml:space="preserve">RF </w:t>
      </w:r>
      <w:r w:rsidR="0092438E">
        <w:rPr>
          <w:rFonts w:ascii="Times New Roman" w:hAnsi="Times New Roman"/>
          <w:i/>
          <w:sz w:val="24"/>
          <w:szCs w:val="24"/>
        </w:rPr>
        <w:t>7</w:t>
      </w:r>
      <w:r w:rsidR="00CB7265">
        <w:rPr>
          <w:rFonts w:ascii="Times New Roman" w:hAnsi="Times New Roman"/>
          <w:i/>
          <w:sz w:val="24"/>
          <w:szCs w:val="24"/>
        </w:rPr>
        <w:t>5</w:t>
      </w:r>
      <w:r w:rsidR="0092438E">
        <w:rPr>
          <w:rFonts w:ascii="Times New Roman" w:hAnsi="Times New Roman"/>
          <w:i/>
          <w:sz w:val="24"/>
          <w:szCs w:val="24"/>
        </w:rPr>
        <w:t>0.0</w:t>
      </w:r>
      <w:r w:rsidR="00C8047C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CB7265">
        <w:rPr>
          <w:rFonts w:ascii="Times New Roman" w:hAnsi="Times New Roman"/>
          <w:i/>
          <w:sz w:val="24"/>
          <w:szCs w:val="24"/>
        </w:rPr>
        <w:t xml:space="preserve">DAWR </w:t>
      </w:r>
      <w:r w:rsidR="004375EA">
        <w:rPr>
          <w:rFonts w:ascii="Times New Roman" w:hAnsi="Times New Roman"/>
          <w:i/>
          <w:sz w:val="24"/>
          <w:szCs w:val="24"/>
        </w:rPr>
        <w:t>Agricultural Lending</w:t>
      </w:r>
      <w:r w:rsidR="00CB7265">
        <w:rPr>
          <w:rFonts w:ascii="Times New Roman" w:hAnsi="Times New Roman"/>
          <w:i/>
          <w:sz w:val="24"/>
          <w:szCs w:val="24"/>
        </w:rPr>
        <w:t xml:space="preserve"> </w:t>
      </w:r>
      <w:r w:rsidR="00D477FC" w:rsidRPr="00AB4984">
        <w:rPr>
          <w:rFonts w:ascii="Times New Roman" w:hAnsi="Times New Roman"/>
          <w:sz w:val="24"/>
          <w:szCs w:val="24"/>
        </w:rPr>
        <w:t>(</w:t>
      </w:r>
      <w:r w:rsidR="00C8047C" w:rsidRPr="00AB4984">
        <w:rPr>
          <w:rFonts w:ascii="Times New Roman" w:hAnsi="Times New Roman"/>
          <w:sz w:val="24"/>
          <w:szCs w:val="24"/>
        </w:rPr>
        <w:t>A</w:t>
      </w:r>
      <w:r w:rsidR="00041673" w:rsidRPr="00AB4984">
        <w:rPr>
          <w:rFonts w:ascii="Times New Roman" w:hAnsi="Times New Roman"/>
          <w:sz w:val="24"/>
          <w:szCs w:val="24"/>
        </w:rPr>
        <w:t>RF</w:t>
      </w:r>
      <w:r w:rsidR="00805365">
        <w:rPr>
          <w:rFonts w:ascii="Times New Roman" w:hAnsi="Times New Roman"/>
          <w:sz w:val="24"/>
          <w:szCs w:val="24"/>
        </w:rPr>
        <w:t> </w:t>
      </w:r>
      <w:r w:rsidR="0092438E">
        <w:rPr>
          <w:rFonts w:ascii="Times New Roman" w:hAnsi="Times New Roman"/>
          <w:sz w:val="24"/>
          <w:szCs w:val="24"/>
        </w:rPr>
        <w:t>7</w:t>
      </w:r>
      <w:r w:rsidR="00CB7265">
        <w:rPr>
          <w:rFonts w:ascii="Times New Roman" w:hAnsi="Times New Roman"/>
          <w:sz w:val="24"/>
          <w:szCs w:val="24"/>
        </w:rPr>
        <w:t>5</w:t>
      </w:r>
      <w:r w:rsidR="0092438E">
        <w:rPr>
          <w:rFonts w:ascii="Times New Roman" w:hAnsi="Times New Roman"/>
          <w:sz w:val="24"/>
          <w:szCs w:val="24"/>
        </w:rPr>
        <w:t>0.0</w:t>
      </w:r>
      <w:r w:rsidR="00D477FC" w:rsidRPr="00AB4984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>.</w:t>
      </w:r>
      <w:r w:rsidR="00D477FC" w:rsidRPr="00AB4984">
        <w:rPr>
          <w:rFonts w:ascii="Times New Roman" w:hAnsi="Times New Roman"/>
          <w:sz w:val="24"/>
          <w:szCs w:val="24"/>
        </w:rPr>
        <w:t xml:space="preserve"> </w:t>
      </w:r>
      <w:r w:rsidR="00994CBE">
        <w:rPr>
          <w:rFonts w:ascii="Times New Roman" w:hAnsi="Times New Roman"/>
          <w:sz w:val="24"/>
          <w:szCs w:val="24"/>
        </w:rPr>
        <w:t>This form</w:t>
      </w:r>
      <w:r w:rsidR="00CB7265">
        <w:rPr>
          <w:rFonts w:ascii="Times New Roman" w:hAnsi="Times New Roman"/>
          <w:sz w:val="24"/>
          <w:szCs w:val="24"/>
        </w:rPr>
        <w:t xml:space="preserve"> </w:t>
      </w:r>
      <w:r w:rsidR="004072D6" w:rsidRPr="00AB4984">
        <w:rPr>
          <w:rFonts w:ascii="Times New Roman" w:hAnsi="Times New Roman"/>
          <w:sz w:val="24"/>
          <w:szCs w:val="24"/>
        </w:rPr>
        <w:t xml:space="preserve">collects information relating </w:t>
      </w:r>
      <w:r w:rsidR="00414401" w:rsidRPr="00AB4984">
        <w:rPr>
          <w:rFonts w:ascii="Times New Roman" w:hAnsi="Times New Roman"/>
          <w:sz w:val="24"/>
          <w:szCs w:val="24"/>
        </w:rPr>
        <w:t>to</w:t>
      </w:r>
      <w:r w:rsidR="006B13E0" w:rsidRPr="00AB4984">
        <w:rPr>
          <w:rFonts w:ascii="Times New Roman" w:hAnsi="Times New Roman"/>
          <w:sz w:val="24"/>
          <w:szCs w:val="24"/>
        </w:rPr>
        <w:t xml:space="preserve"> </w:t>
      </w:r>
      <w:r w:rsidR="0092438E" w:rsidRPr="0092438E">
        <w:rPr>
          <w:rFonts w:ascii="Times New Roman" w:hAnsi="Times New Roman"/>
          <w:sz w:val="24"/>
          <w:szCs w:val="24"/>
        </w:rPr>
        <w:t xml:space="preserve">the </w:t>
      </w:r>
      <w:r w:rsidR="00297AD2">
        <w:rPr>
          <w:rFonts w:ascii="Times New Roman" w:hAnsi="Times New Roman"/>
          <w:sz w:val="24"/>
          <w:szCs w:val="24"/>
        </w:rPr>
        <w:t xml:space="preserve">lending activities </w:t>
      </w:r>
      <w:r w:rsidR="0092438E" w:rsidRPr="0092438E">
        <w:rPr>
          <w:rFonts w:ascii="Times New Roman" w:hAnsi="Times New Roman"/>
          <w:sz w:val="24"/>
          <w:szCs w:val="24"/>
        </w:rPr>
        <w:t>of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3B1D4B">
        <w:rPr>
          <w:rFonts w:ascii="Times New Roman" w:hAnsi="Times New Roman"/>
          <w:b/>
          <w:i/>
          <w:sz w:val="24"/>
          <w:szCs w:val="24"/>
        </w:rPr>
        <w:t>ADIs</w:t>
      </w:r>
      <w:r w:rsidR="00044075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>and</w:t>
      </w:r>
      <w:r w:rsidR="00F733BD">
        <w:rPr>
          <w:rFonts w:ascii="Times New Roman" w:hAnsi="Times New Roman"/>
          <w:sz w:val="24"/>
          <w:szCs w:val="24"/>
        </w:rPr>
        <w:t xml:space="preserve"> particular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450A8F">
        <w:rPr>
          <w:rFonts w:ascii="Times New Roman" w:hAnsi="Times New Roman"/>
          <w:b/>
          <w:i/>
          <w:sz w:val="24"/>
          <w:szCs w:val="24"/>
        </w:rPr>
        <w:t>RFCs</w:t>
      </w:r>
      <w:r w:rsidR="00297AD2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4008E">
        <w:rPr>
          <w:rFonts w:ascii="Times New Roman" w:hAnsi="Times New Roman"/>
          <w:sz w:val="24"/>
          <w:szCs w:val="24"/>
        </w:rPr>
        <w:t xml:space="preserve">to agricultural </w:t>
      </w:r>
      <w:r w:rsidR="00B4008E" w:rsidRPr="003D3C1D">
        <w:rPr>
          <w:rFonts w:ascii="Times New Roman" w:hAnsi="Times New Roman"/>
          <w:b/>
          <w:i/>
          <w:sz w:val="24"/>
          <w:szCs w:val="24"/>
        </w:rPr>
        <w:t>business entities</w:t>
      </w:r>
      <w:r w:rsidR="00B4008E" w:rsidRPr="0092438E">
        <w:rPr>
          <w:rFonts w:ascii="Times New Roman" w:hAnsi="Times New Roman"/>
          <w:sz w:val="24"/>
          <w:szCs w:val="24"/>
        </w:rPr>
        <w:t xml:space="preserve"> </w:t>
      </w:r>
      <w:r w:rsidR="00297AD2" w:rsidRPr="003D3C1D">
        <w:rPr>
          <w:rFonts w:ascii="Times New Roman" w:hAnsi="Times New Roman"/>
          <w:sz w:val="24"/>
          <w:szCs w:val="24"/>
        </w:rPr>
        <w:t>on a</w:t>
      </w:r>
      <w:r w:rsidR="00EE2B0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904A69" w:rsidRPr="003D3C1D">
        <w:rPr>
          <w:rFonts w:ascii="Times New Roman" w:hAnsi="Times New Roman"/>
          <w:b/>
          <w:i/>
          <w:sz w:val="24"/>
          <w:szCs w:val="24"/>
        </w:rPr>
        <w:t>domestic books</w:t>
      </w:r>
      <w:r w:rsidR="00904A69">
        <w:rPr>
          <w:rFonts w:ascii="Times New Roman" w:hAnsi="Times New Roman"/>
          <w:sz w:val="24"/>
          <w:szCs w:val="24"/>
        </w:rPr>
        <w:t xml:space="preserve"> </w:t>
      </w:r>
      <w:r w:rsidR="00EE2B0E">
        <w:rPr>
          <w:rFonts w:ascii="Times New Roman" w:hAnsi="Times New Roman"/>
          <w:sz w:val="24"/>
          <w:szCs w:val="24"/>
        </w:rPr>
        <w:t>basis</w:t>
      </w:r>
      <w:r w:rsidR="00EF0AC3">
        <w:rPr>
          <w:rFonts w:ascii="Times New Roman" w:hAnsi="Times New Roman"/>
          <w:sz w:val="24"/>
          <w:szCs w:val="24"/>
        </w:rPr>
        <w:t>.</w:t>
      </w:r>
    </w:p>
    <w:p w14:paraId="6869271A" w14:textId="2540D783" w:rsidR="00135C27" w:rsidRPr="003D3C1D" w:rsidRDefault="00135C27" w:rsidP="006934C5">
      <w:pPr>
        <w:spacing w:before="240" w:after="240"/>
        <w:jc w:val="both"/>
        <w:outlineLvl w:val="0"/>
        <w:rPr>
          <w:rFonts w:ascii="Arial" w:hAnsi="Arial" w:cs="Arial"/>
          <w:b/>
          <w:sz w:val="32"/>
          <w:szCs w:val="32"/>
          <w:lang w:val="en-US"/>
        </w:rPr>
      </w:pPr>
      <w:r w:rsidRPr="00AB4984">
        <w:rPr>
          <w:rFonts w:ascii="Arial" w:hAnsi="Arial" w:cs="Arial"/>
          <w:b/>
          <w:sz w:val="32"/>
          <w:szCs w:val="32"/>
        </w:rPr>
        <w:t xml:space="preserve">Reporting </w:t>
      </w:r>
      <w:r w:rsidR="00994CBE">
        <w:rPr>
          <w:rFonts w:ascii="Arial" w:hAnsi="Arial" w:cs="Arial"/>
          <w:b/>
          <w:sz w:val="32"/>
          <w:szCs w:val="32"/>
        </w:rPr>
        <w:t>entity</w:t>
      </w:r>
      <w:r w:rsidR="00994CBE" w:rsidRPr="00AB4984">
        <w:rPr>
          <w:rFonts w:ascii="Arial" w:hAnsi="Arial" w:cs="Arial"/>
          <w:b/>
          <w:sz w:val="32"/>
          <w:szCs w:val="32"/>
        </w:rPr>
        <w:t xml:space="preserve"> </w:t>
      </w:r>
    </w:p>
    <w:p w14:paraId="2B55D4BD" w14:textId="06AE2B7D" w:rsidR="00DD406F" w:rsidRPr="00623BF8" w:rsidRDefault="009E5DF0" w:rsidP="00623BF8">
      <w:pPr>
        <w:pStyle w:val="Default"/>
        <w:jc w:val="both"/>
      </w:pPr>
      <w:r w:rsidRPr="00623BF8">
        <w:t>An</w:t>
      </w:r>
      <w:r w:rsidR="00DD406F" w:rsidRPr="00623BF8">
        <w:t xml:space="preserve"> </w:t>
      </w:r>
      <w:r w:rsidR="00EF0AC3" w:rsidRPr="00915005">
        <w:t>ADI</w:t>
      </w:r>
      <w:r w:rsidR="00EF0AC3" w:rsidRPr="00623BF8">
        <w:t xml:space="preserve"> or </w:t>
      </w:r>
      <w:r w:rsidR="00DD406F" w:rsidRPr="00915005">
        <w:t>RFC</w:t>
      </w:r>
      <w:r w:rsidRPr="00623BF8">
        <w:t xml:space="preserve"> to which this Reporting Standard applies must complete</w:t>
      </w:r>
      <w:r w:rsidR="00DD406F" w:rsidRPr="00623BF8">
        <w:t xml:space="preserve"> </w:t>
      </w:r>
      <w:r w:rsidR="00DD406F" w:rsidRPr="00F733BD">
        <w:t xml:space="preserve">ARF 750.0 </w:t>
      </w:r>
      <w:r w:rsidR="004429B4" w:rsidRPr="00623BF8">
        <w:t>on a</w:t>
      </w:r>
      <w:r w:rsidR="007B56FC" w:rsidRPr="00623BF8">
        <w:t xml:space="preserve"> </w:t>
      </w:r>
      <w:r w:rsidR="00DD406F" w:rsidRPr="004B5DD5">
        <w:rPr>
          <w:b/>
          <w:i/>
        </w:rPr>
        <w:t>domestic books</w:t>
      </w:r>
      <w:r w:rsidR="00DD406F" w:rsidRPr="004B5DD5">
        <w:t xml:space="preserve"> </w:t>
      </w:r>
      <w:r w:rsidR="004429B4" w:rsidRPr="004B5DD5">
        <w:t>basis</w:t>
      </w:r>
      <w:r w:rsidR="00F733BD" w:rsidRPr="004B5DD5">
        <w:t>.</w:t>
      </w:r>
    </w:p>
    <w:p w14:paraId="104BFFFF" w14:textId="7EB497DF" w:rsidR="00EF0AC3" w:rsidRPr="00DA7964" w:rsidRDefault="00B42206" w:rsidP="00DA7964">
      <w:pPr>
        <w:spacing w:before="240"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 xml:space="preserve">Reporting basis and </w:t>
      </w:r>
      <w:r w:rsidR="000952DD" w:rsidRPr="00AB4984">
        <w:rPr>
          <w:rFonts w:ascii="Arial" w:hAnsi="Arial" w:cs="Arial"/>
          <w:b/>
          <w:sz w:val="32"/>
          <w:szCs w:val="32"/>
        </w:rPr>
        <w:t>unit of measurement</w:t>
      </w:r>
    </w:p>
    <w:p w14:paraId="4AE96E65" w14:textId="0A875F6F" w:rsidR="00CB4CB6" w:rsidRDefault="00CB4CB6" w:rsidP="006934C5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</w:t>
      </w:r>
    </w:p>
    <w:p w14:paraId="547C053A" w14:textId="1057A021" w:rsidR="00692F30" w:rsidRPr="00450A8F" w:rsidRDefault="00692F30" w:rsidP="006176EC">
      <w:pPr>
        <w:spacing w:before="240"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1B33A2">
        <w:rPr>
          <w:rFonts w:ascii="Times New Roman" w:hAnsi="Times New Roman"/>
          <w:sz w:val="24"/>
          <w:szCs w:val="24"/>
        </w:rPr>
        <w:t xml:space="preserve">For reporting purposes, unless specified otherwise, data </w:t>
      </w:r>
      <w:r>
        <w:rPr>
          <w:rFonts w:ascii="Times New Roman" w:hAnsi="Times New Roman"/>
          <w:sz w:val="24"/>
          <w:szCs w:val="24"/>
        </w:rPr>
        <w:t>are</w:t>
      </w:r>
      <w:r w:rsidRPr="001B33A2">
        <w:rPr>
          <w:rFonts w:ascii="Times New Roman" w:hAnsi="Times New Roman"/>
          <w:sz w:val="24"/>
          <w:szCs w:val="24"/>
        </w:rPr>
        <w:t xml:space="preserve"> to be entered as a positive number. </w:t>
      </w:r>
    </w:p>
    <w:p w14:paraId="34E1529F" w14:textId="77777777" w:rsidR="008F16B6" w:rsidRPr="00EE7D94" w:rsidRDefault="008F16B6" w:rsidP="008F16B6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Values</w:t>
      </w:r>
    </w:p>
    <w:p w14:paraId="432B5B5A" w14:textId="77777777" w:rsidR="008F16B6" w:rsidRDefault="008F16B6" w:rsidP="008F16B6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715C715F" w14:textId="12598645" w:rsidR="008F16B6" w:rsidRDefault="008F16B6" w:rsidP="008F16B6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EE7D94">
        <w:rPr>
          <w:rFonts w:ascii="Times New Roman" w:hAnsi="Times New Roman"/>
          <w:sz w:val="24"/>
          <w:szCs w:val="24"/>
        </w:rPr>
        <w:t xml:space="preserve">Unless otherwise specifically stated, information reported on this </w:t>
      </w:r>
      <w:r w:rsidRPr="004B5DD5">
        <w:rPr>
          <w:rFonts w:ascii="Times New Roman" w:hAnsi="Times New Roman"/>
          <w:sz w:val="24"/>
          <w:szCs w:val="24"/>
        </w:rPr>
        <w:t xml:space="preserve">form </w:t>
      </w:r>
      <w:r w:rsidR="003E3E5E">
        <w:rPr>
          <w:rFonts w:ascii="Times New Roman" w:hAnsi="Times New Roman"/>
          <w:sz w:val="24"/>
          <w:szCs w:val="24"/>
        </w:rPr>
        <w:t>must</w:t>
      </w:r>
      <w:r w:rsidR="003E3E5E" w:rsidRPr="004B5DD5">
        <w:rPr>
          <w:rFonts w:ascii="Times New Roman" w:hAnsi="Times New Roman"/>
          <w:sz w:val="24"/>
          <w:szCs w:val="24"/>
        </w:rPr>
        <w:t xml:space="preserve"> </w:t>
      </w:r>
      <w:r w:rsidRPr="004B5DD5">
        <w:rPr>
          <w:rFonts w:ascii="Times New Roman" w:hAnsi="Times New Roman"/>
          <w:sz w:val="24"/>
          <w:szCs w:val="24"/>
        </w:rPr>
        <w:t>comply with Australian Accounting Standards.</w:t>
      </w:r>
      <w:r w:rsidRPr="00EE7D94">
        <w:rPr>
          <w:rFonts w:ascii="Times New Roman" w:hAnsi="Times New Roman"/>
          <w:sz w:val="24"/>
          <w:szCs w:val="24"/>
        </w:rPr>
        <w:t xml:space="preserve"> </w:t>
      </w:r>
    </w:p>
    <w:p w14:paraId="02763603" w14:textId="77777777" w:rsidR="008F16B6" w:rsidRDefault="008F16B6" w:rsidP="008F16B6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0C02C52B" w14:textId="556DB239" w:rsidR="0092438E" w:rsidRPr="00AB4984" w:rsidRDefault="00CB4CB6" w:rsidP="003F24FF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monetary amounts on </w:t>
      </w:r>
      <w:r w:rsidRPr="008F16B6">
        <w:rPr>
          <w:rFonts w:ascii="Times New Roman" w:hAnsi="Times New Roman"/>
          <w:sz w:val="24"/>
          <w:szCs w:val="24"/>
        </w:rPr>
        <w:t>ARF</w:t>
      </w:r>
      <w:r w:rsidR="008F16B6">
        <w:rPr>
          <w:rFonts w:ascii="Times New Roman" w:hAnsi="Times New Roman"/>
          <w:sz w:val="24"/>
          <w:szCs w:val="24"/>
        </w:rPr>
        <w:t> </w:t>
      </w:r>
      <w:r w:rsidR="00E30EBE">
        <w:rPr>
          <w:rFonts w:ascii="Times New Roman" w:hAnsi="Times New Roman"/>
          <w:sz w:val="24"/>
          <w:szCs w:val="24"/>
        </w:rPr>
        <w:t>75</w:t>
      </w:r>
      <w:r w:rsidRPr="008F16B6">
        <w:rPr>
          <w:rFonts w:ascii="Times New Roman" w:hAnsi="Times New Roman"/>
          <w:sz w:val="24"/>
          <w:szCs w:val="24"/>
        </w:rPr>
        <w:t>0.0</w:t>
      </w:r>
      <w:r w:rsidRPr="003F24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 Australian dollars or the Australian dollar equivalent of the foreign currency</w:t>
      </w:r>
      <w:r w:rsidR="008F16B6">
        <w:rPr>
          <w:rFonts w:ascii="Times New Roman" w:hAnsi="Times New Roman"/>
          <w:sz w:val="24"/>
          <w:szCs w:val="24"/>
        </w:rPr>
        <w:t xml:space="preserve"> amount</w:t>
      </w:r>
      <w:r>
        <w:rPr>
          <w:rFonts w:ascii="Times New Roman" w:hAnsi="Times New Roman"/>
          <w:sz w:val="24"/>
          <w:szCs w:val="24"/>
        </w:rPr>
        <w:t xml:space="preserve">. </w:t>
      </w:r>
      <w:r w:rsidR="0092438E" w:rsidRPr="007656CC">
        <w:rPr>
          <w:rFonts w:ascii="Times New Roman" w:hAnsi="Times New Roman"/>
          <w:sz w:val="24"/>
          <w:szCs w:val="24"/>
        </w:rPr>
        <w:t xml:space="preserve">Amounts denominated in foreign currency are to be converted to AUD in accordance with </w:t>
      </w:r>
      <w:r w:rsidR="0092438E" w:rsidRPr="008F16B6">
        <w:rPr>
          <w:rFonts w:ascii="Times New Roman" w:hAnsi="Times New Roman"/>
          <w:i/>
          <w:sz w:val="24"/>
          <w:szCs w:val="24"/>
        </w:rPr>
        <w:t>AASB</w:t>
      </w:r>
      <w:r w:rsidR="008F16B6" w:rsidRPr="008F16B6">
        <w:rPr>
          <w:rFonts w:ascii="Times New Roman" w:hAnsi="Times New Roman"/>
          <w:i/>
          <w:sz w:val="24"/>
          <w:szCs w:val="24"/>
        </w:rPr>
        <w:t> </w:t>
      </w:r>
      <w:r w:rsidR="0092438E" w:rsidRPr="008F16B6">
        <w:rPr>
          <w:rFonts w:ascii="Times New Roman" w:hAnsi="Times New Roman"/>
          <w:i/>
          <w:sz w:val="24"/>
          <w:szCs w:val="24"/>
        </w:rPr>
        <w:t xml:space="preserve">121 </w:t>
      </w:r>
      <w:proofErr w:type="gramStart"/>
      <w:r w:rsidR="0092438E" w:rsidRPr="008F16B6">
        <w:rPr>
          <w:rFonts w:ascii="Times New Roman" w:hAnsi="Times New Roman"/>
          <w:i/>
          <w:sz w:val="24"/>
          <w:szCs w:val="24"/>
        </w:rPr>
        <w:t>The</w:t>
      </w:r>
      <w:proofErr w:type="gramEnd"/>
      <w:r w:rsidR="0092438E" w:rsidRPr="008F16B6">
        <w:rPr>
          <w:rFonts w:ascii="Times New Roman" w:hAnsi="Times New Roman"/>
          <w:i/>
          <w:sz w:val="24"/>
          <w:szCs w:val="24"/>
        </w:rPr>
        <w:t xml:space="preserve"> Effects of Changes in Foreign Exchange Rates</w:t>
      </w:r>
      <w:r w:rsidR="0092438E" w:rsidRPr="007656CC">
        <w:rPr>
          <w:rFonts w:ascii="Times New Roman" w:hAnsi="Times New Roman"/>
          <w:sz w:val="24"/>
          <w:szCs w:val="24"/>
        </w:rPr>
        <w:t>.</w:t>
      </w:r>
    </w:p>
    <w:p w14:paraId="3BED7C7E" w14:textId="77777777" w:rsidR="00AC2122" w:rsidRDefault="00451EEB" w:rsidP="008F16B6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Values on ARF 750.0 are to be reported as millions of dollars to three decimal places for </w:t>
      </w:r>
      <w:r w:rsidRPr="00E41748">
        <w:rPr>
          <w:rFonts w:ascii="Times New Roman" w:hAnsi="Times New Roman"/>
          <w:b/>
          <w:i/>
          <w:sz w:val="24"/>
          <w:szCs w:val="24"/>
        </w:rPr>
        <w:t xml:space="preserve">banks </w:t>
      </w:r>
      <w:r>
        <w:rPr>
          <w:rFonts w:ascii="Times New Roman" w:hAnsi="Times New Roman"/>
          <w:sz w:val="24"/>
          <w:szCs w:val="24"/>
        </w:rPr>
        <w:t xml:space="preserve">and thousands of dollars for </w:t>
      </w:r>
      <w:r w:rsidRPr="00E41748">
        <w:rPr>
          <w:rFonts w:ascii="Times New Roman" w:hAnsi="Times New Roman"/>
          <w:b/>
          <w:i/>
          <w:sz w:val="24"/>
          <w:szCs w:val="24"/>
        </w:rPr>
        <w:t>other ADIs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915005">
        <w:rPr>
          <w:rFonts w:ascii="Times New Roman" w:hAnsi="Times New Roman"/>
          <w:sz w:val="24"/>
          <w:szCs w:val="24"/>
        </w:rPr>
        <w:t>RFCs</w:t>
      </w:r>
      <w:r>
        <w:rPr>
          <w:rFonts w:ascii="Times New Roman" w:hAnsi="Times New Roman"/>
          <w:sz w:val="24"/>
          <w:szCs w:val="24"/>
        </w:rPr>
        <w:t>.</w:t>
      </w:r>
    </w:p>
    <w:p w14:paraId="1152E501" w14:textId="77777777" w:rsidR="00AC2122" w:rsidRDefault="00AC2122" w:rsidP="008F16B6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3E8255D7" w14:textId="77777777" w:rsidR="008F16B6" w:rsidRDefault="00512D9F" w:rsidP="008F16B6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Standard Business Reporting (SBR)</w:t>
      </w:r>
      <w:r w:rsidR="00741FF2">
        <w:rPr>
          <w:rFonts w:ascii="Arial" w:hAnsi="Arial" w:cs="Arial"/>
          <w:b/>
          <w:sz w:val="24"/>
          <w:szCs w:val="24"/>
        </w:rPr>
        <w:t xml:space="preserve"> </w:t>
      </w:r>
    </w:p>
    <w:p w14:paraId="2923F857" w14:textId="77777777" w:rsidR="008F16B6" w:rsidRDefault="008F16B6" w:rsidP="008F16B6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63FAF646" w14:textId="77777777" w:rsidR="00741FF2" w:rsidRDefault="00741FF2" w:rsidP="008F16B6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accounting type (i.e. credit or debit) is stated for all monetary items and represents the natural accounting type of the item collected.  </w:t>
      </w:r>
    </w:p>
    <w:p w14:paraId="2C986767" w14:textId="34280D3D" w:rsidR="00AC2122" w:rsidRDefault="00AC212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F90A7A3" w14:textId="77777777" w:rsidR="008851AE" w:rsidRPr="00AB4984" w:rsidRDefault="008851AE" w:rsidP="008F16B6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14:paraId="2DC6BF03" w14:textId="03B99C4D" w:rsidR="00401EFB" w:rsidRPr="00AB4984" w:rsidRDefault="00B95FF0" w:rsidP="003F24FF">
      <w:pPr>
        <w:spacing w:after="240"/>
        <w:jc w:val="both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t>Specific instructions</w:t>
      </w:r>
      <w:r w:rsidR="00511644">
        <w:rPr>
          <w:rFonts w:ascii="Arial" w:hAnsi="Arial" w:cs="Arial"/>
          <w:b/>
          <w:sz w:val="32"/>
          <w:szCs w:val="32"/>
        </w:rPr>
        <w:t xml:space="preserve"> – ARF 7</w:t>
      </w:r>
      <w:r w:rsidR="00C22A66">
        <w:rPr>
          <w:rFonts w:ascii="Arial" w:hAnsi="Arial" w:cs="Arial"/>
          <w:b/>
          <w:sz w:val="32"/>
          <w:szCs w:val="32"/>
        </w:rPr>
        <w:t>5</w:t>
      </w:r>
      <w:r w:rsidR="00511644">
        <w:rPr>
          <w:rFonts w:ascii="Arial" w:hAnsi="Arial" w:cs="Arial"/>
          <w:b/>
          <w:sz w:val="32"/>
          <w:szCs w:val="32"/>
        </w:rPr>
        <w:t>0.0</w:t>
      </w:r>
    </w:p>
    <w:p w14:paraId="3C9A98ED" w14:textId="295BD008" w:rsidR="00827675" w:rsidRPr="00AB4984" w:rsidRDefault="000952DD" w:rsidP="006934C5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indicate that the definition is provided </w:t>
      </w:r>
      <w:r w:rsidR="00791C49" w:rsidRPr="00AB4984">
        <w:rPr>
          <w:rFonts w:ascii="Times New Roman" w:hAnsi="Times New Roman"/>
          <w:sz w:val="24"/>
          <w:szCs w:val="24"/>
        </w:rPr>
        <w:t xml:space="preserve">in </w:t>
      </w:r>
      <w:r w:rsidR="008F16B6">
        <w:rPr>
          <w:rFonts w:ascii="Times New Roman" w:hAnsi="Times New Roman"/>
          <w:sz w:val="24"/>
          <w:szCs w:val="24"/>
        </w:rPr>
        <w:t>this Reporting Standard</w:t>
      </w:r>
      <w:r w:rsidRPr="00AB4984">
        <w:rPr>
          <w:rFonts w:ascii="Times New Roman" w:hAnsi="Times New Roman"/>
          <w:sz w:val="24"/>
          <w:szCs w:val="24"/>
        </w:rPr>
        <w:t>.</w:t>
      </w:r>
    </w:p>
    <w:p w14:paraId="11E996D7" w14:textId="77777777" w:rsidR="000952DD" w:rsidRPr="00AB4984" w:rsidRDefault="00827675" w:rsidP="006934C5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AB4984">
        <w:rPr>
          <w:rFonts w:ascii="Times New Roman" w:hAnsi="Times New Roman"/>
          <w:sz w:val="24"/>
          <w:szCs w:val="24"/>
        </w:rPr>
        <w:t xml:space="preserve"> shaded in grey </w:t>
      </w:r>
      <w:r w:rsidR="00A175B4">
        <w:rPr>
          <w:rFonts w:ascii="Times New Roman" w:hAnsi="Times New Roman"/>
          <w:sz w:val="24"/>
          <w:szCs w:val="24"/>
        </w:rPr>
        <w:t xml:space="preserve">and </w:t>
      </w:r>
      <w:r w:rsidR="0088018D" w:rsidRPr="00AB4984">
        <w:rPr>
          <w:rFonts w:ascii="Times New Roman" w:hAnsi="Times New Roman"/>
          <w:sz w:val="24"/>
          <w:szCs w:val="24"/>
        </w:rPr>
        <w:t xml:space="preserve">are </w:t>
      </w:r>
      <w:r w:rsidRPr="00AB4984">
        <w:rPr>
          <w:rFonts w:ascii="Times New Roman" w:hAnsi="Times New Roman"/>
          <w:sz w:val="24"/>
          <w:szCs w:val="24"/>
        </w:rPr>
        <w:t xml:space="preserve">explained </w:t>
      </w:r>
      <w:r w:rsidR="00BB17AE" w:rsidRPr="00AB4984">
        <w:rPr>
          <w:rFonts w:ascii="Times New Roman" w:hAnsi="Times New Roman"/>
          <w:sz w:val="24"/>
          <w:szCs w:val="24"/>
        </w:rPr>
        <w:t xml:space="preserve">in </w:t>
      </w:r>
      <w:r w:rsidRPr="00AB4984">
        <w:rPr>
          <w:rFonts w:ascii="Times New Roman" w:hAnsi="Times New Roman"/>
          <w:sz w:val="24"/>
          <w:szCs w:val="24"/>
        </w:rPr>
        <w:t xml:space="preserve">words </w:t>
      </w:r>
      <w:r w:rsidR="00BB17AE" w:rsidRPr="00AB4984">
        <w:rPr>
          <w:rFonts w:ascii="Times New Roman" w:hAnsi="Times New Roman"/>
          <w:sz w:val="24"/>
          <w:szCs w:val="24"/>
        </w:rPr>
        <w:t>as a</w:t>
      </w:r>
      <w:r w:rsidRPr="00AB4984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AB4984">
        <w:rPr>
          <w:rFonts w:ascii="Times New Roman" w:hAnsi="Times New Roman"/>
          <w:sz w:val="24"/>
          <w:szCs w:val="24"/>
        </w:rPr>
        <w:t xml:space="preserve"> expression </w:t>
      </w:r>
      <w:r w:rsidRPr="00AB4984">
        <w:rPr>
          <w:rFonts w:ascii="Times New Roman" w:hAnsi="Times New Roman"/>
          <w:sz w:val="24"/>
          <w:szCs w:val="24"/>
        </w:rPr>
        <w:t>in the</w:t>
      </w:r>
      <w:r w:rsidR="00BB17AE" w:rsidRPr="00AB4984">
        <w:rPr>
          <w:rFonts w:ascii="Times New Roman" w:hAnsi="Times New Roman"/>
          <w:sz w:val="24"/>
          <w:szCs w:val="24"/>
        </w:rPr>
        <w:t>se</w:t>
      </w:r>
      <w:r w:rsidRPr="00AB4984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AB4984">
        <w:rPr>
          <w:rFonts w:ascii="Times New Roman" w:hAnsi="Times New Roman"/>
          <w:sz w:val="24"/>
          <w:szCs w:val="24"/>
        </w:rPr>
        <w:t xml:space="preserve">  </w:t>
      </w:r>
    </w:p>
    <w:p w14:paraId="494C684F" w14:textId="0275E9C6" w:rsidR="003D2EFF" w:rsidRDefault="003D2EFF" w:rsidP="006934C5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</w:t>
      </w:r>
      <w:r w:rsidRPr="00E320D9">
        <w:rPr>
          <w:rFonts w:ascii="Times New Roman" w:hAnsi="Times New Roman"/>
          <w:sz w:val="24"/>
          <w:szCs w:val="24"/>
        </w:rPr>
        <w:t xml:space="preserve">‘Include’ and ‘Exclude’ are </w:t>
      </w:r>
      <w:r w:rsidR="00C13CEF" w:rsidRPr="00E320D9">
        <w:rPr>
          <w:rFonts w:ascii="Times New Roman" w:hAnsi="Times New Roman"/>
          <w:sz w:val="24"/>
          <w:szCs w:val="24"/>
        </w:rPr>
        <w:t xml:space="preserve">indicative only </w:t>
      </w:r>
      <w:r w:rsidRPr="00E320D9">
        <w:rPr>
          <w:rFonts w:ascii="Times New Roman" w:hAnsi="Times New Roman"/>
          <w:sz w:val="24"/>
          <w:szCs w:val="24"/>
        </w:rPr>
        <w:t xml:space="preserve">and </w:t>
      </w:r>
      <w:r w:rsidR="003E3E5E">
        <w:rPr>
          <w:rFonts w:ascii="Times New Roman" w:hAnsi="Times New Roman"/>
          <w:sz w:val="24"/>
          <w:szCs w:val="24"/>
        </w:rPr>
        <w:t>must</w:t>
      </w:r>
      <w:r w:rsidR="003E3E5E" w:rsidRPr="00E320D9">
        <w:rPr>
          <w:rFonts w:ascii="Times New Roman" w:hAnsi="Times New Roman"/>
          <w:sz w:val="24"/>
          <w:szCs w:val="24"/>
        </w:rPr>
        <w:t xml:space="preserve"> </w:t>
      </w:r>
      <w:r w:rsidRPr="00E320D9">
        <w:rPr>
          <w:rFonts w:ascii="Times New Roman" w:hAnsi="Times New Roman"/>
          <w:sz w:val="24"/>
          <w:szCs w:val="24"/>
        </w:rPr>
        <w:t>not be taken as an exhaustive list of ite</w:t>
      </w:r>
      <w:r w:rsidR="00805365" w:rsidRPr="00E320D9">
        <w:rPr>
          <w:rFonts w:ascii="Times New Roman" w:hAnsi="Times New Roman"/>
          <w:sz w:val="24"/>
          <w:szCs w:val="24"/>
        </w:rPr>
        <w:t>ms to be included or excluded.</w:t>
      </w:r>
      <w:r w:rsidRPr="00AB4984">
        <w:rPr>
          <w:rFonts w:ascii="Times New Roman" w:hAnsi="Times New Roman"/>
          <w:i/>
          <w:sz w:val="24"/>
          <w:szCs w:val="24"/>
        </w:rPr>
        <w:t xml:space="preserve">  </w:t>
      </w:r>
    </w:p>
    <w:p w14:paraId="29446BB9" w14:textId="34CEB666" w:rsidR="006806F8" w:rsidRPr="00AE1EBD" w:rsidRDefault="000E5CE0" w:rsidP="0013255A">
      <w:pPr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0E5CE0">
        <w:rPr>
          <w:rFonts w:ascii="Arial" w:hAnsi="Arial" w:cs="Arial"/>
          <w:b/>
          <w:sz w:val="24"/>
          <w:szCs w:val="24"/>
        </w:rPr>
        <w:t xml:space="preserve">Agricultural </w:t>
      </w:r>
      <w:r w:rsidR="00EA40A5">
        <w:rPr>
          <w:rFonts w:ascii="Arial" w:hAnsi="Arial" w:cs="Arial"/>
          <w:b/>
          <w:sz w:val="24"/>
          <w:szCs w:val="24"/>
        </w:rPr>
        <w:t>activity</w:t>
      </w:r>
      <w:r w:rsidR="00EA40A5" w:rsidRPr="000E5CE0">
        <w:rPr>
          <w:rFonts w:ascii="Arial" w:hAnsi="Arial" w:cs="Arial"/>
          <w:b/>
          <w:sz w:val="24"/>
          <w:szCs w:val="24"/>
        </w:rPr>
        <w:t xml:space="preserve"> </w:t>
      </w:r>
      <w:r w:rsidRPr="000E5CE0">
        <w:rPr>
          <w:rFonts w:ascii="Arial" w:hAnsi="Arial" w:cs="Arial"/>
          <w:b/>
          <w:sz w:val="24"/>
          <w:szCs w:val="24"/>
        </w:rPr>
        <w:t>by state and territory</w:t>
      </w:r>
    </w:p>
    <w:p w14:paraId="40E56010" w14:textId="3AB4BCA9" w:rsidR="00033032" w:rsidRPr="00AB4984" w:rsidRDefault="007D3260" w:rsidP="006934C5">
      <w:pPr>
        <w:autoSpaceDE w:val="0"/>
        <w:autoSpaceDN w:val="0"/>
        <w:adjustRightInd w:val="0"/>
        <w:jc w:val="both"/>
        <w:rPr>
          <w:rFonts w:ascii="Times New Roman" w:hAnsi="Times New Roman"/>
          <w:b/>
          <w:i/>
          <w:sz w:val="24"/>
          <w:szCs w:val="24"/>
        </w:rPr>
      </w:pPr>
      <w:r w:rsidRPr="00AE1EBD">
        <w:rPr>
          <w:rFonts w:ascii="Times New Roman" w:hAnsi="Times New Roman"/>
          <w:sz w:val="24"/>
          <w:szCs w:val="24"/>
        </w:rPr>
        <w:t>I</w:t>
      </w:r>
      <w:r w:rsidR="00B95FF0" w:rsidRPr="00AE1EBD">
        <w:rPr>
          <w:rFonts w:ascii="Times New Roman" w:hAnsi="Times New Roman"/>
          <w:sz w:val="24"/>
          <w:szCs w:val="24"/>
        </w:rPr>
        <w:t>tem 1 collect</w:t>
      </w:r>
      <w:r w:rsidRPr="00AE1EBD">
        <w:rPr>
          <w:rFonts w:ascii="Times New Roman" w:hAnsi="Times New Roman"/>
          <w:sz w:val="24"/>
          <w:szCs w:val="24"/>
        </w:rPr>
        <w:t>s</w:t>
      </w:r>
      <w:r w:rsidR="00B95FF0" w:rsidRPr="00AE1EBD">
        <w:rPr>
          <w:rFonts w:ascii="Times New Roman" w:hAnsi="Times New Roman"/>
          <w:sz w:val="24"/>
          <w:szCs w:val="24"/>
        </w:rPr>
        <w:t xml:space="preserve"> information </w:t>
      </w:r>
      <w:r w:rsidR="007B56FC" w:rsidRPr="00AE1EBD">
        <w:rPr>
          <w:rFonts w:ascii="Times New Roman" w:hAnsi="Times New Roman"/>
          <w:sz w:val="24"/>
          <w:szCs w:val="24"/>
        </w:rPr>
        <w:t xml:space="preserve">on </w:t>
      </w:r>
      <w:r w:rsidR="007B56FC">
        <w:rPr>
          <w:rFonts w:ascii="Times New Roman" w:hAnsi="Times New Roman"/>
          <w:sz w:val="24"/>
          <w:szCs w:val="24"/>
        </w:rPr>
        <w:t xml:space="preserve">the </w:t>
      </w:r>
      <w:r w:rsidR="00345CFF">
        <w:rPr>
          <w:rFonts w:ascii="Times New Roman" w:hAnsi="Times New Roman"/>
          <w:b/>
          <w:i/>
          <w:sz w:val="24"/>
          <w:szCs w:val="24"/>
        </w:rPr>
        <w:t>credit outstanding</w:t>
      </w:r>
      <w:r w:rsidR="007B56FC" w:rsidRPr="00F717A1" w:rsidDel="001D7C6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7B56FC" w:rsidRPr="00CD5483">
        <w:rPr>
          <w:rFonts w:ascii="Times New Roman" w:hAnsi="Times New Roman"/>
          <w:sz w:val="24"/>
          <w:szCs w:val="24"/>
        </w:rPr>
        <w:t>and</w:t>
      </w:r>
      <w:r w:rsidR="007B56FC">
        <w:rPr>
          <w:rFonts w:ascii="Times New Roman" w:hAnsi="Times New Roman"/>
          <w:i/>
          <w:sz w:val="24"/>
          <w:szCs w:val="24"/>
        </w:rPr>
        <w:t xml:space="preserve"> </w:t>
      </w:r>
      <w:r w:rsidR="007B56FC" w:rsidRPr="00F74BA4">
        <w:rPr>
          <w:rFonts w:ascii="Times New Roman" w:hAnsi="Times New Roman"/>
          <w:sz w:val="24"/>
          <w:szCs w:val="24"/>
        </w:rPr>
        <w:t>t</w:t>
      </w:r>
      <w:r w:rsidR="007B56FC" w:rsidRPr="00F74BA4">
        <w:rPr>
          <w:rFonts w:ascii="Times New Roman" w:hAnsi="Times New Roman"/>
          <w:bCs/>
          <w:iCs/>
          <w:sz w:val="24"/>
          <w:szCs w:val="24"/>
        </w:rPr>
        <w:t>otal</w:t>
      </w:r>
      <w:r w:rsidR="007B56FC" w:rsidRPr="00D56EE1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CD6009">
        <w:rPr>
          <w:rFonts w:ascii="Times New Roman" w:hAnsi="Times New Roman"/>
          <w:b/>
          <w:bCs/>
          <w:i/>
          <w:iCs/>
          <w:sz w:val="24"/>
          <w:szCs w:val="24"/>
        </w:rPr>
        <w:t>credit limits</w:t>
      </w:r>
      <w:r w:rsidR="007B56FC" w:rsidRPr="00D56EE1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7B56FC" w:rsidRPr="00CD5483">
        <w:rPr>
          <w:rFonts w:ascii="Times New Roman" w:hAnsi="Times New Roman"/>
          <w:sz w:val="24"/>
          <w:szCs w:val="24"/>
        </w:rPr>
        <w:t>for</w:t>
      </w:r>
      <w:r w:rsidR="007B56FC">
        <w:rPr>
          <w:rFonts w:ascii="Times New Roman" w:hAnsi="Times New Roman"/>
          <w:b/>
          <w:i/>
          <w:sz w:val="24"/>
          <w:szCs w:val="24"/>
        </w:rPr>
        <w:t xml:space="preserve"> loans and leases</w:t>
      </w:r>
      <w:r w:rsidR="00C57C1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57C1E" w:rsidRPr="00C57C1E">
        <w:rPr>
          <w:rFonts w:ascii="Times New Roman" w:hAnsi="Times New Roman"/>
          <w:sz w:val="24"/>
          <w:szCs w:val="24"/>
        </w:rPr>
        <w:t>to</w:t>
      </w:r>
      <w:r w:rsidR="00953C1B">
        <w:rPr>
          <w:rFonts w:ascii="Times New Roman" w:hAnsi="Times New Roman"/>
          <w:sz w:val="24"/>
          <w:szCs w:val="24"/>
        </w:rPr>
        <w:t xml:space="preserve"> </w:t>
      </w:r>
      <w:r w:rsidR="00C57C1E" w:rsidRPr="00F74BA4">
        <w:rPr>
          <w:rFonts w:ascii="Times New Roman" w:hAnsi="Times New Roman"/>
          <w:sz w:val="24"/>
          <w:szCs w:val="24"/>
        </w:rPr>
        <w:t>business entities</w:t>
      </w:r>
      <w:r w:rsidR="00953C1B">
        <w:rPr>
          <w:rFonts w:ascii="Times New Roman" w:hAnsi="Times New Roman"/>
          <w:sz w:val="24"/>
          <w:szCs w:val="24"/>
        </w:rPr>
        <w:t xml:space="preserve"> and </w:t>
      </w:r>
      <w:r w:rsidR="00C57C1E" w:rsidRPr="00F74BA4">
        <w:rPr>
          <w:rFonts w:ascii="Times New Roman" w:hAnsi="Times New Roman"/>
          <w:sz w:val="24"/>
          <w:szCs w:val="24"/>
        </w:rPr>
        <w:t>business entities</w:t>
      </w:r>
      <w:r w:rsidR="00953C1B" w:rsidRPr="00F717A1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D29E4" w:rsidRPr="003D3C1D">
        <w:rPr>
          <w:rFonts w:ascii="Times New Roman" w:hAnsi="Times New Roman"/>
          <w:sz w:val="24"/>
          <w:szCs w:val="24"/>
        </w:rPr>
        <w:t>more than</w:t>
      </w:r>
      <w:r w:rsidR="000D29E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F192D" w:rsidRPr="003D3C1D">
        <w:rPr>
          <w:rFonts w:ascii="Times New Roman" w:hAnsi="Times New Roman"/>
          <w:b/>
          <w:i/>
          <w:sz w:val="24"/>
          <w:szCs w:val="24"/>
        </w:rPr>
        <w:t>90 days</w:t>
      </w:r>
      <w:r w:rsidR="00CF192D" w:rsidRPr="0013255A">
        <w:rPr>
          <w:rFonts w:ascii="Times New Roman" w:hAnsi="Times New Roman"/>
          <w:sz w:val="24"/>
          <w:szCs w:val="24"/>
        </w:rPr>
        <w:t xml:space="preserve"> </w:t>
      </w:r>
      <w:r w:rsidR="007B56FC">
        <w:rPr>
          <w:rFonts w:ascii="Times New Roman" w:hAnsi="Times New Roman"/>
          <w:b/>
          <w:i/>
          <w:sz w:val="24"/>
          <w:szCs w:val="24"/>
        </w:rPr>
        <w:t>past due</w:t>
      </w:r>
      <w:r w:rsidR="00294A27" w:rsidRPr="00F717A1">
        <w:rPr>
          <w:rFonts w:ascii="Times New Roman" w:hAnsi="Times New Roman"/>
          <w:sz w:val="24"/>
          <w:szCs w:val="24"/>
        </w:rPr>
        <w:t xml:space="preserve"> </w:t>
      </w:r>
      <w:r w:rsidR="00F717A1" w:rsidRPr="00F717A1">
        <w:rPr>
          <w:rFonts w:ascii="Times New Roman" w:hAnsi="Times New Roman"/>
          <w:sz w:val="24"/>
          <w:szCs w:val="24"/>
        </w:rPr>
        <w:t xml:space="preserve">in the </w:t>
      </w:r>
      <w:r w:rsidR="00F717A1">
        <w:rPr>
          <w:rFonts w:ascii="Times New Roman" w:hAnsi="Times New Roman"/>
          <w:sz w:val="24"/>
          <w:szCs w:val="24"/>
        </w:rPr>
        <w:t xml:space="preserve">context of </w:t>
      </w:r>
      <w:r w:rsidR="00F717A1" w:rsidRPr="00F717A1">
        <w:rPr>
          <w:rFonts w:ascii="Times New Roman" w:hAnsi="Times New Roman"/>
          <w:sz w:val="24"/>
          <w:szCs w:val="24"/>
        </w:rPr>
        <w:t xml:space="preserve">agricultural </w:t>
      </w:r>
      <w:r w:rsidR="00F717A1">
        <w:rPr>
          <w:rFonts w:ascii="Times New Roman" w:hAnsi="Times New Roman"/>
          <w:sz w:val="24"/>
          <w:szCs w:val="24"/>
        </w:rPr>
        <w:t>activity</w:t>
      </w:r>
      <w:r w:rsidR="00CF192D">
        <w:rPr>
          <w:rFonts w:ascii="Times New Roman" w:hAnsi="Times New Roman"/>
          <w:sz w:val="24"/>
          <w:szCs w:val="24"/>
        </w:rPr>
        <w:t xml:space="preserve">, divided by </w:t>
      </w:r>
      <w:r w:rsidR="00CF192D" w:rsidRPr="00CF192D">
        <w:rPr>
          <w:rFonts w:ascii="Times New Roman" w:hAnsi="Times New Roman"/>
          <w:b/>
          <w:i/>
          <w:sz w:val="24"/>
          <w:szCs w:val="24"/>
        </w:rPr>
        <w:t>state/territory</w:t>
      </w:r>
      <w:r w:rsidR="00CF192D">
        <w:rPr>
          <w:rFonts w:ascii="Times New Roman" w:hAnsi="Times New Roman"/>
          <w:sz w:val="24"/>
          <w:szCs w:val="24"/>
        </w:rPr>
        <w:t>.</w:t>
      </w:r>
    </w:p>
    <w:p w14:paraId="3AA32712" w14:textId="77777777" w:rsidR="00B83D0E" w:rsidRDefault="00B83D0E" w:rsidP="006934C5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</w:p>
    <w:p w14:paraId="7BB382C8" w14:textId="77777777" w:rsidR="00303287" w:rsidRDefault="00303287" w:rsidP="0030328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Where only a portion of the </w:t>
      </w:r>
      <w:r w:rsidRPr="00077B48">
        <w:rPr>
          <w:rFonts w:ascii="Times New Roman" w:hAnsi="Times New Roman"/>
          <w:sz w:val="24"/>
          <w:szCs w:val="24"/>
        </w:rPr>
        <w:t xml:space="preserve">loan or lease </w:t>
      </w:r>
      <w:r>
        <w:rPr>
          <w:rFonts w:ascii="Times New Roman" w:hAnsi="Times New Roman"/>
          <w:sz w:val="24"/>
          <w:szCs w:val="24"/>
        </w:rPr>
        <w:t>is for the purpose of agricultural activity, only report the loan or lease when a majority, whether or not drawn down, is for agricultural purposes.</w:t>
      </w:r>
    </w:p>
    <w:p w14:paraId="5AFF338A" w14:textId="77777777" w:rsidR="00303287" w:rsidRDefault="00303287" w:rsidP="006934C5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</w:p>
    <w:p w14:paraId="5DA81E8C" w14:textId="781B3A73" w:rsidR="002F402C" w:rsidRDefault="002F402C" w:rsidP="006934C5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  <w:r w:rsidRPr="002F402C">
        <w:rPr>
          <w:rFonts w:ascii="Times New Roman" w:hAnsi="Times New Roman"/>
          <w:b/>
          <w:sz w:val="24"/>
          <w:szCs w:val="24"/>
        </w:rPr>
        <w:t xml:space="preserve">Reporting basis: </w:t>
      </w:r>
      <w:r w:rsidRPr="003D3C1D">
        <w:rPr>
          <w:rFonts w:ascii="Times New Roman" w:hAnsi="Times New Roman"/>
          <w:sz w:val="24"/>
          <w:szCs w:val="24"/>
        </w:rPr>
        <w:t xml:space="preserve">report item 1 as at the end of the </w:t>
      </w:r>
      <w:r w:rsidRPr="003D3C1D">
        <w:rPr>
          <w:rFonts w:ascii="Times New Roman" w:hAnsi="Times New Roman"/>
          <w:b/>
          <w:i/>
          <w:sz w:val="24"/>
          <w:szCs w:val="24"/>
        </w:rPr>
        <w:t>reporting period</w:t>
      </w:r>
      <w:r w:rsidRPr="003D3C1D">
        <w:rPr>
          <w:rFonts w:ascii="Times New Roman" w:hAnsi="Times New Roman"/>
          <w:sz w:val="24"/>
          <w:szCs w:val="24"/>
        </w:rPr>
        <w:t>.</w:t>
      </w:r>
    </w:p>
    <w:p w14:paraId="1B52C670" w14:textId="77777777" w:rsidR="002F402C" w:rsidRDefault="002F402C" w:rsidP="006934C5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</w:rPr>
      </w:pPr>
    </w:p>
    <w:p w14:paraId="201EAE8A" w14:textId="1AFFCA59" w:rsidR="003D2EFF" w:rsidRPr="00AB4984" w:rsidRDefault="00741FF2" w:rsidP="006934C5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84446C">
        <w:rPr>
          <w:rFonts w:ascii="Times New Roman" w:hAnsi="Times New Roman"/>
          <w:b/>
          <w:sz w:val="24"/>
          <w:szCs w:val="24"/>
        </w:rPr>
        <w:t>SBR</w:t>
      </w:r>
      <w:r w:rsidR="00B83D0E" w:rsidRPr="0084446C">
        <w:rPr>
          <w:rFonts w:ascii="Times New Roman" w:hAnsi="Times New Roman"/>
          <w:b/>
          <w:sz w:val="24"/>
          <w:szCs w:val="24"/>
        </w:rPr>
        <w:t>:</w:t>
      </w:r>
      <w:r w:rsidR="00B83D0E" w:rsidRPr="0084446C">
        <w:rPr>
          <w:rFonts w:ascii="Times New Roman" w:hAnsi="Times New Roman"/>
          <w:sz w:val="24"/>
          <w:szCs w:val="24"/>
        </w:rPr>
        <w:t xml:space="preserve"> </w:t>
      </w:r>
      <w:r w:rsidRPr="0084446C">
        <w:rPr>
          <w:rFonts w:ascii="Times New Roman" w:hAnsi="Times New Roman"/>
          <w:sz w:val="24"/>
          <w:szCs w:val="24"/>
        </w:rPr>
        <w:t xml:space="preserve">submit </w:t>
      </w:r>
      <w:r w:rsidR="00D350CC">
        <w:rPr>
          <w:rFonts w:ascii="Times New Roman" w:hAnsi="Times New Roman"/>
          <w:sz w:val="24"/>
          <w:szCs w:val="24"/>
        </w:rPr>
        <w:t>data in</w:t>
      </w:r>
      <w:r w:rsidR="00B83D0E" w:rsidRPr="0084446C">
        <w:rPr>
          <w:rFonts w:ascii="Times New Roman" w:hAnsi="Times New Roman"/>
          <w:sz w:val="24"/>
          <w:szCs w:val="24"/>
        </w:rPr>
        <w:t xml:space="preserve"> </w:t>
      </w:r>
      <w:r w:rsidR="0084446C">
        <w:rPr>
          <w:rFonts w:ascii="Times New Roman" w:hAnsi="Times New Roman"/>
          <w:sz w:val="24"/>
          <w:szCs w:val="24"/>
        </w:rPr>
        <w:t>column</w:t>
      </w:r>
      <w:r w:rsidR="00A77674">
        <w:rPr>
          <w:rFonts w:ascii="Times New Roman" w:hAnsi="Times New Roman"/>
          <w:sz w:val="24"/>
          <w:szCs w:val="24"/>
        </w:rPr>
        <w:t>s</w:t>
      </w:r>
      <w:r w:rsidR="0084446C">
        <w:rPr>
          <w:rFonts w:ascii="Times New Roman" w:hAnsi="Times New Roman"/>
          <w:sz w:val="24"/>
          <w:szCs w:val="24"/>
        </w:rPr>
        <w:t xml:space="preserve"> 3</w:t>
      </w:r>
      <w:r w:rsidR="00A77674">
        <w:rPr>
          <w:rFonts w:ascii="Times New Roman" w:hAnsi="Times New Roman"/>
          <w:sz w:val="24"/>
          <w:szCs w:val="24"/>
        </w:rPr>
        <w:t>, 4 and 5</w:t>
      </w:r>
      <w:r w:rsidR="0084446C">
        <w:rPr>
          <w:rFonts w:ascii="Times New Roman" w:hAnsi="Times New Roman"/>
          <w:sz w:val="24"/>
          <w:szCs w:val="24"/>
        </w:rPr>
        <w:t xml:space="preserve"> </w:t>
      </w:r>
      <w:r w:rsidR="00B83D0E" w:rsidRPr="0084446C">
        <w:rPr>
          <w:rFonts w:ascii="Times New Roman" w:hAnsi="Times New Roman"/>
          <w:sz w:val="24"/>
          <w:szCs w:val="24"/>
        </w:rPr>
        <w:t>with accounting type of debit (assets)</w:t>
      </w:r>
      <w:r w:rsidR="00047D9E" w:rsidRPr="0084446C">
        <w:rPr>
          <w:rFonts w:ascii="Times New Roman" w:hAnsi="Times New Roman"/>
          <w:sz w:val="24"/>
          <w:szCs w:val="24"/>
        </w:rPr>
        <w:t>.</w:t>
      </w:r>
      <w:r w:rsidR="00033032" w:rsidRPr="00AB4984">
        <w:rPr>
          <w:rFonts w:ascii="Times New Roman" w:hAnsi="Times New Roman"/>
          <w:sz w:val="24"/>
          <w:szCs w:val="24"/>
        </w:rPr>
        <w:t xml:space="preserve"> </w:t>
      </w:r>
    </w:p>
    <w:p w14:paraId="541AA52B" w14:textId="77777777" w:rsidR="003F38D8" w:rsidRPr="007F4E77" w:rsidRDefault="003F38D8" w:rsidP="006934C5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AB4984" w:rsidRPr="00AB4984" w14:paraId="17527271" w14:textId="77777777" w:rsidTr="00731866">
        <w:tc>
          <w:tcPr>
            <w:tcW w:w="1701" w:type="dxa"/>
            <w:shd w:val="clear" w:color="auto" w:fill="auto"/>
          </w:tcPr>
          <w:p w14:paraId="1D3F55F0" w14:textId="77777777" w:rsidR="00766866" w:rsidRPr="00AB4984" w:rsidRDefault="00766866" w:rsidP="00F64721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 xml:space="preserve">Column 1 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07178638" w14:textId="5E07EB9B" w:rsidR="008234C1" w:rsidRDefault="00814DE4" w:rsidP="0091500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state/territory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which the </w:t>
            </w:r>
            <w:r w:rsidR="00BF4404" w:rsidRPr="00F74BA4">
              <w:rPr>
                <w:rFonts w:ascii="Times New Roman" w:hAnsi="Times New Roman"/>
                <w:sz w:val="24"/>
                <w:szCs w:val="24"/>
              </w:rPr>
              <w:t>business entit</w:t>
            </w:r>
            <w:r w:rsidR="007B2ACC" w:rsidRPr="00F74BA4">
              <w:rPr>
                <w:rFonts w:ascii="Times New Roman" w:hAnsi="Times New Roman"/>
                <w:sz w:val="24"/>
                <w:szCs w:val="24"/>
              </w:rPr>
              <w:t>y’s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agricultural activity </w:t>
            </w:r>
            <w:r w:rsidR="00DE39C5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which the </w:t>
            </w:r>
            <w:r w:rsidRPr="00AD5714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="00A77674" w:rsidRPr="00AD571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or lease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39C5">
              <w:rPr>
                <w:rFonts w:ascii="Times New Roman" w:hAnsi="Times New Roman"/>
                <w:sz w:val="24"/>
                <w:szCs w:val="24"/>
              </w:rPr>
              <w:t xml:space="preserve">provided </w:t>
            </w:r>
            <w:r>
              <w:rPr>
                <w:rFonts w:ascii="Times New Roman" w:hAnsi="Times New Roman"/>
                <w:sz w:val="24"/>
                <w:szCs w:val="24"/>
              </w:rPr>
              <w:t>is undertaken.</w:t>
            </w:r>
          </w:p>
          <w:p w14:paraId="19A62E7F" w14:textId="47CBA407" w:rsidR="008E657A" w:rsidRPr="00731866" w:rsidRDefault="00814DE4" w:rsidP="0091500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Where a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loan</w:t>
            </w:r>
            <w:r w:rsidR="00C77844" w:rsidRPr="00F74BA4">
              <w:rPr>
                <w:rFonts w:ascii="Times New Roman" w:hAnsi="Times New Roman"/>
                <w:sz w:val="24"/>
                <w:szCs w:val="24"/>
              </w:rPr>
              <w:t xml:space="preserve"> or lease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directed to agricultural activity across </w:t>
            </w:r>
            <w:r w:rsidR="008E657A">
              <w:rPr>
                <w:rFonts w:ascii="Times New Roman" w:hAnsi="Times New Roman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ultiple states and territories, </w:t>
            </w:r>
            <w:r w:rsidR="00B67EEB">
              <w:rPr>
                <w:rFonts w:ascii="Times New Roman" w:hAnsi="Times New Roman"/>
                <w:sz w:val="24"/>
                <w:szCs w:val="24"/>
              </w:rPr>
              <w:t>attribute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loan </w:t>
            </w:r>
            <w:r w:rsidR="00B67EEB">
              <w:rPr>
                <w:rFonts w:ascii="Times New Roman" w:hAnsi="Times New Roman"/>
                <w:sz w:val="24"/>
                <w:szCs w:val="24"/>
              </w:rPr>
              <w:t xml:space="preserve">to the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state</w:t>
            </w:r>
            <w:r w:rsidR="00B67EEB" w:rsidRPr="00F74BA4">
              <w:rPr>
                <w:rFonts w:ascii="Times New Roman" w:hAnsi="Times New Roman"/>
                <w:sz w:val="24"/>
                <w:szCs w:val="24"/>
              </w:rPr>
              <w:t>/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territory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 which </w:t>
            </w:r>
            <w:r w:rsidR="00B67EEB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B67EEB" w:rsidRPr="00D07900">
              <w:rPr>
                <w:rFonts w:ascii="Times New Roman" w:hAnsi="Times New Roman"/>
                <w:sz w:val="24"/>
                <w:szCs w:val="24"/>
              </w:rPr>
              <w:t>majority</w:t>
            </w:r>
            <w:r w:rsidR="00B67EEB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/>
                <w:sz w:val="24"/>
                <w:szCs w:val="24"/>
              </w:rPr>
              <w:t>the activity is undertaken</w:t>
            </w:r>
            <w:r w:rsidR="00A06A73">
              <w:rPr>
                <w:rFonts w:ascii="Times New Roman" w:hAnsi="Times New Roman"/>
                <w:sz w:val="24"/>
                <w:szCs w:val="24"/>
              </w:rPr>
              <w:t>, based on the revenue ultimately derived from the agricultural activity.</w:t>
            </w:r>
          </w:p>
        </w:tc>
      </w:tr>
      <w:tr w:rsidR="00766866" w:rsidRPr="00AB4984" w14:paraId="32394F53" w14:textId="77777777" w:rsidTr="00731866">
        <w:tc>
          <w:tcPr>
            <w:tcW w:w="1701" w:type="dxa"/>
            <w:shd w:val="clear" w:color="auto" w:fill="auto"/>
          </w:tcPr>
          <w:p w14:paraId="50FD0449" w14:textId="77777777" w:rsidR="00766866" w:rsidRPr="00AB4984" w:rsidRDefault="00766866" w:rsidP="00F64721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1B03F204" w14:textId="35CF9F17" w:rsidR="008234C1" w:rsidRDefault="00814DE4" w:rsidP="0091500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814DE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industry </w:t>
            </w:r>
            <w:r w:rsidR="00654E02">
              <w:rPr>
                <w:rFonts w:ascii="Times New Roman" w:hAnsi="Times New Roman"/>
                <w:b/>
                <w:i/>
                <w:sz w:val="24"/>
                <w:szCs w:val="24"/>
              </w:rPr>
              <w:t>classification</w:t>
            </w:r>
            <w:r w:rsidR="00654E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of the</w:t>
            </w:r>
            <w:r w:rsidR="007B56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F4404" w:rsidRPr="00F74BA4">
              <w:rPr>
                <w:rFonts w:ascii="Times New Roman" w:hAnsi="Times New Roman"/>
                <w:sz w:val="24"/>
                <w:szCs w:val="24"/>
              </w:rPr>
              <w:t>business entit</w:t>
            </w:r>
            <w:r w:rsidR="007B2ACC" w:rsidRPr="00F74BA4">
              <w:rPr>
                <w:rFonts w:ascii="Times New Roman" w:hAnsi="Times New Roman"/>
                <w:sz w:val="24"/>
                <w:szCs w:val="24"/>
              </w:rPr>
              <w:t>y’s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agricultural activity </w:t>
            </w:r>
            <w:r w:rsidR="00DE39C5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which the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 xml:space="preserve">loan </w:t>
            </w:r>
            <w:r w:rsidR="00A77674" w:rsidRPr="00F74BA4">
              <w:rPr>
                <w:rFonts w:ascii="Times New Roman" w:hAnsi="Times New Roman"/>
                <w:sz w:val="24"/>
                <w:szCs w:val="24"/>
              </w:rPr>
              <w:t>or lease</w:t>
            </w:r>
            <w:r w:rsidR="00A7767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39C5">
              <w:rPr>
                <w:rFonts w:ascii="Times New Roman" w:hAnsi="Times New Roman"/>
                <w:sz w:val="24"/>
                <w:szCs w:val="24"/>
              </w:rPr>
              <w:t xml:space="preserve">provided </w:t>
            </w:r>
            <w:r>
              <w:rPr>
                <w:rFonts w:ascii="Times New Roman" w:hAnsi="Times New Roman"/>
                <w:sz w:val="24"/>
                <w:szCs w:val="24"/>
              </w:rPr>
              <w:t>is undertaken.</w:t>
            </w:r>
          </w:p>
          <w:p w14:paraId="59627BEE" w14:textId="0FFEEBCE" w:rsidR="008E657A" w:rsidRPr="00731866" w:rsidRDefault="00814DE4" w:rsidP="0091500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Where a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loan</w:t>
            </w:r>
            <w:r w:rsidR="00C77844" w:rsidRPr="00F74BA4">
              <w:rPr>
                <w:rFonts w:ascii="Times New Roman" w:hAnsi="Times New Roman"/>
                <w:sz w:val="24"/>
                <w:szCs w:val="24"/>
              </w:rPr>
              <w:t xml:space="preserve"> or lease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is directed to agricultural activity across multiple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8445A9" w:rsidRPr="00F74BA4">
              <w:rPr>
                <w:rFonts w:ascii="Times New Roman" w:hAnsi="Times New Roman"/>
                <w:sz w:val="24"/>
                <w:szCs w:val="24"/>
              </w:rPr>
              <w:t>classifications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B67EEB">
              <w:rPr>
                <w:rFonts w:ascii="Times New Roman" w:hAnsi="Times New Roman"/>
                <w:sz w:val="24"/>
                <w:szCs w:val="24"/>
              </w:rPr>
              <w:t xml:space="preserve">attribute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loan </w:t>
            </w:r>
            <w:r w:rsidR="00B67EEB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</w:t>
            </w:r>
            <w:r w:rsidR="00654E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in which </w:t>
            </w:r>
            <w:r w:rsidR="00317844">
              <w:rPr>
                <w:rFonts w:ascii="Times New Roman" w:hAnsi="Times New Roman"/>
                <w:sz w:val="24"/>
                <w:szCs w:val="24"/>
              </w:rPr>
              <w:t xml:space="preserve">a majority of </w:t>
            </w:r>
            <w:r>
              <w:rPr>
                <w:rFonts w:ascii="Times New Roman" w:hAnsi="Times New Roman"/>
                <w:sz w:val="24"/>
                <w:szCs w:val="24"/>
              </w:rPr>
              <w:t>the activity is undertaken.</w:t>
            </w:r>
          </w:p>
        </w:tc>
      </w:tr>
      <w:tr w:rsidR="00731866" w:rsidRPr="00AB4984" w14:paraId="0EB8BE4D" w14:textId="77777777" w:rsidTr="00731866">
        <w:tc>
          <w:tcPr>
            <w:tcW w:w="1701" w:type="dxa"/>
            <w:shd w:val="clear" w:color="auto" w:fill="auto"/>
          </w:tcPr>
          <w:p w14:paraId="5BA4F246" w14:textId="77777777" w:rsidR="00731866" w:rsidRPr="00AB4984" w:rsidRDefault="00731866" w:rsidP="00F64721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Column 3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1BC5CF91" w14:textId="0D776AB1" w:rsidR="008E657A" w:rsidRPr="00731866" w:rsidRDefault="00814DE4" w:rsidP="0091500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total </w:t>
            </w:r>
            <w:r w:rsidR="00345CFF" w:rsidRPr="00F74BA4">
              <w:rPr>
                <w:rFonts w:ascii="Times New Roman" w:hAnsi="Times New Roman"/>
                <w:sz w:val="24"/>
                <w:szCs w:val="24"/>
              </w:rPr>
              <w:t>credit outstanding</w:t>
            </w:r>
            <w:r w:rsidR="007B56FC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7B56FC" w:rsidRPr="00F74BA4">
              <w:rPr>
                <w:rFonts w:ascii="Times New Roman" w:hAnsi="Times New Roman"/>
                <w:sz w:val="24"/>
                <w:szCs w:val="24"/>
              </w:rPr>
              <w:t>loans and leases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B56FC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="00C57C1E" w:rsidRPr="00F74BA4">
              <w:rPr>
                <w:rFonts w:ascii="Times New Roman" w:hAnsi="Times New Roman"/>
                <w:sz w:val="24"/>
                <w:szCs w:val="24"/>
              </w:rPr>
              <w:t>business entities</w:t>
            </w:r>
            <w:r w:rsidR="007B56FC">
              <w:rPr>
                <w:rFonts w:ascii="Times New Roman" w:hAnsi="Times New Roman"/>
                <w:sz w:val="24"/>
                <w:szCs w:val="24"/>
              </w:rPr>
              <w:t xml:space="preserve"> within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state/territory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</w:t>
            </w:r>
            <w:r w:rsidR="00654E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selected.</w:t>
            </w:r>
          </w:p>
        </w:tc>
      </w:tr>
      <w:tr w:rsidR="00731866" w:rsidRPr="00AB4984" w14:paraId="078774B8" w14:textId="77777777" w:rsidTr="00731866">
        <w:tc>
          <w:tcPr>
            <w:tcW w:w="1701" w:type="dxa"/>
            <w:shd w:val="clear" w:color="auto" w:fill="auto"/>
          </w:tcPr>
          <w:p w14:paraId="60695488" w14:textId="77777777" w:rsidR="00731866" w:rsidRPr="00AB4984" w:rsidRDefault="00731866" w:rsidP="00F64721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4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60ADD313" w14:textId="5A03CC4A" w:rsidR="008E657A" w:rsidRPr="00731866" w:rsidRDefault="007B56FC" w:rsidP="00915005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C75E5B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r w:rsidR="00CD6009" w:rsidRPr="00F74BA4">
              <w:rPr>
                <w:rFonts w:ascii="Times New Roman" w:hAnsi="Times New Roman"/>
                <w:sz w:val="24"/>
                <w:szCs w:val="24"/>
              </w:rPr>
              <w:t>credit limits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loans and leases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C57C1E" w:rsidRPr="00F74BA4">
              <w:rPr>
                <w:rFonts w:ascii="Times New Roman" w:hAnsi="Times New Roman"/>
                <w:sz w:val="24"/>
                <w:szCs w:val="24"/>
              </w:rPr>
              <w:t>business entities</w:t>
            </w:r>
            <w:r w:rsidR="00C57C1E" w:rsidRPr="00C960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within the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state/territory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</w:t>
            </w:r>
            <w:r w:rsidR="00654E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selected.</w:t>
            </w:r>
            <w:r w:rsidR="00814DE4" w:rsidRPr="00731866">
              <w:rPr>
                <w:rFonts w:ascii="Times New Roman" w:hAnsi="Times New Roman"/>
                <w:bCs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731866" w:rsidRPr="00AB4984" w14:paraId="36CA121D" w14:textId="77777777" w:rsidTr="0013255A">
        <w:tc>
          <w:tcPr>
            <w:tcW w:w="1701" w:type="dxa"/>
            <w:shd w:val="clear" w:color="auto" w:fill="auto"/>
          </w:tcPr>
          <w:p w14:paraId="72957123" w14:textId="77777777" w:rsidR="00731866" w:rsidRPr="00AB4984" w:rsidRDefault="00731866" w:rsidP="00F64721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5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73E1C185" w14:textId="452B39C7" w:rsidR="008234C1" w:rsidRPr="00731866" w:rsidRDefault="00A968B3" w:rsidP="0091500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C75E5B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r w:rsidR="00345CFF" w:rsidRPr="00F74BA4">
              <w:rPr>
                <w:rFonts w:ascii="Times New Roman" w:hAnsi="Times New Roman"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loans and leases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C57C1E" w:rsidRPr="00F74BA4">
              <w:rPr>
                <w:rFonts w:ascii="Times New Roman" w:hAnsi="Times New Roman"/>
                <w:sz w:val="24"/>
                <w:szCs w:val="24"/>
              </w:rPr>
              <w:t>business entities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within the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state/territory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</w:t>
            </w:r>
            <w:r w:rsidR="00654E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selected</w:t>
            </w:r>
            <w:r w:rsidR="00A77674">
              <w:rPr>
                <w:rFonts w:ascii="Times New Roman" w:hAnsi="Times New Roman"/>
                <w:sz w:val="24"/>
                <w:szCs w:val="24"/>
              </w:rPr>
              <w:t xml:space="preserve"> for which the loan or lease is more than </w:t>
            </w:r>
            <w:r w:rsidR="00A77674" w:rsidRPr="00F74BA4">
              <w:rPr>
                <w:rFonts w:ascii="Times New Roman" w:hAnsi="Times New Roman"/>
                <w:sz w:val="24"/>
                <w:szCs w:val="24"/>
              </w:rPr>
              <w:t>90 days</w:t>
            </w:r>
            <w:r w:rsidR="00A77674" w:rsidRPr="00C960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77674" w:rsidRPr="00F74BA4">
              <w:rPr>
                <w:rFonts w:ascii="Times New Roman" w:hAnsi="Times New Roman"/>
                <w:sz w:val="24"/>
                <w:szCs w:val="24"/>
              </w:rPr>
              <w:t>past due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B56FC" w:rsidRPr="00AB4984" w14:paraId="35710C93" w14:textId="77777777" w:rsidTr="0013255A">
        <w:tc>
          <w:tcPr>
            <w:tcW w:w="1701" w:type="dxa"/>
            <w:shd w:val="clear" w:color="auto" w:fill="auto"/>
          </w:tcPr>
          <w:p w14:paraId="6F609913" w14:textId="28C716F8" w:rsidR="007B56FC" w:rsidRDefault="007B56FC" w:rsidP="00F64721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6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1DA616DA" w14:textId="0C861DBE" w:rsidR="008234C1" w:rsidRDefault="007B56FC" w:rsidP="007B56F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total </w:t>
            </w:r>
            <w:r w:rsidRPr="00C75E5B">
              <w:rPr>
                <w:rFonts w:ascii="Times New Roman" w:hAnsi="Times New Roman"/>
                <w:sz w:val="24"/>
                <w:szCs w:val="24"/>
              </w:rPr>
              <w:t xml:space="preserve">number of </w:t>
            </w:r>
            <w:r w:rsidR="00C57C1E" w:rsidRPr="00F74BA4">
              <w:rPr>
                <w:rFonts w:ascii="Times New Roman" w:hAnsi="Times New Roman"/>
                <w:sz w:val="24"/>
                <w:szCs w:val="24"/>
              </w:rPr>
              <w:t>business entities</w:t>
            </w:r>
            <w:r w:rsidRPr="00C75E5B">
              <w:rPr>
                <w:rFonts w:ascii="Times New Roman" w:hAnsi="Times New Roman"/>
                <w:sz w:val="24"/>
                <w:szCs w:val="24"/>
              </w:rPr>
              <w:t xml:space="preserve"> with a </w:t>
            </w:r>
            <w:r w:rsidR="00345CFF" w:rsidRPr="00F74BA4">
              <w:rPr>
                <w:rFonts w:ascii="Times New Roman" w:hAnsi="Times New Roman"/>
                <w:sz w:val="24"/>
                <w:szCs w:val="24"/>
              </w:rPr>
              <w:t>credit outstanding</w:t>
            </w:r>
            <w:r w:rsidRPr="00C960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loans and leases</w:t>
            </w:r>
            <w:r w:rsidRPr="00C960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within the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state/territory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</w:t>
            </w:r>
            <w:r w:rsidR="00654E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selected.</w:t>
            </w:r>
          </w:p>
          <w:p w14:paraId="67DD7226" w14:textId="77777777" w:rsidR="007B56FC" w:rsidRDefault="007B56FC" w:rsidP="00F647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56FC" w:rsidRPr="00AB4984" w14:paraId="450E5C6B" w14:textId="77777777" w:rsidTr="00731866"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30B69284" w14:textId="2E39BD34" w:rsidR="007B56FC" w:rsidRDefault="007B56FC" w:rsidP="00F64721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Column 7</w:t>
            </w:r>
          </w:p>
        </w:tc>
        <w:tc>
          <w:tcPr>
            <w:tcW w:w="73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F5D1F0" w14:textId="1C9466D2" w:rsidR="007B56FC" w:rsidRDefault="007B56FC" w:rsidP="00F647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total number of </w:t>
            </w:r>
            <w:r w:rsidR="00C57C1E" w:rsidRPr="00F74BA4">
              <w:rPr>
                <w:rFonts w:ascii="Times New Roman" w:hAnsi="Times New Roman"/>
                <w:sz w:val="24"/>
                <w:szCs w:val="24"/>
              </w:rPr>
              <w:t>business entities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a </w:t>
            </w:r>
            <w:r w:rsidR="00345CFF" w:rsidRPr="00F74BA4">
              <w:rPr>
                <w:rFonts w:ascii="Times New Roman" w:hAnsi="Times New Roman"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loans and leases</w:t>
            </w:r>
            <w:r w:rsidRPr="00C960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within the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state/territory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</w:t>
            </w:r>
            <w:r w:rsidR="00654E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selected for which </w:t>
            </w:r>
            <w:r w:rsidRPr="00C75E5B">
              <w:rPr>
                <w:rFonts w:ascii="Times New Roman" w:hAnsi="Times New Roman"/>
                <w:sz w:val="24"/>
                <w:szCs w:val="24"/>
              </w:rPr>
              <w:t>the loan</w:t>
            </w:r>
            <w:r w:rsidR="00A968B3" w:rsidRPr="00C75E5B">
              <w:rPr>
                <w:rFonts w:ascii="Times New Roman" w:hAnsi="Times New Roman"/>
                <w:sz w:val="24"/>
                <w:szCs w:val="24"/>
              </w:rPr>
              <w:t xml:space="preserve"> or lease</w:t>
            </w:r>
            <w:r w:rsidRPr="00C75E5B">
              <w:rPr>
                <w:rFonts w:ascii="Times New Roman" w:hAnsi="Times New Roman"/>
                <w:sz w:val="24"/>
                <w:szCs w:val="24"/>
              </w:rPr>
              <w:t xml:space="preserve"> is more than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90 days</w:t>
            </w:r>
            <w:r w:rsidRPr="00C9609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74BA4">
              <w:rPr>
                <w:rFonts w:ascii="Times New Roman" w:hAnsi="Times New Roman"/>
                <w:sz w:val="24"/>
                <w:szCs w:val="24"/>
              </w:rPr>
              <w:t>past due</w:t>
            </w:r>
            <w:r w:rsidRPr="00D0790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71FABCA" w14:textId="313E6D11" w:rsidR="008234C1" w:rsidRDefault="008234C1" w:rsidP="00F647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125B3B0" w14:textId="77777777" w:rsidR="00766866" w:rsidRPr="00AB4984" w:rsidRDefault="00766866" w:rsidP="006934C5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AB4984" w:rsidRPr="00AB4984" w14:paraId="444B72DE" w14:textId="77777777" w:rsidTr="00731866">
        <w:tc>
          <w:tcPr>
            <w:tcW w:w="1701" w:type="dxa"/>
            <w:shd w:val="clear" w:color="auto" w:fill="auto"/>
          </w:tcPr>
          <w:p w14:paraId="1E6B0F8D" w14:textId="77777777" w:rsidR="00EC46FD" w:rsidRPr="00AB4984" w:rsidRDefault="00EC46FD" w:rsidP="00F6472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DC406F3" w14:textId="45BC376E" w:rsidR="003F38D8" w:rsidRPr="00A8538C" w:rsidRDefault="00605260" w:rsidP="00915005">
            <w:pPr>
              <w:spacing w:after="12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9609D">
              <w:rPr>
                <w:rFonts w:ascii="Times New Roman" w:hAnsi="Times New Roman"/>
                <w:bCs/>
                <w:sz w:val="24"/>
                <w:szCs w:val="24"/>
              </w:rPr>
              <w:t>Complete the columns</w:t>
            </w:r>
            <w:r w:rsidR="00317844" w:rsidRPr="00C9609D">
              <w:rPr>
                <w:rFonts w:ascii="Times New Roman" w:hAnsi="Times New Roman"/>
                <w:bCs/>
                <w:sz w:val="24"/>
                <w:szCs w:val="24"/>
              </w:rPr>
              <w:t xml:space="preserve"> for each </w:t>
            </w:r>
            <w:r w:rsidR="00317844" w:rsidRPr="00F74BA4">
              <w:rPr>
                <w:rFonts w:ascii="Times New Roman" w:hAnsi="Times New Roman"/>
                <w:bCs/>
                <w:sz w:val="24"/>
                <w:szCs w:val="24"/>
              </w:rPr>
              <w:t>state/territory</w:t>
            </w:r>
            <w:r w:rsidR="00317844" w:rsidRPr="00C9609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="00317844" w:rsidRPr="00F74BA4">
              <w:rPr>
                <w:rFonts w:ascii="Times New Roman" w:hAnsi="Times New Roman"/>
                <w:bCs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bCs/>
                <w:sz w:val="24"/>
                <w:szCs w:val="24"/>
              </w:rPr>
              <w:t>classification</w:t>
            </w:r>
            <w:r w:rsidR="00654E02" w:rsidRPr="00C9609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0349DA">
              <w:rPr>
                <w:rFonts w:ascii="Times New Roman" w:hAnsi="Times New Roman"/>
                <w:bCs/>
                <w:sz w:val="24"/>
                <w:szCs w:val="24"/>
              </w:rPr>
              <w:t>as specified above.</w:t>
            </w:r>
          </w:p>
        </w:tc>
      </w:tr>
      <w:tr w:rsidR="00AB4984" w:rsidRPr="00AB4984" w14:paraId="34830837" w14:textId="77777777" w:rsidTr="00731866">
        <w:tc>
          <w:tcPr>
            <w:tcW w:w="1701" w:type="dxa"/>
            <w:shd w:val="clear" w:color="auto" w:fill="auto"/>
          </w:tcPr>
          <w:p w14:paraId="1D827948" w14:textId="77777777" w:rsidR="003F38D8" w:rsidRPr="00AB4984" w:rsidRDefault="003F38D8" w:rsidP="00F64721">
            <w:pPr>
              <w:numPr>
                <w:ilvl w:val="1"/>
                <w:numId w:val="4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1736F56" w14:textId="2AD435F3" w:rsidR="003F38D8" w:rsidRPr="00A8538C" w:rsidRDefault="00A77674" w:rsidP="009150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C9609D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731866" w:rsidRPr="000349DA">
              <w:rPr>
                <w:rFonts w:ascii="Times New Roman" w:hAnsi="Times New Roman"/>
                <w:sz w:val="24"/>
                <w:szCs w:val="24"/>
              </w:rPr>
              <w:t xml:space="preserve">total for </w:t>
            </w:r>
            <w:r w:rsidR="00942677" w:rsidRPr="000349DA">
              <w:rPr>
                <w:rFonts w:ascii="Times New Roman" w:hAnsi="Times New Roman"/>
                <w:sz w:val="24"/>
                <w:szCs w:val="24"/>
              </w:rPr>
              <w:t xml:space="preserve">NSW across </w:t>
            </w:r>
            <w:r w:rsidR="00731866" w:rsidRPr="000349DA">
              <w:rPr>
                <w:rFonts w:ascii="Times New Roman" w:hAnsi="Times New Roman"/>
                <w:sz w:val="24"/>
                <w:szCs w:val="24"/>
              </w:rPr>
              <w:t xml:space="preserve">all </w:t>
            </w:r>
            <w:r w:rsidR="00731866"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classifications</w:t>
            </w:r>
            <w:r w:rsidR="00731866" w:rsidRPr="00C9609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42677" w:rsidRPr="00AB4984" w14:paraId="1851A176" w14:textId="77777777" w:rsidTr="00731866">
        <w:tc>
          <w:tcPr>
            <w:tcW w:w="1701" w:type="dxa"/>
            <w:shd w:val="clear" w:color="auto" w:fill="auto"/>
          </w:tcPr>
          <w:p w14:paraId="669C5B69" w14:textId="77777777" w:rsidR="00942677" w:rsidRPr="00AB4984" w:rsidRDefault="00942677" w:rsidP="00F64721">
            <w:pPr>
              <w:numPr>
                <w:ilvl w:val="1"/>
                <w:numId w:val="4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176BA97B" w14:textId="28DBC389" w:rsidR="00942677" w:rsidRPr="000349DA" w:rsidRDefault="00A77674" w:rsidP="009150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9609D">
              <w:rPr>
                <w:rFonts w:ascii="Times New Roman" w:hAnsi="Times New Roman"/>
                <w:sz w:val="24"/>
                <w:szCs w:val="24"/>
              </w:rPr>
              <w:t>Derived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 xml:space="preserve"> total for </w:t>
            </w:r>
            <w:r w:rsidR="00942677" w:rsidRPr="000349DA">
              <w:rPr>
                <w:rFonts w:ascii="Times New Roman" w:hAnsi="Times New Roman"/>
                <w:sz w:val="24"/>
                <w:szCs w:val="24"/>
              </w:rPr>
              <w:t xml:space="preserve">VIC across all </w:t>
            </w:r>
            <w:r w:rsidR="00942677"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classifications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942677" w:rsidRPr="00AB4984" w14:paraId="14A052FC" w14:textId="77777777" w:rsidTr="00731866">
        <w:tc>
          <w:tcPr>
            <w:tcW w:w="1701" w:type="dxa"/>
            <w:shd w:val="clear" w:color="auto" w:fill="auto"/>
          </w:tcPr>
          <w:p w14:paraId="4B2ECDFE" w14:textId="77777777" w:rsidR="00942677" w:rsidRDefault="00942677" w:rsidP="00F64721">
            <w:pPr>
              <w:numPr>
                <w:ilvl w:val="1"/>
                <w:numId w:val="4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DA16B5A" w14:textId="1767C3C3" w:rsidR="00942677" w:rsidRPr="000349DA" w:rsidRDefault="00A77674" w:rsidP="009150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9609D">
              <w:rPr>
                <w:rFonts w:ascii="Times New Roman" w:hAnsi="Times New Roman"/>
                <w:sz w:val="24"/>
                <w:szCs w:val="24"/>
              </w:rPr>
              <w:t>Derived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 xml:space="preserve"> total for </w:t>
            </w:r>
            <w:r w:rsidR="00942677" w:rsidRPr="000349DA">
              <w:rPr>
                <w:rFonts w:ascii="Times New Roman" w:hAnsi="Times New Roman"/>
                <w:sz w:val="24"/>
                <w:szCs w:val="24"/>
              </w:rPr>
              <w:t xml:space="preserve">QLD across all </w:t>
            </w:r>
            <w:r w:rsidR="00942677"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classifications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42677" w:rsidRPr="00AB4984" w14:paraId="03336EF8" w14:textId="77777777" w:rsidTr="00731866">
        <w:tc>
          <w:tcPr>
            <w:tcW w:w="1701" w:type="dxa"/>
            <w:shd w:val="clear" w:color="auto" w:fill="auto"/>
          </w:tcPr>
          <w:p w14:paraId="659C479D" w14:textId="77777777" w:rsidR="00942677" w:rsidRDefault="00942677" w:rsidP="00F64721">
            <w:pPr>
              <w:numPr>
                <w:ilvl w:val="1"/>
                <w:numId w:val="4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7744979" w14:textId="2F642893" w:rsidR="00942677" w:rsidRPr="000349DA" w:rsidRDefault="00A77674" w:rsidP="009150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9609D">
              <w:rPr>
                <w:rFonts w:ascii="Times New Roman" w:hAnsi="Times New Roman"/>
                <w:sz w:val="24"/>
                <w:szCs w:val="24"/>
              </w:rPr>
              <w:t>Derived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 xml:space="preserve"> total for </w:t>
            </w:r>
            <w:r w:rsidR="00942677" w:rsidRPr="000349DA">
              <w:rPr>
                <w:rFonts w:ascii="Times New Roman" w:hAnsi="Times New Roman"/>
                <w:sz w:val="24"/>
                <w:szCs w:val="24"/>
              </w:rPr>
              <w:t xml:space="preserve">SA across all </w:t>
            </w:r>
            <w:r w:rsidR="00942677"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classifications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942677" w:rsidRPr="00AB4984" w14:paraId="5AB85B5A" w14:textId="77777777" w:rsidTr="00731866">
        <w:tc>
          <w:tcPr>
            <w:tcW w:w="1701" w:type="dxa"/>
            <w:shd w:val="clear" w:color="auto" w:fill="auto"/>
          </w:tcPr>
          <w:p w14:paraId="41848500" w14:textId="77777777" w:rsidR="00942677" w:rsidRDefault="00942677" w:rsidP="00F64721">
            <w:pPr>
              <w:numPr>
                <w:ilvl w:val="1"/>
                <w:numId w:val="4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13EF345C" w14:textId="3AFE30E3" w:rsidR="00942677" w:rsidRPr="000349DA" w:rsidRDefault="00A77674" w:rsidP="009150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9609D">
              <w:rPr>
                <w:rFonts w:ascii="Times New Roman" w:hAnsi="Times New Roman"/>
                <w:sz w:val="24"/>
                <w:szCs w:val="24"/>
              </w:rPr>
              <w:t>Derived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 xml:space="preserve"> total for </w:t>
            </w:r>
            <w:r w:rsidR="00942677" w:rsidRPr="000349DA">
              <w:rPr>
                <w:rFonts w:ascii="Times New Roman" w:hAnsi="Times New Roman"/>
                <w:sz w:val="24"/>
                <w:szCs w:val="24"/>
              </w:rPr>
              <w:t xml:space="preserve">WA across all </w:t>
            </w:r>
            <w:r w:rsidR="00942677"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classifications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42677" w:rsidRPr="00AB4984" w14:paraId="58FDA129" w14:textId="77777777" w:rsidTr="00731866">
        <w:tc>
          <w:tcPr>
            <w:tcW w:w="1701" w:type="dxa"/>
            <w:shd w:val="clear" w:color="auto" w:fill="auto"/>
          </w:tcPr>
          <w:p w14:paraId="6D9572CB" w14:textId="77777777" w:rsidR="00942677" w:rsidRDefault="00942677" w:rsidP="00F64721">
            <w:pPr>
              <w:numPr>
                <w:ilvl w:val="1"/>
                <w:numId w:val="4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1961D38E" w14:textId="26B852BE" w:rsidR="00942677" w:rsidRPr="000349DA" w:rsidRDefault="00A77674" w:rsidP="009150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9609D">
              <w:rPr>
                <w:rFonts w:ascii="Times New Roman" w:hAnsi="Times New Roman"/>
                <w:sz w:val="24"/>
                <w:szCs w:val="24"/>
              </w:rPr>
              <w:t>Derived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 xml:space="preserve"> total for </w:t>
            </w:r>
            <w:r w:rsidR="00942677" w:rsidRPr="000349DA">
              <w:rPr>
                <w:rFonts w:ascii="Times New Roman" w:hAnsi="Times New Roman"/>
                <w:sz w:val="24"/>
                <w:szCs w:val="24"/>
              </w:rPr>
              <w:t xml:space="preserve">TAS across all </w:t>
            </w:r>
            <w:r w:rsidR="00942677"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classifications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42677" w:rsidRPr="00AB4984" w14:paraId="655A237A" w14:textId="77777777" w:rsidTr="00731866">
        <w:tc>
          <w:tcPr>
            <w:tcW w:w="1701" w:type="dxa"/>
            <w:shd w:val="clear" w:color="auto" w:fill="auto"/>
          </w:tcPr>
          <w:p w14:paraId="151C930A" w14:textId="77777777" w:rsidR="00942677" w:rsidRDefault="00942677" w:rsidP="00F64721">
            <w:pPr>
              <w:numPr>
                <w:ilvl w:val="1"/>
                <w:numId w:val="4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441A4C1" w14:textId="1348B098" w:rsidR="00942677" w:rsidRPr="000349DA" w:rsidRDefault="00A77674" w:rsidP="009150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9609D">
              <w:rPr>
                <w:rFonts w:ascii="Times New Roman" w:hAnsi="Times New Roman"/>
                <w:sz w:val="24"/>
                <w:szCs w:val="24"/>
              </w:rPr>
              <w:t>Derived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 xml:space="preserve"> total for </w:t>
            </w:r>
            <w:r w:rsidR="00942677" w:rsidRPr="000349DA">
              <w:rPr>
                <w:rFonts w:ascii="Times New Roman" w:hAnsi="Times New Roman"/>
                <w:sz w:val="24"/>
                <w:szCs w:val="24"/>
              </w:rPr>
              <w:t xml:space="preserve">ACT across all </w:t>
            </w:r>
            <w:r w:rsidR="00942677"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classifications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942677" w:rsidRPr="00AB4984" w14:paraId="1D9BD9F5" w14:textId="77777777" w:rsidTr="00731866">
        <w:tc>
          <w:tcPr>
            <w:tcW w:w="1701" w:type="dxa"/>
            <w:shd w:val="clear" w:color="auto" w:fill="auto"/>
          </w:tcPr>
          <w:p w14:paraId="4E0FF555" w14:textId="77777777" w:rsidR="00942677" w:rsidRDefault="00942677" w:rsidP="00F64721">
            <w:pPr>
              <w:numPr>
                <w:ilvl w:val="1"/>
                <w:numId w:val="4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5439AF0" w14:textId="11BD67FA" w:rsidR="00942677" w:rsidRPr="000349DA" w:rsidRDefault="00A77674" w:rsidP="00915005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9609D">
              <w:rPr>
                <w:rFonts w:ascii="Times New Roman" w:hAnsi="Times New Roman"/>
                <w:sz w:val="24"/>
                <w:szCs w:val="24"/>
              </w:rPr>
              <w:t>Derived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 xml:space="preserve"> total for </w:t>
            </w:r>
            <w:r w:rsidR="00942677" w:rsidRPr="000349DA">
              <w:rPr>
                <w:rFonts w:ascii="Times New Roman" w:hAnsi="Times New Roman"/>
                <w:sz w:val="24"/>
                <w:szCs w:val="24"/>
              </w:rPr>
              <w:t xml:space="preserve">NT across all </w:t>
            </w:r>
            <w:r w:rsidR="00942677" w:rsidRPr="00F74BA4">
              <w:rPr>
                <w:rFonts w:ascii="Times New Roman" w:hAnsi="Times New Roman"/>
                <w:sz w:val="24"/>
                <w:szCs w:val="24"/>
              </w:rPr>
              <w:t xml:space="preserve">industry </w:t>
            </w:r>
            <w:r w:rsidR="00654E02" w:rsidRPr="00F74BA4">
              <w:rPr>
                <w:rFonts w:ascii="Times New Roman" w:hAnsi="Times New Roman"/>
                <w:sz w:val="24"/>
                <w:szCs w:val="24"/>
              </w:rPr>
              <w:t>classifications</w:t>
            </w:r>
            <w:r w:rsidR="00942677" w:rsidRPr="00C9609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</w:tbl>
    <w:p w14:paraId="396FFF7D" w14:textId="77777777" w:rsidR="00E65007" w:rsidRPr="00AB4984" w:rsidRDefault="000E5CE0" w:rsidP="00B65E5B">
      <w:pPr>
        <w:numPr>
          <w:ilvl w:val="0"/>
          <w:numId w:val="3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 w:rsidRPr="000E5CE0">
        <w:rPr>
          <w:rFonts w:ascii="Arial" w:hAnsi="Arial" w:cs="Arial"/>
          <w:b/>
          <w:sz w:val="24"/>
          <w:szCs w:val="24"/>
        </w:rPr>
        <w:t>Distress by state and territory</w:t>
      </w:r>
    </w:p>
    <w:p w14:paraId="18A93661" w14:textId="6F2C033E" w:rsidR="00E65007" w:rsidRDefault="00E65007" w:rsidP="006934C5">
      <w:pPr>
        <w:autoSpaceDE w:val="0"/>
        <w:autoSpaceDN w:val="0"/>
        <w:adjustRightInd w:val="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 xml:space="preserve">tem </w:t>
      </w:r>
      <w:r w:rsidR="00D56051">
        <w:rPr>
          <w:rFonts w:ascii="Times New Roman" w:hAnsi="Times New Roman"/>
          <w:sz w:val="24"/>
          <w:szCs w:val="24"/>
        </w:rPr>
        <w:t>2</w:t>
      </w:r>
      <w:r w:rsidRPr="00AB4984">
        <w:rPr>
          <w:rFonts w:ascii="Times New Roman" w:hAnsi="Times New Roman"/>
          <w:sz w:val="24"/>
          <w:szCs w:val="24"/>
        </w:rPr>
        <w:t xml:space="preserve"> collects information on</w:t>
      </w:r>
      <w:r w:rsidR="00CF192D">
        <w:rPr>
          <w:rFonts w:ascii="Times New Roman" w:hAnsi="Times New Roman"/>
          <w:sz w:val="24"/>
          <w:szCs w:val="24"/>
        </w:rPr>
        <w:t xml:space="preserve"> number of </w:t>
      </w:r>
      <w:r w:rsidR="00B96CDF">
        <w:rPr>
          <w:rFonts w:ascii="Times New Roman" w:hAnsi="Times New Roman"/>
          <w:sz w:val="24"/>
          <w:szCs w:val="24"/>
        </w:rPr>
        <w:t xml:space="preserve">new </w:t>
      </w:r>
      <w:r w:rsidR="00F55AEE" w:rsidRPr="0013255A">
        <w:rPr>
          <w:rFonts w:ascii="Times New Roman" w:hAnsi="Times New Roman"/>
          <w:b/>
          <w:i/>
          <w:sz w:val="24"/>
          <w:szCs w:val="24"/>
        </w:rPr>
        <w:t>farm</w:t>
      </w:r>
      <w:r w:rsidR="00F55AEE">
        <w:rPr>
          <w:rFonts w:ascii="Times New Roman" w:hAnsi="Times New Roman"/>
          <w:sz w:val="24"/>
          <w:szCs w:val="24"/>
        </w:rPr>
        <w:t xml:space="preserve"> </w:t>
      </w:r>
      <w:r w:rsidR="00CF192D" w:rsidRPr="006170EF">
        <w:rPr>
          <w:rFonts w:ascii="Times New Roman" w:hAnsi="Times New Roman"/>
          <w:b/>
          <w:i/>
          <w:sz w:val="24"/>
          <w:szCs w:val="24"/>
        </w:rPr>
        <w:t>debt mediation</w:t>
      </w:r>
      <w:r w:rsidR="006170EF" w:rsidRPr="006170EF">
        <w:rPr>
          <w:rFonts w:ascii="Times New Roman" w:hAnsi="Times New Roman"/>
          <w:b/>
          <w:i/>
          <w:sz w:val="24"/>
          <w:szCs w:val="24"/>
        </w:rPr>
        <w:t>s</w:t>
      </w:r>
      <w:r w:rsidR="00CF192D">
        <w:rPr>
          <w:rFonts w:ascii="Times New Roman" w:hAnsi="Times New Roman"/>
          <w:sz w:val="24"/>
          <w:szCs w:val="24"/>
        </w:rPr>
        <w:t xml:space="preserve"> </w:t>
      </w:r>
      <w:r w:rsidR="006170EF">
        <w:rPr>
          <w:rFonts w:ascii="Times New Roman" w:hAnsi="Times New Roman"/>
          <w:sz w:val="24"/>
          <w:szCs w:val="24"/>
        </w:rPr>
        <w:t xml:space="preserve">and number of </w:t>
      </w:r>
      <w:r w:rsidR="00B96CDF">
        <w:rPr>
          <w:rFonts w:ascii="Times New Roman" w:hAnsi="Times New Roman"/>
          <w:sz w:val="24"/>
          <w:szCs w:val="24"/>
        </w:rPr>
        <w:t xml:space="preserve">new </w:t>
      </w:r>
      <w:r w:rsidR="006170EF" w:rsidRPr="006170EF">
        <w:rPr>
          <w:rFonts w:ascii="Times New Roman" w:hAnsi="Times New Roman"/>
          <w:b/>
          <w:i/>
          <w:sz w:val="24"/>
          <w:szCs w:val="24"/>
        </w:rPr>
        <w:t>foreclosures</w:t>
      </w:r>
      <w:r w:rsidR="006170EF">
        <w:rPr>
          <w:rFonts w:ascii="Times New Roman" w:hAnsi="Times New Roman"/>
          <w:sz w:val="24"/>
          <w:szCs w:val="24"/>
        </w:rPr>
        <w:t xml:space="preserve"> </w:t>
      </w:r>
      <w:r w:rsidR="00CF192D">
        <w:rPr>
          <w:rFonts w:ascii="Times New Roman" w:hAnsi="Times New Roman"/>
          <w:sz w:val="24"/>
          <w:szCs w:val="24"/>
        </w:rPr>
        <w:t>undertake</w:t>
      </w:r>
      <w:r w:rsidR="006170EF">
        <w:rPr>
          <w:rFonts w:ascii="Times New Roman" w:hAnsi="Times New Roman"/>
          <w:sz w:val="24"/>
          <w:szCs w:val="24"/>
        </w:rPr>
        <w:t>n</w:t>
      </w:r>
      <w:r w:rsidR="001937F0">
        <w:rPr>
          <w:rFonts w:ascii="Times New Roman" w:hAnsi="Times New Roman"/>
          <w:sz w:val="24"/>
          <w:szCs w:val="24"/>
        </w:rPr>
        <w:t xml:space="preserve"> on</w:t>
      </w:r>
      <w:r w:rsidR="006170EF">
        <w:rPr>
          <w:rFonts w:ascii="Times New Roman" w:hAnsi="Times New Roman"/>
          <w:sz w:val="24"/>
          <w:szCs w:val="24"/>
        </w:rPr>
        <w:t xml:space="preserve"> </w:t>
      </w:r>
      <w:r w:rsidR="00B96CDF" w:rsidRPr="00915005">
        <w:rPr>
          <w:rFonts w:ascii="Times New Roman" w:hAnsi="Times New Roman"/>
          <w:sz w:val="24"/>
          <w:szCs w:val="24"/>
        </w:rPr>
        <w:t>loans and leases</w:t>
      </w:r>
      <w:r w:rsidR="00B96CDF">
        <w:rPr>
          <w:rFonts w:ascii="Times New Roman" w:hAnsi="Times New Roman"/>
          <w:sz w:val="24"/>
          <w:szCs w:val="24"/>
        </w:rPr>
        <w:t xml:space="preserve"> </w:t>
      </w:r>
      <w:r w:rsidR="001937F0">
        <w:rPr>
          <w:rFonts w:ascii="Times New Roman" w:hAnsi="Times New Roman"/>
          <w:sz w:val="24"/>
          <w:szCs w:val="24"/>
        </w:rPr>
        <w:t>in relation to</w:t>
      </w:r>
      <w:r w:rsidR="00B96CDF">
        <w:rPr>
          <w:rFonts w:ascii="Times New Roman" w:hAnsi="Times New Roman"/>
          <w:sz w:val="24"/>
          <w:szCs w:val="24"/>
        </w:rPr>
        <w:t xml:space="preserve"> </w:t>
      </w:r>
      <w:r w:rsidR="00CF192D">
        <w:rPr>
          <w:rFonts w:ascii="Times New Roman" w:hAnsi="Times New Roman"/>
          <w:sz w:val="24"/>
          <w:szCs w:val="24"/>
        </w:rPr>
        <w:t>agricultural</w:t>
      </w:r>
      <w:r w:rsidR="007C7221">
        <w:rPr>
          <w:rFonts w:ascii="Times New Roman" w:hAnsi="Times New Roman"/>
          <w:sz w:val="24"/>
          <w:szCs w:val="24"/>
        </w:rPr>
        <w:t xml:space="preserve"> activity</w:t>
      </w:r>
      <w:r w:rsidR="00CF192D">
        <w:rPr>
          <w:rFonts w:ascii="Times New Roman" w:hAnsi="Times New Roman"/>
          <w:sz w:val="24"/>
          <w:szCs w:val="24"/>
        </w:rPr>
        <w:t xml:space="preserve"> </w:t>
      </w:r>
      <w:r w:rsidR="006170EF" w:rsidRPr="006170EF">
        <w:rPr>
          <w:rFonts w:ascii="Times New Roman" w:hAnsi="Times New Roman"/>
          <w:sz w:val="24"/>
          <w:szCs w:val="24"/>
        </w:rPr>
        <w:t>by</w:t>
      </w:r>
      <w:r w:rsidR="006170EF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6170EF" w:rsidRPr="00915005">
        <w:rPr>
          <w:rFonts w:ascii="Times New Roman" w:hAnsi="Times New Roman"/>
          <w:sz w:val="24"/>
          <w:szCs w:val="24"/>
        </w:rPr>
        <w:t>state/territory.</w:t>
      </w:r>
    </w:p>
    <w:p w14:paraId="479E5865" w14:textId="2EBF8650" w:rsidR="002F402C" w:rsidRDefault="002F402C" w:rsidP="006934C5">
      <w:pPr>
        <w:autoSpaceDE w:val="0"/>
        <w:autoSpaceDN w:val="0"/>
        <w:adjustRightInd w:val="0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1A0E3979" w14:textId="656F691D" w:rsidR="002F402C" w:rsidRDefault="002F402C" w:rsidP="006934C5">
      <w:pPr>
        <w:autoSpaceDE w:val="0"/>
        <w:autoSpaceDN w:val="0"/>
        <w:adjustRightInd w:val="0"/>
        <w:jc w:val="both"/>
        <w:rPr>
          <w:rFonts w:ascii="Times New Roman" w:hAnsi="Times New Roman"/>
          <w:b/>
          <w:i/>
          <w:sz w:val="24"/>
          <w:szCs w:val="24"/>
        </w:rPr>
      </w:pPr>
      <w:r w:rsidRPr="003D3C1D">
        <w:rPr>
          <w:rFonts w:ascii="Times New Roman" w:hAnsi="Times New Roman"/>
          <w:b/>
          <w:sz w:val="24"/>
          <w:szCs w:val="24"/>
        </w:rPr>
        <w:t>Reporting basis:</w:t>
      </w:r>
      <w:r w:rsidRPr="002F402C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Pr="003D3C1D">
        <w:rPr>
          <w:rFonts w:ascii="Times New Roman" w:hAnsi="Times New Roman"/>
          <w:sz w:val="24"/>
          <w:szCs w:val="24"/>
        </w:rPr>
        <w:t xml:space="preserve">report item </w:t>
      </w:r>
      <w:r w:rsidR="00347158">
        <w:rPr>
          <w:rFonts w:ascii="Times New Roman" w:hAnsi="Times New Roman"/>
          <w:sz w:val="24"/>
          <w:szCs w:val="24"/>
        </w:rPr>
        <w:t>2</w:t>
      </w:r>
      <w:r w:rsidRPr="003D3C1D">
        <w:rPr>
          <w:rFonts w:ascii="Times New Roman" w:hAnsi="Times New Roman"/>
          <w:sz w:val="24"/>
          <w:szCs w:val="24"/>
        </w:rPr>
        <w:t xml:space="preserve"> </w:t>
      </w:r>
      <w:r w:rsidR="00347158">
        <w:rPr>
          <w:rFonts w:ascii="Times New Roman" w:hAnsi="Times New Roman"/>
          <w:sz w:val="24"/>
          <w:szCs w:val="24"/>
        </w:rPr>
        <w:t xml:space="preserve">during </w:t>
      </w:r>
      <w:r w:rsidRPr="003D3C1D">
        <w:rPr>
          <w:rFonts w:ascii="Times New Roman" w:hAnsi="Times New Roman"/>
          <w:sz w:val="24"/>
          <w:szCs w:val="24"/>
        </w:rPr>
        <w:t>the</w:t>
      </w:r>
      <w:r w:rsidRPr="002F402C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F402C">
        <w:rPr>
          <w:rFonts w:ascii="Times New Roman" w:hAnsi="Times New Roman"/>
          <w:b/>
          <w:bCs/>
          <w:i/>
          <w:iCs/>
          <w:sz w:val="24"/>
          <w:szCs w:val="24"/>
        </w:rPr>
        <w:t>reporting period</w:t>
      </w:r>
      <w:r w:rsidR="005C3B02" w:rsidRPr="005C3B02">
        <w:rPr>
          <w:rFonts w:ascii="Times New Roman" w:hAnsi="Times New Roman"/>
          <w:i/>
          <w:sz w:val="24"/>
          <w:szCs w:val="24"/>
        </w:rPr>
        <w:t>.</w:t>
      </w:r>
    </w:p>
    <w:p w14:paraId="77A59105" w14:textId="27B29103" w:rsidR="003A0EE3" w:rsidRDefault="003A0EE3" w:rsidP="006934C5">
      <w:pPr>
        <w:autoSpaceDE w:val="0"/>
        <w:autoSpaceDN w:val="0"/>
        <w:adjustRightInd w:val="0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50BAC208" w14:textId="5014BECA" w:rsidR="003A0EE3" w:rsidRPr="00AB4984" w:rsidRDefault="003A0EE3" w:rsidP="006934C5">
      <w:pPr>
        <w:autoSpaceDE w:val="0"/>
        <w:autoSpaceDN w:val="0"/>
        <w:adjustRightInd w:val="0"/>
        <w:jc w:val="both"/>
        <w:rPr>
          <w:rFonts w:ascii="Times New Roman" w:hAnsi="Times New Roman"/>
          <w:b/>
          <w:i/>
          <w:sz w:val="24"/>
          <w:szCs w:val="24"/>
        </w:rPr>
      </w:pPr>
      <w:r w:rsidRPr="0084446C">
        <w:rPr>
          <w:rFonts w:ascii="Times New Roman" w:hAnsi="Times New Roman"/>
          <w:b/>
          <w:sz w:val="24"/>
          <w:szCs w:val="24"/>
        </w:rPr>
        <w:t>SBR:</w:t>
      </w:r>
      <w:r w:rsidRPr="0084446C">
        <w:rPr>
          <w:rFonts w:ascii="Times New Roman" w:hAnsi="Times New Roman"/>
          <w:sz w:val="24"/>
          <w:szCs w:val="24"/>
        </w:rPr>
        <w:t xml:space="preserve"> submit </w:t>
      </w:r>
      <w:r w:rsidR="00DF0B34">
        <w:rPr>
          <w:rFonts w:ascii="Times New Roman" w:hAnsi="Times New Roman"/>
          <w:sz w:val="24"/>
          <w:szCs w:val="24"/>
        </w:rPr>
        <w:t xml:space="preserve">data in </w:t>
      </w:r>
      <w:r>
        <w:rPr>
          <w:rFonts w:ascii="Times New Roman" w:hAnsi="Times New Roman"/>
          <w:sz w:val="24"/>
          <w:szCs w:val="24"/>
        </w:rPr>
        <w:t>column 3</w:t>
      </w:r>
      <w:r w:rsidR="00DF0B34">
        <w:rPr>
          <w:rFonts w:ascii="Times New Roman" w:hAnsi="Times New Roman"/>
          <w:sz w:val="24"/>
          <w:szCs w:val="24"/>
        </w:rPr>
        <w:t xml:space="preserve"> </w:t>
      </w:r>
      <w:r w:rsidRPr="0084446C">
        <w:rPr>
          <w:rFonts w:ascii="Times New Roman" w:hAnsi="Times New Roman"/>
          <w:sz w:val="24"/>
          <w:szCs w:val="24"/>
        </w:rPr>
        <w:t>with accounting type of debit (assets).</w:t>
      </w:r>
      <w:r w:rsidRPr="00AB4984">
        <w:rPr>
          <w:rFonts w:ascii="Times New Roman" w:hAnsi="Times New Roman"/>
          <w:sz w:val="24"/>
          <w:szCs w:val="24"/>
        </w:rPr>
        <w:t xml:space="preserve"> </w:t>
      </w:r>
    </w:p>
    <w:p w14:paraId="0FB97FC9" w14:textId="77777777" w:rsidR="00E65007" w:rsidRPr="007F4E77" w:rsidRDefault="00E65007" w:rsidP="006934C5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E65007" w:rsidRPr="00AB4984" w14:paraId="2BF61B2C" w14:textId="77777777" w:rsidTr="00731866">
        <w:tc>
          <w:tcPr>
            <w:tcW w:w="1701" w:type="dxa"/>
            <w:shd w:val="clear" w:color="auto" w:fill="auto"/>
          </w:tcPr>
          <w:p w14:paraId="6C6C6BEE" w14:textId="77777777" w:rsidR="00E65007" w:rsidRPr="00AB4984" w:rsidRDefault="00E65007" w:rsidP="00F64721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Column 1 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5CCAF4E0" w14:textId="3BD2D542" w:rsidR="00F733BD" w:rsidRPr="00A8538C" w:rsidRDefault="006170EF" w:rsidP="0091500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9DA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915005">
              <w:rPr>
                <w:rFonts w:ascii="Times New Roman" w:hAnsi="Times New Roman"/>
                <w:sz w:val="24"/>
                <w:szCs w:val="24"/>
              </w:rPr>
              <w:t>state/territory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 in which the </w:t>
            </w:r>
            <w:r w:rsidR="00BF4404" w:rsidRPr="00915005">
              <w:rPr>
                <w:rFonts w:ascii="Times New Roman" w:hAnsi="Times New Roman"/>
                <w:sz w:val="24"/>
                <w:szCs w:val="24"/>
              </w:rPr>
              <w:t>business entity’</w:t>
            </w:r>
            <w:r w:rsidR="00C57C1E" w:rsidRPr="00915005">
              <w:rPr>
                <w:rFonts w:ascii="Times New Roman" w:hAnsi="Times New Roman"/>
                <w:sz w:val="24"/>
                <w:szCs w:val="24"/>
              </w:rPr>
              <w:t>s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 agricultural activity </w:t>
            </w:r>
            <w:r w:rsidR="00317844" w:rsidRPr="000349DA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which the loan </w:t>
            </w:r>
            <w:r w:rsidR="00C77844" w:rsidRPr="000349DA">
              <w:rPr>
                <w:rFonts w:ascii="Times New Roman" w:hAnsi="Times New Roman"/>
                <w:sz w:val="24"/>
                <w:szCs w:val="24"/>
              </w:rPr>
              <w:t xml:space="preserve">or lease </w:t>
            </w:r>
            <w:r w:rsidR="00317844" w:rsidRPr="000349DA">
              <w:rPr>
                <w:rFonts w:ascii="Times New Roman" w:hAnsi="Times New Roman"/>
                <w:sz w:val="24"/>
                <w:szCs w:val="24"/>
              </w:rPr>
              <w:t xml:space="preserve">provided 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>is undertaken.</w:t>
            </w:r>
          </w:p>
          <w:p w14:paraId="6F911596" w14:textId="5E62B55A" w:rsidR="00E65007" w:rsidRPr="00A8538C" w:rsidRDefault="006170EF" w:rsidP="0091500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Where a loan </w:t>
            </w:r>
            <w:r w:rsidR="00C77844">
              <w:rPr>
                <w:rFonts w:ascii="Times New Roman" w:hAnsi="Times New Roman"/>
                <w:sz w:val="24"/>
                <w:szCs w:val="24"/>
              </w:rPr>
              <w:t xml:space="preserve">or lease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is directed to agricultural activity across multiple states and territories, </w:t>
            </w:r>
            <w:r w:rsidR="00535E5A">
              <w:rPr>
                <w:rFonts w:ascii="Times New Roman" w:hAnsi="Times New Roman"/>
                <w:sz w:val="24"/>
                <w:szCs w:val="24"/>
              </w:rPr>
              <w:t>attribute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loan</w:t>
            </w:r>
            <w:r w:rsidR="00F55AEE">
              <w:rPr>
                <w:rFonts w:ascii="Times New Roman" w:hAnsi="Times New Roman"/>
                <w:sz w:val="24"/>
                <w:szCs w:val="24"/>
              </w:rPr>
              <w:t xml:space="preserve"> or lease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35E5A">
              <w:rPr>
                <w:rFonts w:ascii="Times New Roman" w:hAnsi="Times New Roman"/>
                <w:sz w:val="24"/>
                <w:szCs w:val="24"/>
              </w:rPr>
              <w:t xml:space="preserve">to the </w:t>
            </w:r>
            <w:r w:rsidRPr="00915005">
              <w:rPr>
                <w:rFonts w:ascii="Times New Roman" w:hAnsi="Times New Roman"/>
                <w:sz w:val="24"/>
                <w:szCs w:val="24"/>
              </w:rPr>
              <w:t>state</w:t>
            </w:r>
            <w:r w:rsidR="00535E5A" w:rsidRPr="00915005">
              <w:rPr>
                <w:rFonts w:ascii="Times New Roman" w:hAnsi="Times New Roman"/>
                <w:sz w:val="24"/>
                <w:szCs w:val="24"/>
              </w:rPr>
              <w:t>/</w:t>
            </w:r>
            <w:r w:rsidRPr="00915005">
              <w:rPr>
                <w:rFonts w:ascii="Times New Roman" w:hAnsi="Times New Roman"/>
                <w:sz w:val="24"/>
                <w:szCs w:val="24"/>
              </w:rPr>
              <w:t>territory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 in which</w:t>
            </w:r>
            <w:r w:rsidR="00535E5A" w:rsidRPr="000349DA">
              <w:rPr>
                <w:rFonts w:ascii="Times New Roman" w:hAnsi="Times New Roman"/>
                <w:sz w:val="24"/>
                <w:szCs w:val="24"/>
              </w:rPr>
              <w:t xml:space="preserve"> a majority of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 the activity is undertaken</w:t>
            </w:r>
            <w:r w:rsidR="00E41748" w:rsidRPr="000349DA">
              <w:rPr>
                <w:rFonts w:ascii="Times New Roman" w:hAnsi="Times New Roman"/>
                <w:sz w:val="24"/>
                <w:szCs w:val="24"/>
              </w:rPr>
              <w:t>, based on the revenue ultimately derived from the agricultural activity.</w:t>
            </w:r>
          </w:p>
        </w:tc>
      </w:tr>
      <w:tr w:rsidR="008E657A" w:rsidRPr="00AB4984" w14:paraId="56BA7C73" w14:textId="77777777" w:rsidTr="00731866">
        <w:tc>
          <w:tcPr>
            <w:tcW w:w="1701" w:type="dxa"/>
            <w:shd w:val="clear" w:color="auto" w:fill="auto"/>
          </w:tcPr>
          <w:p w14:paraId="1B7D2E3E" w14:textId="77777777" w:rsidR="008E657A" w:rsidRPr="00AB4984" w:rsidRDefault="008E657A" w:rsidP="00F64721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B4984">
              <w:rPr>
                <w:rFonts w:ascii="Times New Roman" w:hAnsi="Times New Roman"/>
                <w:b/>
                <w:sz w:val="24"/>
                <w:szCs w:val="24"/>
              </w:rPr>
              <w:t>Column 2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755A1802" w14:textId="4E8E221F" w:rsidR="00992684" w:rsidRPr="000349DA" w:rsidRDefault="001937F0" w:rsidP="0091500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9DA">
              <w:rPr>
                <w:rFonts w:ascii="Times New Roman" w:hAnsi="Times New Roman"/>
                <w:sz w:val="24"/>
                <w:szCs w:val="24"/>
              </w:rPr>
              <w:t>The total n</w:t>
            </w:r>
            <w:r w:rsidR="008E657A" w:rsidRPr="000349DA">
              <w:rPr>
                <w:rFonts w:ascii="Times New Roman" w:hAnsi="Times New Roman"/>
                <w:sz w:val="24"/>
                <w:szCs w:val="24"/>
              </w:rPr>
              <w:t xml:space="preserve">umber of </w:t>
            </w:r>
            <w:r w:rsidR="00C57C1E" w:rsidRPr="00915005">
              <w:rPr>
                <w:rFonts w:ascii="Times New Roman" w:hAnsi="Times New Roman"/>
                <w:sz w:val="24"/>
                <w:szCs w:val="24"/>
              </w:rPr>
              <w:t>business entities</w:t>
            </w:r>
            <w:r w:rsidR="006170EF" w:rsidRPr="000349DA">
              <w:rPr>
                <w:rFonts w:ascii="Times New Roman" w:hAnsi="Times New Roman"/>
                <w:sz w:val="24"/>
                <w:szCs w:val="24"/>
              </w:rPr>
              <w:t xml:space="preserve"> for</w:t>
            </w:r>
            <w:r w:rsidR="00F76592" w:rsidRPr="000349DA">
              <w:rPr>
                <w:rFonts w:ascii="Times New Roman" w:hAnsi="Times New Roman"/>
                <w:sz w:val="24"/>
                <w:szCs w:val="24"/>
              </w:rPr>
              <w:t xml:space="preserve"> which a new </w:t>
            </w:r>
            <w:r w:rsidR="00B96CDF" w:rsidRPr="000349DA">
              <w:rPr>
                <w:rFonts w:ascii="Times New Roman" w:hAnsi="Times New Roman"/>
                <w:sz w:val="24"/>
                <w:szCs w:val="24"/>
              </w:rPr>
              <w:t>instance</w:t>
            </w:r>
            <w:r w:rsidR="00F76592" w:rsidRPr="000349DA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 w:rsidR="006170EF" w:rsidRPr="000349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76592" w:rsidRPr="00915005">
              <w:rPr>
                <w:rFonts w:ascii="Times New Roman" w:hAnsi="Times New Roman"/>
                <w:sz w:val="24"/>
                <w:szCs w:val="24"/>
              </w:rPr>
              <w:t>farm</w:t>
            </w:r>
            <w:r w:rsidR="00F76592" w:rsidRPr="000349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657A" w:rsidRPr="00915005">
              <w:rPr>
                <w:rFonts w:ascii="Times New Roman" w:hAnsi="Times New Roman"/>
                <w:sz w:val="24"/>
                <w:szCs w:val="24"/>
              </w:rPr>
              <w:t>debt mediation</w:t>
            </w:r>
            <w:r w:rsidR="006170EF" w:rsidRPr="000349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76592" w:rsidRPr="000349DA">
              <w:rPr>
                <w:rFonts w:ascii="Times New Roman" w:hAnsi="Times New Roman"/>
                <w:sz w:val="24"/>
                <w:szCs w:val="24"/>
              </w:rPr>
              <w:t>ha</w:t>
            </w:r>
            <w:r w:rsidR="008F5474" w:rsidRPr="000349DA">
              <w:rPr>
                <w:rFonts w:ascii="Times New Roman" w:hAnsi="Times New Roman"/>
                <w:sz w:val="24"/>
                <w:szCs w:val="24"/>
              </w:rPr>
              <w:t>s</w:t>
            </w:r>
            <w:r w:rsidR="00F76592" w:rsidRPr="000349DA">
              <w:rPr>
                <w:rFonts w:ascii="Times New Roman" w:hAnsi="Times New Roman"/>
                <w:sz w:val="24"/>
                <w:szCs w:val="24"/>
              </w:rPr>
              <w:t xml:space="preserve"> been 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>initiated</w:t>
            </w:r>
            <w:r w:rsidR="00F76592" w:rsidRPr="000349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52989" w:rsidRPr="000349DA">
              <w:rPr>
                <w:rFonts w:ascii="Times New Roman" w:hAnsi="Times New Roman"/>
                <w:sz w:val="24"/>
                <w:szCs w:val="24"/>
              </w:rPr>
              <w:t xml:space="preserve">by the reporting entity </w:t>
            </w:r>
            <w:r w:rsidR="008F5474" w:rsidRPr="000349DA">
              <w:rPr>
                <w:rFonts w:ascii="Times New Roman" w:hAnsi="Times New Roman"/>
                <w:sz w:val="24"/>
                <w:szCs w:val="24"/>
              </w:rPr>
              <w:t xml:space="preserve">on loans or leases for agricultural activity </w:t>
            </w:r>
            <w:r w:rsidR="00F76592" w:rsidRPr="000349DA">
              <w:rPr>
                <w:rFonts w:ascii="Times New Roman" w:hAnsi="Times New Roman"/>
                <w:sz w:val="24"/>
                <w:szCs w:val="24"/>
              </w:rPr>
              <w:t xml:space="preserve">during the </w:t>
            </w:r>
            <w:r w:rsidR="00F76592" w:rsidRPr="00915005">
              <w:rPr>
                <w:rFonts w:ascii="Times New Roman" w:hAnsi="Times New Roman"/>
                <w:sz w:val="24"/>
                <w:szCs w:val="24"/>
              </w:rPr>
              <w:t>reporting period</w:t>
            </w:r>
            <w:r w:rsidR="00F76592" w:rsidRPr="000349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70EF" w:rsidRPr="000349DA">
              <w:rPr>
                <w:rFonts w:ascii="Times New Roman" w:hAnsi="Times New Roman"/>
                <w:sz w:val="24"/>
                <w:szCs w:val="24"/>
              </w:rPr>
              <w:t xml:space="preserve">by </w:t>
            </w:r>
            <w:r w:rsidR="006170EF" w:rsidRPr="00915005">
              <w:rPr>
                <w:rFonts w:ascii="Times New Roman" w:hAnsi="Times New Roman"/>
                <w:sz w:val="24"/>
                <w:szCs w:val="24"/>
              </w:rPr>
              <w:t>state/territory</w:t>
            </w:r>
            <w:r w:rsidR="006170EF" w:rsidRPr="000349DA">
              <w:rPr>
                <w:rFonts w:ascii="Times New Roman" w:hAnsi="Times New Roman"/>
                <w:sz w:val="24"/>
                <w:szCs w:val="24"/>
              </w:rPr>
              <w:t>.</w:t>
            </w:r>
            <w:r w:rsidR="00EA485C" w:rsidRPr="000349D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5A3FA56F" w14:textId="7215C9CF" w:rsidR="003B2209" w:rsidRPr="000349DA" w:rsidRDefault="00EA485C" w:rsidP="0091500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9DA">
              <w:rPr>
                <w:rFonts w:ascii="Times New Roman" w:hAnsi="Times New Roman"/>
                <w:sz w:val="24"/>
                <w:szCs w:val="24"/>
              </w:rPr>
              <w:t xml:space="preserve">A new instance of </w:t>
            </w:r>
            <w:r w:rsidRPr="00915005">
              <w:rPr>
                <w:rFonts w:ascii="Times New Roman" w:hAnsi="Times New Roman"/>
                <w:sz w:val="24"/>
                <w:szCs w:val="24"/>
              </w:rPr>
              <w:t>farm debt mediation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 refers to the first mediation meeting between the </w:t>
            </w:r>
            <w:r w:rsidR="007C7221" w:rsidRPr="000349DA">
              <w:rPr>
                <w:rFonts w:ascii="Times New Roman" w:hAnsi="Times New Roman"/>
                <w:sz w:val="24"/>
                <w:szCs w:val="24"/>
              </w:rPr>
              <w:t xml:space="preserve">reporting entity and </w:t>
            </w:r>
            <w:r w:rsidR="007C7221" w:rsidRPr="00915005">
              <w:rPr>
                <w:rFonts w:ascii="Times New Roman" w:hAnsi="Times New Roman"/>
                <w:sz w:val="24"/>
                <w:szCs w:val="24"/>
              </w:rPr>
              <w:t>business entity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B96CDF" w:rsidRPr="00247378" w14:paraId="0AD1F4A2" w14:textId="77777777" w:rsidTr="00731866">
        <w:tc>
          <w:tcPr>
            <w:tcW w:w="1701" w:type="dxa"/>
            <w:shd w:val="clear" w:color="auto" w:fill="auto"/>
          </w:tcPr>
          <w:p w14:paraId="3321F46D" w14:textId="496302A2" w:rsidR="00B96CDF" w:rsidRPr="00C75E5B" w:rsidRDefault="00B96CDF" w:rsidP="00F64721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75E5B">
              <w:rPr>
                <w:rFonts w:ascii="Times New Roman" w:hAnsi="Times New Roman"/>
                <w:b/>
                <w:sz w:val="24"/>
                <w:szCs w:val="24"/>
              </w:rPr>
              <w:t>Column 3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38AAC846" w14:textId="4B191F2C" w:rsidR="0020044E" w:rsidRPr="000349DA" w:rsidRDefault="001937F0" w:rsidP="0091500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9DA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F55AEE" w:rsidRPr="000349DA">
              <w:rPr>
                <w:rFonts w:ascii="Times New Roman" w:hAnsi="Times New Roman"/>
                <w:sz w:val="24"/>
                <w:szCs w:val="24"/>
              </w:rPr>
              <w:t xml:space="preserve">total </w:t>
            </w:r>
            <w:r w:rsidR="00345CFF" w:rsidRPr="00915005">
              <w:rPr>
                <w:rFonts w:ascii="Times New Roman" w:hAnsi="Times New Roman"/>
                <w:sz w:val="24"/>
                <w:szCs w:val="24"/>
              </w:rPr>
              <w:t>credit outstanding</w:t>
            </w:r>
            <w:r w:rsidR="00F55AEE" w:rsidRPr="000349DA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F55AEE" w:rsidRPr="00915005">
              <w:rPr>
                <w:rFonts w:ascii="Times New Roman" w:hAnsi="Times New Roman"/>
                <w:sz w:val="24"/>
                <w:szCs w:val="24"/>
              </w:rPr>
              <w:t>loans and leases</w:t>
            </w:r>
            <w:r w:rsidR="00F55AEE" w:rsidRPr="000349DA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C57C1E" w:rsidRPr="00915005">
              <w:rPr>
                <w:rFonts w:ascii="Times New Roman" w:hAnsi="Times New Roman"/>
                <w:sz w:val="24"/>
                <w:szCs w:val="24"/>
              </w:rPr>
              <w:t>business entities</w:t>
            </w:r>
            <w:r w:rsidR="00F55AEE" w:rsidRPr="009150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55AEE" w:rsidRPr="000349DA">
              <w:rPr>
                <w:rFonts w:ascii="Times New Roman" w:hAnsi="Times New Roman"/>
                <w:sz w:val="24"/>
                <w:szCs w:val="24"/>
              </w:rPr>
              <w:t xml:space="preserve">for which a new </w:t>
            </w:r>
            <w:r w:rsidR="00F55AEE" w:rsidRPr="00915005">
              <w:rPr>
                <w:rFonts w:ascii="Times New Roman" w:hAnsi="Times New Roman"/>
                <w:sz w:val="24"/>
                <w:szCs w:val="24"/>
              </w:rPr>
              <w:t>foreclosure</w:t>
            </w:r>
            <w:r w:rsidR="00F55AEE" w:rsidRPr="000349DA">
              <w:rPr>
                <w:rFonts w:ascii="Times New Roman" w:hAnsi="Times New Roman"/>
                <w:sz w:val="24"/>
                <w:szCs w:val="24"/>
              </w:rPr>
              <w:t xml:space="preserve"> process has been initiated on loans or leases for agricultural activity during the </w:t>
            </w:r>
            <w:r w:rsidR="00F55AEE" w:rsidRPr="00915005">
              <w:rPr>
                <w:rFonts w:ascii="Times New Roman" w:hAnsi="Times New Roman"/>
                <w:sz w:val="24"/>
                <w:szCs w:val="24"/>
              </w:rPr>
              <w:t>reporting period</w:t>
            </w:r>
            <w:r w:rsidR="00F55AEE" w:rsidRPr="000349DA">
              <w:rPr>
                <w:rFonts w:ascii="Times New Roman" w:hAnsi="Times New Roman"/>
                <w:sz w:val="24"/>
                <w:szCs w:val="24"/>
              </w:rPr>
              <w:t xml:space="preserve"> by </w:t>
            </w:r>
            <w:r w:rsidR="00F55AEE" w:rsidRPr="00915005">
              <w:rPr>
                <w:rFonts w:ascii="Times New Roman" w:hAnsi="Times New Roman"/>
                <w:sz w:val="24"/>
                <w:szCs w:val="24"/>
              </w:rPr>
              <w:t>state/territory</w:t>
            </w:r>
            <w:r w:rsidR="00F55AEE" w:rsidRPr="000349D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E657A" w:rsidRPr="00247378" w14:paraId="62DEF343" w14:textId="77777777" w:rsidTr="00731866">
        <w:tc>
          <w:tcPr>
            <w:tcW w:w="1701" w:type="dxa"/>
            <w:shd w:val="clear" w:color="auto" w:fill="auto"/>
          </w:tcPr>
          <w:p w14:paraId="4B451B8C" w14:textId="5535EC11" w:rsidR="008E657A" w:rsidRPr="00247378" w:rsidRDefault="00B96CDF" w:rsidP="00F64721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47378">
              <w:rPr>
                <w:rFonts w:ascii="Times New Roman" w:hAnsi="Times New Roman"/>
                <w:b/>
                <w:sz w:val="24"/>
                <w:szCs w:val="24"/>
              </w:rPr>
              <w:t>Column 4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3F8816C9" w14:textId="4B940CCB" w:rsidR="008E657A" w:rsidRPr="00915005" w:rsidRDefault="001937F0" w:rsidP="00915005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9DA">
              <w:rPr>
                <w:rFonts w:ascii="Times New Roman" w:hAnsi="Times New Roman"/>
                <w:sz w:val="24"/>
                <w:szCs w:val="24"/>
              </w:rPr>
              <w:t>The total n</w:t>
            </w:r>
            <w:r w:rsidR="006170EF" w:rsidRPr="000349DA">
              <w:rPr>
                <w:rFonts w:ascii="Times New Roman" w:hAnsi="Times New Roman"/>
                <w:sz w:val="24"/>
                <w:szCs w:val="24"/>
              </w:rPr>
              <w:t xml:space="preserve">umber of </w:t>
            </w:r>
            <w:r w:rsidR="00C57C1E" w:rsidRPr="00915005">
              <w:rPr>
                <w:rFonts w:ascii="Times New Roman" w:hAnsi="Times New Roman"/>
                <w:sz w:val="24"/>
                <w:szCs w:val="24"/>
              </w:rPr>
              <w:t>business entities</w:t>
            </w:r>
            <w:r w:rsidR="00F76592" w:rsidRPr="009150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76592" w:rsidRPr="000349DA">
              <w:rPr>
                <w:rFonts w:ascii="Times New Roman" w:hAnsi="Times New Roman"/>
                <w:sz w:val="24"/>
                <w:szCs w:val="24"/>
              </w:rPr>
              <w:t xml:space="preserve">for which </w:t>
            </w:r>
            <w:r w:rsidR="008F5474" w:rsidRPr="000349DA">
              <w:rPr>
                <w:rFonts w:ascii="Times New Roman" w:hAnsi="Times New Roman"/>
                <w:sz w:val="24"/>
                <w:szCs w:val="24"/>
              </w:rPr>
              <w:t xml:space="preserve">a new </w:t>
            </w:r>
            <w:r w:rsidR="006170EF" w:rsidRPr="00915005">
              <w:rPr>
                <w:rFonts w:ascii="Times New Roman" w:hAnsi="Times New Roman"/>
                <w:sz w:val="24"/>
                <w:szCs w:val="24"/>
              </w:rPr>
              <w:t>foreclosure</w:t>
            </w:r>
            <w:r w:rsidR="006170EF" w:rsidRPr="000349DA">
              <w:rPr>
                <w:rFonts w:ascii="Times New Roman" w:hAnsi="Times New Roman"/>
                <w:sz w:val="24"/>
                <w:szCs w:val="24"/>
              </w:rPr>
              <w:t xml:space="preserve"> process </w:t>
            </w:r>
            <w:r w:rsidR="00F76592" w:rsidRPr="000349DA">
              <w:rPr>
                <w:rFonts w:ascii="Times New Roman" w:hAnsi="Times New Roman"/>
                <w:sz w:val="24"/>
                <w:szCs w:val="24"/>
              </w:rPr>
              <w:t>ha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>s</w:t>
            </w:r>
            <w:r w:rsidR="00F76592" w:rsidRPr="000349DA">
              <w:rPr>
                <w:rFonts w:ascii="Times New Roman" w:hAnsi="Times New Roman"/>
                <w:sz w:val="24"/>
                <w:szCs w:val="24"/>
              </w:rPr>
              <w:t xml:space="preserve"> been 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initiated </w:t>
            </w:r>
            <w:r w:rsidR="00F76592" w:rsidRPr="000349DA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="006170EF" w:rsidRPr="00915005">
              <w:rPr>
                <w:rFonts w:ascii="Times New Roman" w:hAnsi="Times New Roman"/>
                <w:sz w:val="24"/>
                <w:szCs w:val="24"/>
              </w:rPr>
              <w:t>loans</w:t>
            </w:r>
            <w:r w:rsidRPr="00915005">
              <w:rPr>
                <w:rFonts w:ascii="Times New Roman" w:hAnsi="Times New Roman"/>
                <w:sz w:val="24"/>
                <w:szCs w:val="24"/>
              </w:rPr>
              <w:t xml:space="preserve"> or leases</w:t>
            </w:r>
            <w:r w:rsidR="006170EF" w:rsidRPr="000349DA">
              <w:rPr>
                <w:rFonts w:ascii="Times New Roman" w:hAnsi="Times New Roman"/>
                <w:sz w:val="24"/>
                <w:szCs w:val="24"/>
              </w:rPr>
              <w:t xml:space="preserve"> for agricultural activity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 during the</w:t>
            </w:r>
            <w:r w:rsidRPr="00915005">
              <w:rPr>
                <w:rFonts w:ascii="Times New Roman" w:hAnsi="Times New Roman"/>
                <w:sz w:val="24"/>
                <w:szCs w:val="24"/>
              </w:rPr>
              <w:t xml:space="preserve"> reporting period</w:t>
            </w:r>
            <w:r w:rsidR="006170EF" w:rsidRPr="000349DA">
              <w:rPr>
                <w:rFonts w:ascii="Times New Roman" w:hAnsi="Times New Roman"/>
                <w:sz w:val="24"/>
                <w:szCs w:val="24"/>
              </w:rPr>
              <w:t xml:space="preserve"> by </w:t>
            </w:r>
            <w:r w:rsidR="006170EF" w:rsidRPr="00915005">
              <w:rPr>
                <w:rFonts w:ascii="Times New Roman" w:hAnsi="Times New Roman"/>
                <w:sz w:val="24"/>
                <w:szCs w:val="24"/>
              </w:rPr>
              <w:t>state/territory</w:t>
            </w:r>
            <w:r w:rsidRPr="0091500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3B04DAFA" w14:textId="46E83E06" w:rsidR="008A1DD0" w:rsidRPr="00247378" w:rsidRDefault="008A1DD0">
      <w:pPr>
        <w:rPr>
          <w:rFonts w:ascii="Times New Roman" w:hAnsi="Times New Roman"/>
          <w:sz w:val="24"/>
          <w:szCs w:val="24"/>
        </w:rPr>
      </w:pPr>
    </w:p>
    <w:tbl>
      <w:tblPr>
        <w:tblW w:w="90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370"/>
      </w:tblGrid>
      <w:tr w:rsidR="00E65007" w:rsidRPr="00D07900" w14:paraId="5B77E524" w14:textId="77777777" w:rsidTr="00163ADC">
        <w:tc>
          <w:tcPr>
            <w:tcW w:w="1701" w:type="dxa"/>
            <w:shd w:val="clear" w:color="auto" w:fill="auto"/>
          </w:tcPr>
          <w:p w14:paraId="6014F0DB" w14:textId="77777777" w:rsidR="00E65007" w:rsidRPr="00D07900" w:rsidRDefault="00E65007" w:rsidP="00F64721">
            <w:pPr>
              <w:numPr>
                <w:ilvl w:val="0"/>
                <w:numId w:val="4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3FDAF5DA" w14:textId="3C62100F" w:rsidR="00F64721" w:rsidRPr="00D07900" w:rsidRDefault="00F64721" w:rsidP="00F64721">
            <w:pPr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07900">
              <w:rPr>
                <w:rFonts w:ascii="Times New Roman" w:hAnsi="Times New Roman"/>
                <w:bCs/>
                <w:sz w:val="24"/>
                <w:szCs w:val="24"/>
              </w:rPr>
              <w:t xml:space="preserve">Complete the columns </w:t>
            </w:r>
            <w:r w:rsidR="008234C1" w:rsidRPr="00D07900">
              <w:rPr>
                <w:rFonts w:ascii="Times New Roman" w:hAnsi="Times New Roman"/>
                <w:bCs/>
                <w:sz w:val="24"/>
                <w:szCs w:val="24"/>
              </w:rPr>
              <w:t xml:space="preserve">for each </w:t>
            </w:r>
            <w:r w:rsidR="008234C1" w:rsidRPr="007D6DDE">
              <w:rPr>
                <w:rFonts w:ascii="Times New Roman" w:hAnsi="Times New Roman"/>
                <w:bCs/>
                <w:sz w:val="24"/>
                <w:szCs w:val="24"/>
              </w:rPr>
              <w:t>state/territory</w:t>
            </w:r>
            <w:r w:rsidR="008234C1" w:rsidRPr="00D0790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D07900">
              <w:rPr>
                <w:rFonts w:ascii="Times New Roman" w:hAnsi="Times New Roman"/>
                <w:bCs/>
                <w:sz w:val="24"/>
                <w:szCs w:val="24"/>
              </w:rPr>
              <w:t>as specified above.</w:t>
            </w:r>
          </w:p>
          <w:p w14:paraId="7893DC50" w14:textId="4E167147" w:rsidR="00E65007" w:rsidRPr="00D07900" w:rsidRDefault="00E65007" w:rsidP="00F6472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5007" w:rsidRPr="00D07900" w14:paraId="76EEC763" w14:textId="77777777" w:rsidTr="00163ADC">
        <w:tc>
          <w:tcPr>
            <w:tcW w:w="1701" w:type="dxa"/>
            <w:shd w:val="clear" w:color="auto" w:fill="auto"/>
          </w:tcPr>
          <w:p w14:paraId="219E8E7D" w14:textId="77777777" w:rsidR="00E65007" w:rsidRPr="00D07900" w:rsidRDefault="00E65007" w:rsidP="00F64721">
            <w:pPr>
              <w:numPr>
                <w:ilvl w:val="1"/>
                <w:numId w:val="4"/>
              </w:num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0" w:type="dxa"/>
            <w:shd w:val="clear" w:color="auto" w:fill="auto"/>
          </w:tcPr>
          <w:p w14:paraId="4E049CC4" w14:textId="4E7C6951" w:rsidR="00F64721" w:rsidRPr="00D07900" w:rsidRDefault="008234C1" w:rsidP="00F647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7900">
              <w:rPr>
                <w:rFonts w:ascii="Times New Roman" w:hAnsi="Times New Roman"/>
                <w:sz w:val="24"/>
                <w:szCs w:val="24"/>
              </w:rPr>
              <w:t xml:space="preserve">Derived </w:t>
            </w:r>
            <w:r w:rsidR="00F64721" w:rsidRPr="00D07900">
              <w:rPr>
                <w:rFonts w:ascii="Times New Roman" w:hAnsi="Times New Roman"/>
                <w:sz w:val="24"/>
                <w:szCs w:val="24"/>
              </w:rPr>
              <w:t xml:space="preserve">total for all </w:t>
            </w:r>
            <w:r w:rsidR="00F64721" w:rsidRPr="007D6DDE">
              <w:rPr>
                <w:rFonts w:ascii="Times New Roman" w:hAnsi="Times New Roman"/>
                <w:sz w:val="24"/>
                <w:szCs w:val="24"/>
              </w:rPr>
              <w:t>states/territories.</w:t>
            </w:r>
          </w:p>
          <w:p w14:paraId="5CEC791A" w14:textId="21FEDB3B" w:rsidR="00E65007" w:rsidRPr="00D07900" w:rsidRDefault="00E65007" w:rsidP="00F6472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0642D55" w14:textId="77777777" w:rsidR="006804FB" w:rsidRPr="00D07900" w:rsidRDefault="006804FB" w:rsidP="006804FB">
      <w:pPr>
        <w:spacing w:before="240" w:after="240"/>
        <w:jc w:val="both"/>
        <w:rPr>
          <w:rFonts w:ascii="Arial" w:hAnsi="Arial" w:cs="Arial"/>
          <w:b/>
          <w:sz w:val="32"/>
          <w:szCs w:val="32"/>
        </w:rPr>
      </w:pPr>
      <w:r w:rsidRPr="00D07900">
        <w:rPr>
          <w:rFonts w:ascii="Arial" w:hAnsi="Arial" w:cs="Arial"/>
          <w:b/>
          <w:sz w:val="32"/>
          <w:szCs w:val="32"/>
        </w:rPr>
        <w:t>Glossary of terms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087"/>
      </w:tblGrid>
      <w:tr w:rsidR="005050D1" w:rsidRPr="00E477E7" w14:paraId="639F517D" w14:textId="77777777" w:rsidTr="00C6100F">
        <w:trPr>
          <w:trHeight w:val="440"/>
        </w:trPr>
        <w:tc>
          <w:tcPr>
            <w:tcW w:w="1985" w:type="dxa"/>
            <w:shd w:val="clear" w:color="auto" w:fill="auto"/>
          </w:tcPr>
          <w:p w14:paraId="2AA44B68" w14:textId="20FE271F" w:rsidR="005050D1" w:rsidRPr="00D07900" w:rsidRDefault="005050D1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D07900">
              <w:rPr>
                <w:rFonts w:ascii="Times New Roman" w:hAnsi="Times New Roman"/>
                <w:b/>
                <w:i/>
                <w:sz w:val="24"/>
                <w:szCs w:val="24"/>
              </w:rPr>
              <w:t>Business entities</w:t>
            </w:r>
          </w:p>
        </w:tc>
        <w:tc>
          <w:tcPr>
            <w:tcW w:w="7087" w:type="dxa"/>
            <w:shd w:val="clear" w:color="auto" w:fill="auto"/>
          </w:tcPr>
          <w:p w14:paraId="11DBB568" w14:textId="117EDEC1" w:rsidR="005050D1" w:rsidRPr="00D07900" w:rsidRDefault="005050D1" w:rsidP="0091500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7900">
              <w:rPr>
                <w:rFonts w:ascii="Times New Roman" w:hAnsi="Times New Roman"/>
                <w:sz w:val="24"/>
                <w:szCs w:val="24"/>
              </w:rPr>
              <w:t>An entity that undertakes productive activities where these activities constitute the entity’s primary source of income</w:t>
            </w:r>
            <w:r w:rsidRPr="00C75E5B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34CB096F" w14:textId="77777777" w:rsidR="005050D1" w:rsidRPr="00D07900" w:rsidRDefault="005050D1" w:rsidP="005050D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7900">
              <w:rPr>
                <w:rFonts w:ascii="Times New Roman" w:hAnsi="Times New Roman"/>
                <w:sz w:val="24"/>
                <w:szCs w:val="24"/>
              </w:rPr>
              <w:t>Includes:</w:t>
            </w:r>
          </w:p>
          <w:p w14:paraId="6C35B912" w14:textId="77777777" w:rsidR="005050D1" w:rsidRPr="00D07900" w:rsidRDefault="005050D1" w:rsidP="005050D1">
            <w:pPr>
              <w:pStyle w:val="ListParagraph"/>
              <w:numPr>
                <w:ilvl w:val="0"/>
                <w:numId w:val="6"/>
              </w:numPr>
              <w:ind w:left="346" w:hanging="346"/>
              <w:rPr>
                <w:rFonts w:ascii="Times New Roman" w:hAnsi="Times New Roman"/>
                <w:sz w:val="24"/>
                <w:szCs w:val="24"/>
              </w:rPr>
            </w:pPr>
            <w:r w:rsidRPr="00D07900">
              <w:rPr>
                <w:rFonts w:ascii="Times New Roman" w:hAnsi="Times New Roman"/>
                <w:sz w:val="24"/>
                <w:szCs w:val="24"/>
              </w:rPr>
              <w:t>companies;</w:t>
            </w:r>
          </w:p>
          <w:p w14:paraId="6409C7E5" w14:textId="77777777" w:rsidR="005050D1" w:rsidRPr="00D07900" w:rsidRDefault="005050D1" w:rsidP="005050D1">
            <w:pPr>
              <w:pStyle w:val="ListParagraph"/>
              <w:numPr>
                <w:ilvl w:val="0"/>
                <w:numId w:val="6"/>
              </w:numPr>
              <w:ind w:left="346" w:hanging="346"/>
              <w:rPr>
                <w:rFonts w:ascii="Times New Roman" w:hAnsi="Times New Roman"/>
                <w:sz w:val="24"/>
                <w:szCs w:val="24"/>
              </w:rPr>
            </w:pPr>
            <w:r w:rsidRPr="00D07900">
              <w:rPr>
                <w:rFonts w:ascii="Times New Roman" w:hAnsi="Times New Roman"/>
                <w:sz w:val="24"/>
                <w:szCs w:val="24"/>
              </w:rPr>
              <w:t>trusts;</w:t>
            </w:r>
          </w:p>
          <w:p w14:paraId="66468CCE" w14:textId="77777777" w:rsidR="005050D1" w:rsidRPr="00D07900" w:rsidRDefault="005050D1" w:rsidP="005050D1">
            <w:pPr>
              <w:pStyle w:val="ListParagraph"/>
              <w:numPr>
                <w:ilvl w:val="0"/>
                <w:numId w:val="6"/>
              </w:numPr>
              <w:ind w:left="346" w:hanging="346"/>
              <w:rPr>
                <w:rFonts w:ascii="Times New Roman" w:hAnsi="Times New Roman"/>
                <w:sz w:val="24"/>
                <w:szCs w:val="24"/>
              </w:rPr>
            </w:pPr>
            <w:r w:rsidRPr="00D07900">
              <w:rPr>
                <w:rFonts w:ascii="Times New Roman" w:hAnsi="Times New Roman"/>
                <w:sz w:val="24"/>
                <w:szCs w:val="24"/>
              </w:rPr>
              <w:t>partnerships;</w:t>
            </w:r>
          </w:p>
          <w:p w14:paraId="3B94BB43" w14:textId="77777777" w:rsidR="005050D1" w:rsidRPr="00D07900" w:rsidRDefault="005050D1" w:rsidP="005050D1">
            <w:pPr>
              <w:pStyle w:val="ListParagraph"/>
              <w:numPr>
                <w:ilvl w:val="0"/>
                <w:numId w:val="6"/>
              </w:numPr>
              <w:ind w:left="346" w:hanging="346"/>
              <w:rPr>
                <w:rFonts w:ascii="Times New Roman" w:hAnsi="Times New Roman"/>
                <w:sz w:val="24"/>
                <w:szCs w:val="24"/>
              </w:rPr>
            </w:pPr>
            <w:r w:rsidRPr="00D07900">
              <w:rPr>
                <w:rFonts w:ascii="Times New Roman" w:hAnsi="Times New Roman"/>
                <w:sz w:val="24"/>
                <w:szCs w:val="24"/>
              </w:rPr>
              <w:t>incorporated entities;</w:t>
            </w:r>
          </w:p>
          <w:p w14:paraId="53E0DFEA" w14:textId="77777777" w:rsidR="005050D1" w:rsidRPr="00D07900" w:rsidRDefault="005050D1" w:rsidP="005050D1">
            <w:pPr>
              <w:pStyle w:val="ListParagraph"/>
              <w:numPr>
                <w:ilvl w:val="0"/>
                <w:numId w:val="6"/>
              </w:numPr>
              <w:ind w:left="346" w:hanging="346"/>
              <w:rPr>
                <w:rFonts w:ascii="Times New Roman" w:hAnsi="Times New Roman"/>
                <w:sz w:val="24"/>
                <w:szCs w:val="24"/>
              </w:rPr>
            </w:pPr>
            <w:r w:rsidRPr="00D07900">
              <w:rPr>
                <w:rFonts w:ascii="Times New Roman" w:hAnsi="Times New Roman"/>
                <w:sz w:val="24"/>
                <w:szCs w:val="24"/>
              </w:rPr>
              <w:t>sole traders; and</w:t>
            </w:r>
          </w:p>
          <w:p w14:paraId="0D65AB6D" w14:textId="167B2696" w:rsidR="00FD734F" w:rsidRDefault="005050D1" w:rsidP="00915005">
            <w:pPr>
              <w:pStyle w:val="ListParagraph"/>
              <w:numPr>
                <w:ilvl w:val="0"/>
                <w:numId w:val="6"/>
              </w:numPr>
              <w:ind w:left="346" w:hanging="346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07900">
              <w:rPr>
                <w:rFonts w:ascii="Times New Roman" w:hAnsi="Times New Roman"/>
                <w:sz w:val="24"/>
                <w:szCs w:val="24"/>
              </w:rPr>
              <w:t>joint</w:t>
            </w:r>
            <w:proofErr w:type="gramEnd"/>
            <w:r w:rsidRPr="00D07900">
              <w:rPr>
                <w:rFonts w:ascii="Times New Roman" w:hAnsi="Times New Roman"/>
                <w:sz w:val="24"/>
                <w:szCs w:val="24"/>
              </w:rPr>
              <w:t xml:space="preserve"> ventures.</w:t>
            </w:r>
          </w:p>
          <w:p w14:paraId="2230729E" w14:textId="558A57C7" w:rsidR="00F74BA4" w:rsidRDefault="00F74BA4" w:rsidP="00915005"/>
          <w:p w14:paraId="5C535BCE" w14:textId="37E4CDCB" w:rsidR="00D07900" w:rsidRDefault="005050D1" w:rsidP="0091500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07900">
              <w:rPr>
                <w:rFonts w:ascii="Times New Roman" w:hAnsi="Times New Roman"/>
                <w:sz w:val="24"/>
                <w:szCs w:val="24"/>
              </w:rPr>
              <w:t xml:space="preserve">A group of related parties </w:t>
            </w:r>
            <w:r w:rsidR="003E3E5E">
              <w:rPr>
                <w:rFonts w:ascii="Times New Roman" w:hAnsi="Times New Roman"/>
                <w:sz w:val="24"/>
                <w:szCs w:val="24"/>
              </w:rPr>
              <w:t>must</w:t>
            </w:r>
            <w:r w:rsidR="003E3E5E" w:rsidRPr="00D079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07900">
              <w:rPr>
                <w:rFonts w:ascii="Times New Roman" w:hAnsi="Times New Roman"/>
                <w:sz w:val="24"/>
                <w:szCs w:val="24"/>
              </w:rPr>
              <w:t xml:space="preserve">be considered a single business entity for the purposes of this reporting standard. </w:t>
            </w:r>
          </w:p>
          <w:p w14:paraId="7BED8F4C" w14:textId="7F910D40" w:rsidR="005050D1" w:rsidRPr="00165F3F" w:rsidRDefault="005050D1" w:rsidP="00915005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D07900">
              <w:rPr>
                <w:rFonts w:ascii="Times New Roman" w:hAnsi="Times New Roman"/>
                <w:sz w:val="24"/>
                <w:szCs w:val="24"/>
              </w:rPr>
              <w:lastRenderedPageBreak/>
              <w:t>Related parties include the parent entity, controlled entities, associated entities, joint venture entities and any other entity under the same parent entity</w:t>
            </w:r>
            <w:r w:rsidR="00F74BA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D6009" w:rsidRPr="00E477E7" w14:paraId="6036FEE3" w14:textId="77777777" w:rsidTr="00C6100F">
        <w:trPr>
          <w:trHeight w:val="440"/>
        </w:trPr>
        <w:tc>
          <w:tcPr>
            <w:tcW w:w="1985" w:type="dxa"/>
            <w:shd w:val="clear" w:color="auto" w:fill="auto"/>
          </w:tcPr>
          <w:p w14:paraId="76EBEDCF" w14:textId="2031B206" w:rsidR="00CD6009" w:rsidDel="00165F3F" w:rsidRDefault="00CD6009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lastRenderedPageBreak/>
              <w:t>Credit limit</w:t>
            </w:r>
          </w:p>
        </w:tc>
        <w:tc>
          <w:tcPr>
            <w:tcW w:w="7087" w:type="dxa"/>
            <w:shd w:val="clear" w:color="auto" w:fill="auto"/>
          </w:tcPr>
          <w:p w14:paraId="540F0B72" w14:textId="7E66EBA3" w:rsidR="00CD6009" w:rsidRPr="00C6100F" w:rsidRDefault="00CD6009" w:rsidP="007B6CC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165F3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Means the maximum amount of funds available to the </w:t>
            </w:r>
            <w:r w:rsidR="007B6CC4">
              <w:rPr>
                <w:rFonts w:ascii="Times New Roman" w:hAnsi="Times New Roman"/>
                <w:sz w:val="24"/>
                <w:szCs w:val="24"/>
              </w:rPr>
              <w:t>borrower</w:t>
            </w:r>
            <w:r w:rsidR="00DC77DE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165F3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without additional authorisation or approval. This amount include</w:t>
            </w:r>
            <w:r w:rsidR="003E3E5E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s</w:t>
            </w:r>
            <w:r w:rsidRPr="00165F3F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outstanding balances (including capitalised interest or fees) and any other funds that can be drawn without additional approval by the </w:t>
            </w:r>
            <w:r w:rsidR="007C7221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reporting entity</w:t>
            </w:r>
            <w:r w:rsidRPr="000D292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, as at the end of the </w:t>
            </w:r>
            <w:r w:rsidRPr="00915005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reporting period</w:t>
            </w:r>
            <w:r w:rsidRPr="000349DA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EE52CA" w:rsidRPr="00E477E7" w14:paraId="6CC38CA8" w14:textId="77777777" w:rsidTr="00915005">
        <w:trPr>
          <w:trHeight w:val="1694"/>
        </w:trPr>
        <w:tc>
          <w:tcPr>
            <w:tcW w:w="1985" w:type="dxa"/>
            <w:shd w:val="clear" w:color="auto" w:fill="auto"/>
          </w:tcPr>
          <w:p w14:paraId="1E2BD280" w14:textId="0C46C190" w:rsidR="00EE52CA" w:rsidRDefault="00165F3F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Credit </w:t>
            </w:r>
            <w:r w:rsidR="001D7C6E">
              <w:rPr>
                <w:rFonts w:ascii="Times New Roman" w:hAnsi="Times New Roman"/>
                <w:b/>
                <w:i/>
                <w:sz w:val="24"/>
                <w:szCs w:val="24"/>
              </w:rPr>
              <w:t>o</w:t>
            </w:r>
            <w:r w:rsidR="00EE52CA">
              <w:rPr>
                <w:rFonts w:ascii="Times New Roman" w:hAnsi="Times New Roman"/>
                <w:b/>
                <w:i/>
                <w:sz w:val="24"/>
                <w:szCs w:val="24"/>
              </w:rPr>
              <w:t>utstanding</w:t>
            </w:r>
          </w:p>
        </w:tc>
        <w:tc>
          <w:tcPr>
            <w:tcW w:w="7087" w:type="dxa"/>
            <w:shd w:val="clear" w:color="auto" w:fill="auto"/>
          </w:tcPr>
          <w:p w14:paraId="123740F4" w14:textId="7AB23D24" w:rsidR="00EE52CA" w:rsidRPr="00D07900" w:rsidRDefault="00EE52CA" w:rsidP="007B6CC4">
            <w:pPr>
              <w:spacing w:after="120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 w:rsidRPr="000349DA">
              <w:rPr>
                <w:rFonts w:ascii="Times New Roman" w:hAnsi="Times New Roman"/>
                <w:sz w:val="24"/>
                <w:szCs w:val="24"/>
              </w:rPr>
              <w:t xml:space="preserve">The amount owed by </w:t>
            </w:r>
            <w:r w:rsidR="007B6CC4">
              <w:rPr>
                <w:rFonts w:ascii="Times New Roman" w:hAnsi="Times New Roman"/>
                <w:sz w:val="24"/>
                <w:szCs w:val="24"/>
              </w:rPr>
              <w:t>borrowers</w:t>
            </w:r>
            <w:r w:rsidR="00ED4FF4" w:rsidRPr="000349D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at the end of the </w:t>
            </w:r>
            <w:r w:rsidRPr="007D6DDE">
              <w:rPr>
                <w:rFonts w:ascii="Times New Roman" w:hAnsi="Times New Roman"/>
                <w:sz w:val="24"/>
                <w:szCs w:val="24"/>
              </w:rPr>
              <w:t>reporting period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165F3F" w:rsidRPr="007D6DDE">
              <w:rPr>
                <w:rFonts w:ascii="Times New Roman" w:hAnsi="Times New Roman"/>
                <w:sz w:val="24"/>
                <w:szCs w:val="24"/>
              </w:rPr>
              <w:t>Credit</w:t>
            </w:r>
            <w:r w:rsidRPr="007D6DDE">
              <w:rPr>
                <w:rFonts w:ascii="Times New Roman" w:hAnsi="Times New Roman"/>
                <w:sz w:val="24"/>
                <w:szCs w:val="24"/>
              </w:rPr>
              <w:t xml:space="preserve"> outstanding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 is the original loan</w:t>
            </w:r>
            <w:r w:rsidR="00B53754" w:rsidRPr="000349DA">
              <w:rPr>
                <w:rFonts w:ascii="Times New Roman" w:hAnsi="Times New Roman"/>
                <w:sz w:val="24"/>
                <w:szCs w:val="24"/>
              </w:rPr>
              <w:t xml:space="preserve"> or lease</w:t>
            </w:r>
            <w:r w:rsidRPr="00141B29">
              <w:rPr>
                <w:rFonts w:ascii="Times New Roman" w:hAnsi="Times New Roman"/>
                <w:sz w:val="24"/>
                <w:szCs w:val="24"/>
              </w:rPr>
              <w:t xml:space="preserve"> amount</w:t>
            </w:r>
            <w:r w:rsidR="00CA301C" w:rsidRPr="0036009C">
              <w:rPr>
                <w:rFonts w:ascii="Times New Roman" w:hAnsi="Times New Roman"/>
                <w:sz w:val="24"/>
                <w:szCs w:val="24"/>
              </w:rPr>
              <w:t xml:space="preserve"> less any </w:t>
            </w:r>
            <w:r w:rsidRPr="00A8538C">
              <w:rPr>
                <w:rFonts w:ascii="Times New Roman" w:hAnsi="Times New Roman"/>
                <w:sz w:val="24"/>
                <w:szCs w:val="24"/>
              </w:rPr>
              <w:t xml:space="preserve">repayments, </w:t>
            </w:r>
            <w:r w:rsidR="009E37B9">
              <w:rPr>
                <w:rFonts w:ascii="Times New Roman" w:hAnsi="Times New Roman"/>
                <w:sz w:val="24"/>
                <w:szCs w:val="24"/>
              </w:rPr>
              <w:t>including</w:t>
            </w:r>
            <w:r w:rsidR="009E37B9" w:rsidRPr="001325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255A">
              <w:rPr>
                <w:rFonts w:ascii="Times New Roman" w:hAnsi="Times New Roman"/>
                <w:sz w:val="24"/>
                <w:szCs w:val="24"/>
              </w:rPr>
              <w:t xml:space="preserve">any redraw facilities drawn. </w:t>
            </w:r>
            <w:r w:rsidR="003E3E5E">
              <w:rPr>
                <w:rFonts w:ascii="Times New Roman" w:hAnsi="Times New Roman"/>
                <w:sz w:val="24"/>
                <w:szCs w:val="24"/>
              </w:rPr>
              <w:t>Report t</w:t>
            </w:r>
            <w:r w:rsidRPr="0013255A">
              <w:rPr>
                <w:rFonts w:ascii="Times New Roman" w:hAnsi="Times New Roman"/>
                <w:sz w:val="24"/>
                <w:szCs w:val="24"/>
              </w:rPr>
              <w:t xml:space="preserve">he balance </w:t>
            </w:r>
            <w:r w:rsidRPr="00C75E5B">
              <w:rPr>
                <w:rFonts w:ascii="Times New Roman" w:hAnsi="Times New Roman"/>
                <w:sz w:val="24"/>
                <w:szCs w:val="24"/>
              </w:rPr>
              <w:t xml:space="preserve">gross of provisions. </w:t>
            </w:r>
            <w:r w:rsidRPr="00D07900">
              <w:rPr>
                <w:rFonts w:ascii="Times New Roman" w:hAnsi="Times New Roman"/>
                <w:sz w:val="24"/>
                <w:szCs w:val="24"/>
              </w:rPr>
              <w:t xml:space="preserve">Do not net any deposit balances in offset accounts against the outstanding loan amount. </w:t>
            </w:r>
            <w:r w:rsidR="00CA301C" w:rsidRPr="00D07900">
              <w:rPr>
                <w:rFonts w:ascii="Times New Roman" w:hAnsi="Times New Roman"/>
                <w:sz w:val="24"/>
                <w:szCs w:val="24"/>
              </w:rPr>
              <w:t>Exclude finance that has been written off.</w:t>
            </w:r>
          </w:p>
        </w:tc>
      </w:tr>
      <w:tr w:rsidR="005050D1" w:rsidRPr="00E477E7" w14:paraId="6C7B2541" w14:textId="77777777" w:rsidTr="00BC4BCE">
        <w:trPr>
          <w:trHeight w:val="820"/>
        </w:trPr>
        <w:tc>
          <w:tcPr>
            <w:tcW w:w="1985" w:type="dxa"/>
            <w:shd w:val="clear" w:color="auto" w:fill="auto"/>
          </w:tcPr>
          <w:p w14:paraId="24F7F5D4" w14:textId="74B0CCEA" w:rsidR="005050D1" w:rsidRPr="00E477E7" w:rsidRDefault="005050D1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Farm debt mediation</w:t>
            </w:r>
          </w:p>
        </w:tc>
        <w:tc>
          <w:tcPr>
            <w:tcW w:w="7087" w:type="dxa"/>
            <w:shd w:val="clear" w:color="auto" w:fill="auto"/>
          </w:tcPr>
          <w:p w14:paraId="36883A3F" w14:textId="7299C5C6" w:rsidR="005050D1" w:rsidRPr="00A8538C" w:rsidRDefault="005050D1" w:rsidP="007D6DD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49DA">
              <w:rPr>
                <w:rFonts w:ascii="Times New Roman" w:hAnsi="Times New Roman"/>
                <w:sz w:val="24"/>
                <w:szCs w:val="24"/>
              </w:rPr>
              <w:t xml:space="preserve">A structured negotiation process where a neutral and independent mediator assists the </w:t>
            </w:r>
            <w:r w:rsidR="007C7221" w:rsidRPr="007D6DDE">
              <w:rPr>
                <w:rFonts w:ascii="Times New Roman" w:hAnsi="Times New Roman"/>
                <w:sz w:val="24"/>
                <w:szCs w:val="24"/>
              </w:rPr>
              <w:t>business entity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 and the </w:t>
            </w:r>
            <w:r w:rsidR="007C7221" w:rsidRPr="000349DA">
              <w:rPr>
                <w:rFonts w:ascii="Times New Roman" w:hAnsi="Times New Roman"/>
                <w:sz w:val="24"/>
                <w:szCs w:val="24"/>
              </w:rPr>
              <w:t xml:space="preserve">reporting entity </w:t>
            </w:r>
            <w:r w:rsidRPr="00141B29">
              <w:rPr>
                <w:rFonts w:ascii="Times New Roman" w:hAnsi="Times New Roman"/>
                <w:sz w:val="24"/>
                <w:szCs w:val="24"/>
              </w:rPr>
              <w:t xml:space="preserve">to try to reach agreement about current and </w:t>
            </w:r>
            <w:r w:rsidRPr="00A8538C">
              <w:rPr>
                <w:rFonts w:ascii="Times New Roman" w:hAnsi="Times New Roman"/>
                <w:sz w:val="24"/>
                <w:szCs w:val="24"/>
              </w:rPr>
              <w:t>future debt arrangements.</w:t>
            </w:r>
          </w:p>
          <w:p w14:paraId="79EBF74C" w14:textId="6A92E3CB" w:rsidR="005050D1" w:rsidRPr="00A8538C" w:rsidRDefault="005050D1" w:rsidP="007D6DD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 some states/territories, </w:t>
            </w:r>
            <w:r w:rsidRPr="007D6DDE">
              <w:rPr>
                <w:rFonts w:ascii="Times New Roman" w:hAnsi="Times New Roman"/>
                <w:sz w:val="24"/>
                <w:szCs w:val="24"/>
              </w:rPr>
              <w:t xml:space="preserve">farm debt mediation 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is a legislative requirement ahead of a </w:t>
            </w:r>
            <w:r w:rsidR="007C7221" w:rsidRPr="000349DA">
              <w:rPr>
                <w:rFonts w:ascii="Times New Roman" w:hAnsi="Times New Roman"/>
                <w:sz w:val="24"/>
                <w:szCs w:val="24"/>
              </w:rPr>
              <w:t>reporting entity</w:t>
            </w:r>
            <w:r w:rsidRPr="00141B29">
              <w:rPr>
                <w:rFonts w:ascii="Times New Roman" w:hAnsi="Times New Roman"/>
                <w:sz w:val="24"/>
                <w:szCs w:val="24"/>
              </w:rPr>
              <w:t xml:space="preserve"> wishing to undertake any </w:t>
            </w:r>
            <w:r w:rsidRPr="007D6DDE">
              <w:rPr>
                <w:rFonts w:ascii="Times New Roman" w:hAnsi="Times New Roman"/>
                <w:sz w:val="24"/>
                <w:szCs w:val="24"/>
              </w:rPr>
              <w:t>foreclosure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 action.</w:t>
            </w:r>
          </w:p>
        </w:tc>
      </w:tr>
      <w:tr w:rsidR="005050D1" w:rsidRPr="00E477E7" w14:paraId="6A709A88" w14:textId="77777777" w:rsidTr="00A573E3">
        <w:tc>
          <w:tcPr>
            <w:tcW w:w="1985" w:type="dxa"/>
            <w:shd w:val="clear" w:color="auto" w:fill="auto"/>
          </w:tcPr>
          <w:p w14:paraId="145938B1" w14:textId="021F2406" w:rsidR="005050D1" w:rsidRDefault="005050D1" w:rsidP="008D2A17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Foreclosure</w:t>
            </w:r>
          </w:p>
        </w:tc>
        <w:tc>
          <w:tcPr>
            <w:tcW w:w="7087" w:type="dxa"/>
            <w:shd w:val="clear" w:color="auto" w:fill="auto"/>
          </w:tcPr>
          <w:p w14:paraId="08835F8D" w14:textId="31141FFD" w:rsidR="005050D1" w:rsidRDefault="005050D1" w:rsidP="007D6DD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349D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Proceeding in which a</w:t>
            </w:r>
            <w:r w:rsidRPr="00141B2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reporting institution</w:t>
            </w:r>
            <w:r w:rsidRPr="003600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may</w:t>
            </w:r>
            <w:r w:rsidRPr="005921A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take possession o</w:t>
            </w:r>
            <w:r w:rsidRPr="006861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f </w:t>
            </w:r>
            <w:r w:rsidR="00D07900" w:rsidRPr="006861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  <w:r w:rsidRPr="006861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property</w:t>
            </w:r>
            <w:r w:rsidR="006216D2" w:rsidRPr="006861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used to secure a loan or lease</w:t>
            </w:r>
            <w:r w:rsidRPr="00A853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  <w:p w14:paraId="3DE08C3B" w14:textId="150EA7CF" w:rsidR="005050D1" w:rsidRDefault="005050D1" w:rsidP="007D6DD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Where a reporting</w:t>
            </w:r>
            <w:r w:rsidR="00280E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institution</w:t>
            </w:r>
            <w:r w:rsidR="00280E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appoint</w:t>
            </w:r>
            <w:r w:rsidR="00280E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 administrator or receiver</w:t>
            </w:r>
            <w:r w:rsidR="00280E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3E3E5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consider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this </w:t>
            </w:r>
            <w:r w:rsidDel="00C02A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as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an instance of a </w:t>
            </w:r>
            <w:r w:rsidRPr="00E320D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foreclosure</w:t>
            </w:r>
            <w:r w:rsidRPr="00C02A6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for the purposes of this Reporting Standard.</w:t>
            </w:r>
          </w:p>
        </w:tc>
      </w:tr>
      <w:tr w:rsidR="005050D1" w:rsidRPr="00E477E7" w14:paraId="27D93A57" w14:textId="77777777" w:rsidTr="00A573E3">
        <w:tc>
          <w:tcPr>
            <w:tcW w:w="1985" w:type="dxa"/>
            <w:shd w:val="clear" w:color="auto" w:fill="auto"/>
          </w:tcPr>
          <w:p w14:paraId="4B511830" w14:textId="0EF7CEB1" w:rsidR="005050D1" w:rsidRDefault="005050D1" w:rsidP="008D2A17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Industry classification</w:t>
            </w:r>
          </w:p>
        </w:tc>
        <w:tc>
          <w:tcPr>
            <w:tcW w:w="7087" w:type="dxa"/>
            <w:shd w:val="clear" w:color="auto" w:fill="auto"/>
          </w:tcPr>
          <w:p w14:paraId="540390DC" w14:textId="4339CBD6" w:rsidR="005050D1" w:rsidRPr="007D6DDE" w:rsidRDefault="005050D1" w:rsidP="007D6DD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0349D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  <w:r w:rsidRPr="000349DA" w:rsidDel="00DF44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n </w:t>
            </w:r>
            <w:r w:rsidRPr="00141B29" w:rsidDel="00DF44B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individual</w:t>
            </w:r>
            <w:r w:rsidRPr="003600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7D6D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business entity</w:t>
            </w:r>
            <w:r w:rsidRPr="000349D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is assigned to an </w:t>
            </w:r>
            <w:r w:rsidRPr="007D6D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industry classification</w:t>
            </w:r>
            <w:r w:rsidRPr="000349D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based </w:t>
            </w:r>
            <w:r w:rsidRPr="00141B2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on its predominant activity</w:t>
            </w:r>
            <w:r w:rsidRPr="0036009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 The kinds</w:t>
            </w:r>
            <w:r w:rsidRPr="005921A0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of</w:t>
            </w:r>
            <w:r w:rsidRPr="006861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7D6DD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industry classifications</w:t>
            </w:r>
            <w:r w:rsidRPr="000349D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collected in </w:t>
            </w:r>
            <w:r w:rsidRPr="00686187" w:rsidDel="00B65E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</w:t>
            </w:r>
            <w:r w:rsidRPr="0068618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ARF 750.0 are listed at the end of these instructions,</w:t>
            </w:r>
            <w:r w:rsidRPr="00A8538C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under the heading ‘Industry classification</w:t>
            </w:r>
            <w:r w:rsidRPr="00726B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’ with respect to Australian and New Zealand Standard Industrial Classification (ANZSIC)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1993 and</w:t>
            </w:r>
            <w:r w:rsidRPr="00726BB7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2006 classes.</w:t>
            </w:r>
          </w:p>
        </w:tc>
      </w:tr>
      <w:tr w:rsidR="005050D1" w:rsidRPr="00E477E7" w14:paraId="5DBE33F3" w14:textId="77777777" w:rsidTr="00A573E3">
        <w:tc>
          <w:tcPr>
            <w:tcW w:w="1985" w:type="dxa"/>
            <w:shd w:val="clear" w:color="auto" w:fill="auto"/>
          </w:tcPr>
          <w:p w14:paraId="2EBE0B98" w14:textId="77777777" w:rsidR="005050D1" w:rsidRDefault="005050D1" w:rsidP="00EE52CA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Loans and leases </w:t>
            </w:r>
          </w:p>
          <w:p w14:paraId="539FE88E" w14:textId="6F83E6CC" w:rsidR="005050D1" w:rsidRDefault="005050D1" w:rsidP="00375F11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</w:p>
        </w:tc>
        <w:tc>
          <w:tcPr>
            <w:tcW w:w="7087" w:type="dxa"/>
            <w:shd w:val="clear" w:color="auto" w:fill="auto"/>
          </w:tcPr>
          <w:p w14:paraId="3CB5D247" w14:textId="5387C15F" w:rsidR="005050D1" w:rsidRPr="00A8538C" w:rsidRDefault="005050D1" w:rsidP="007D6DD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0349DA">
              <w:rPr>
                <w:rFonts w:ascii="Times New Roman" w:hAnsi="Times New Roman"/>
                <w:sz w:val="24"/>
                <w:szCs w:val="24"/>
              </w:rPr>
              <w:t xml:space="preserve">Amount owing to the reporting entity </w:t>
            </w:r>
            <w:r w:rsidRPr="00141B29">
              <w:rPr>
                <w:rFonts w:ascii="Times New Roman" w:hAnsi="Times New Roman"/>
                <w:sz w:val="24"/>
                <w:szCs w:val="24"/>
              </w:rPr>
              <w:t>by a</w:t>
            </w:r>
            <w:r w:rsidRPr="007D6DDE" w:rsidDel="00345C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D6DDE">
              <w:rPr>
                <w:rFonts w:ascii="Times New Roman" w:hAnsi="Times New Roman"/>
                <w:sz w:val="24"/>
                <w:szCs w:val="24"/>
              </w:rPr>
              <w:t>business entity</w:t>
            </w:r>
            <w:r w:rsidRPr="000349DA">
              <w:rPr>
                <w:rFonts w:ascii="Times New Roman" w:hAnsi="Times New Roman"/>
                <w:sz w:val="24"/>
                <w:szCs w:val="24"/>
              </w:rPr>
              <w:t xml:space="preserve"> evidenced by non-negotiable documents.</w:t>
            </w:r>
          </w:p>
          <w:p w14:paraId="2650B9FF" w14:textId="77777777" w:rsidR="005050D1" w:rsidRPr="00213083" w:rsidRDefault="005050D1" w:rsidP="00EE52CA">
            <w:pPr>
              <w:rPr>
                <w:rFonts w:ascii="Times New Roman" w:hAnsi="Times New Roman"/>
                <w:sz w:val="24"/>
                <w:szCs w:val="24"/>
              </w:rPr>
            </w:pPr>
            <w:r w:rsidRPr="00213083">
              <w:rPr>
                <w:rFonts w:ascii="Times New Roman" w:hAnsi="Times New Roman"/>
                <w:sz w:val="24"/>
                <w:szCs w:val="24"/>
              </w:rPr>
              <w:t>It includes:</w:t>
            </w:r>
          </w:p>
          <w:p w14:paraId="01FC3B11" w14:textId="77777777" w:rsidR="005050D1" w:rsidRPr="00213083" w:rsidRDefault="005050D1" w:rsidP="006328EC">
            <w:pPr>
              <w:pStyle w:val="ListParagraph"/>
              <w:numPr>
                <w:ilvl w:val="0"/>
                <w:numId w:val="6"/>
              </w:numPr>
              <w:ind w:left="346" w:hanging="346"/>
              <w:rPr>
                <w:rFonts w:ascii="Times New Roman" w:hAnsi="Times New Roman"/>
                <w:sz w:val="24"/>
                <w:szCs w:val="24"/>
              </w:rPr>
            </w:pPr>
            <w:r w:rsidRPr="00213083">
              <w:rPr>
                <w:rFonts w:ascii="Times New Roman" w:hAnsi="Times New Roman"/>
                <w:sz w:val="24"/>
                <w:szCs w:val="24"/>
              </w:rPr>
              <w:t>advances;</w:t>
            </w:r>
          </w:p>
          <w:p w14:paraId="44729CF8" w14:textId="77777777" w:rsidR="005050D1" w:rsidRPr="00213083" w:rsidRDefault="005050D1" w:rsidP="006328EC">
            <w:pPr>
              <w:pStyle w:val="ListParagraph"/>
              <w:numPr>
                <w:ilvl w:val="0"/>
                <w:numId w:val="6"/>
              </w:numPr>
              <w:ind w:left="346" w:hanging="346"/>
              <w:rPr>
                <w:rFonts w:ascii="Times New Roman" w:hAnsi="Times New Roman"/>
                <w:sz w:val="24"/>
                <w:szCs w:val="24"/>
              </w:rPr>
            </w:pPr>
            <w:r w:rsidRPr="00213083">
              <w:rPr>
                <w:rFonts w:ascii="Times New Roman" w:hAnsi="Times New Roman"/>
                <w:sz w:val="24"/>
                <w:szCs w:val="24"/>
              </w:rPr>
              <w:t>secured and unsecured loans;</w:t>
            </w:r>
          </w:p>
          <w:p w14:paraId="7BFCACDC" w14:textId="77777777" w:rsidR="005050D1" w:rsidRPr="00213083" w:rsidRDefault="005050D1" w:rsidP="006328EC">
            <w:pPr>
              <w:pStyle w:val="ListParagraph"/>
              <w:numPr>
                <w:ilvl w:val="0"/>
                <w:numId w:val="6"/>
              </w:numPr>
              <w:ind w:left="346" w:hanging="346"/>
              <w:rPr>
                <w:rFonts w:ascii="Times New Roman" w:hAnsi="Times New Roman"/>
                <w:sz w:val="24"/>
                <w:szCs w:val="24"/>
              </w:rPr>
            </w:pPr>
            <w:r w:rsidRPr="00213083">
              <w:rPr>
                <w:rFonts w:ascii="Times New Roman" w:hAnsi="Times New Roman"/>
                <w:sz w:val="24"/>
                <w:szCs w:val="24"/>
              </w:rPr>
              <w:t>mortgages;</w:t>
            </w:r>
          </w:p>
          <w:p w14:paraId="278071CE" w14:textId="77777777" w:rsidR="005050D1" w:rsidRPr="00213083" w:rsidRDefault="005050D1" w:rsidP="006328EC">
            <w:pPr>
              <w:pStyle w:val="ListParagraph"/>
              <w:numPr>
                <w:ilvl w:val="0"/>
                <w:numId w:val="6"/>
              </w:numPr>
              <w:ind w:left="346" w:hanging="346"/>
              <w:rPr>
                <w:rFonts w:ascii="Times New Roman" w:hAnsi="Times New Roman"/>
                <w:sz w:val="24"/>
                <w:szCs w:val="24"/>
              </w:rPr>
            </w:pPr>
            <w:r w:rsidRPr="00213083">
              <w:rPr>
                <w:rFonts w:ascii="Times New Roman" w:hAnsi="Times New Roman"/>
                <w:sz w:val="24"/>
                <w:szCs w:val="24"/>
              </w:rPr>
              <w:t xml:space="preserve">commercial loans; </w:t>
            </w:r>
          </w:p>
          <w:p w14:paraId="18C48764" w14:textId="4F6E9E37" w:rsidR="005050D1" w:rsidRPr="00C75E5B" w:rsidDel="00E62D79" w:rsidRDefault="005050D1">
            <w:pPr>
              <w:pStyle w:val="ListParagraph"/>
              <w:numPr>
                <w:ilvl w:val="0"/>
                <w:numId w:val="6"/>
              </w:numPr>
              <w:ind w:left="346" w:hanging="346"/>
              <w:rPr>
                <w:rFonts w:ascii="Times New Roman" w:hAnsi="Times New Roman"/>
                <w:sz w:val="24"/>
                <w:szCs w:val="24"/>
              </w:rPr>
            </w:pPr>
            <w:r w:rsidRPr="00213083">
              <w:rPr>
                <w:rFonts w:ascii="Times New Roman" w:hAnsi="Times New Roman"/>
                <w:sz w:val="24"/>
                <w:szCs w:val="24"/>
              </w:rPr>
              <w:t>redeemable preference share finance not evidenced by a security;</w:t>
            </w:r>
          </w:p>
          <w:p w14:paraId="468AC9F0" w14:textId="77777777" w:rsidR="005050D1" w:rsidRPr="00213083" w:rsidRDefault="005050D1" w:rsidP="006328EC">
            <w:pPr>
              <w:pStyle w:val="ListParagraph"/>
              <w:numPr>
                <w:ilvl w:val="0"/>
                <w:numId w:val="6"/>
              </w:numPr>
              <w:ind w:left="346" w:hanging="346"/>
              <w:rPr>
                <w:rFonts w:ascii="Times New Roman" w:hAnsi="Times New Roman"/>
                <w:sz w:val="24"/>
                <w:szCs w:val="24"/>
              </w:rPr>
            </w:pPr>
            <w:r w:rsidRPr="00213083">
              <w:rPr>
                <w:rFonts w:ascii="Times New Roman" w:hAnsi="Times New Roman"/>
                <w:sz w:val="24"/>
                <w:szCs w:val="24"/>
              </w:rPr>
              <w:t>lease arrangements; and</w:t>
            </w:r>
          </w:p>
          <w:p w14:paraId="5571E862" w14:textId="77777777" w:rsidR="005050D1" w:rsidRPr="00213083" w:rsidRDefault="005050D1" w:rsidP="006328EC">
            <w:pPr>
              <w:pStyle w:val="ListParagraph"/>
              <w:numPr>
                <w:ilvl w:val="0"/>
                <w:numId w:val="6"/>
              </w:numPr>
              <w:ind w:left="346" w:hanging="346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13083">
              <w:rPr>
                <w:rFonts w:ascii="Times New Roman" w:hAnsi="Times New Roman"/>
                <w:sz w:val="24"/>
                <w:szCs w:val="24"/>
              </w:rPr>
              <w:lastRenderedPageBreak/>
              <w:t>equity</w:t>
            </w:r>
            <w:proofErr w:type="gramEnd"/>
            <w:r w:rsidRPr="00213083">
              <w:rPr>
                <w:rFonts w:ascii="Times New Roman" w:hAnsi="Times New Roman"/>
                <w:sz w:val="24"/>
                <w:szCs w:val="24"/>
              </w:rPr>
              <w:t xml:space="preserve"> participation in leveraged leases.</w:t>
            </w:r>
          </w:p>
          <w:p w14:paraId="59604830" w14:textId="380A4CC5" w:rsidR="005050D1" w:rsidRPr="008E657A" w:rsidRDefault="005050D1" w:rsidP="00A573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5050D1" w:rsidRPr="00E477E7" w14:paraId="1F454EFC" w14:textId="77777777" w:rsidTr="00C75E5B">
        <w:trPr>
          <w:trHeight w:val="557"/>
        </w:trPr>
        <w:tc>
          <w:tcPr>
            <w:tcW w:w="1985" w:type="dxa"/>
            <w:shd w:val="clear" w:color="auto" w:fill="auto"/>
          </w:tcPr>
          <w:p w14:paraId="64DBDB4D" w14:textId="2B8E9444" w:rsidR="005050D1" w:rsidRDefault="005050D1" w:rsidP="00654E02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lastRenderedPageBreak/>
              <w:t>90 days past due</w:t>
            </w:r>
          </w:p>
        </w:tc>
        <w:tc>
          <w:tcPr>
            <w:tcW w:w="7087" w:type="dxa"/>
            <w:shd w:val="clear" w:color="auto" w:fill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440"/>
            </w:tblGrid>
            <w:tr w:rsidR="005050D1" w:rsidRPr="0017338E" w14:paraId="10D12A3B" w14:textId="77777777" w:rsidTr="009F5DB1">
              <w:trPr>
                <w:trHeight w:val="1903"/>
              </w:trPr>
              <w:tc>
                <w:tcPr>
                  <w:tcW w:w="7440" w:type="dxa"/>
                </w:tcPr>
                <w:p w14:paraId="7B19047A" w14:textId="77777777" w:rsidR="005050D1" w:rsidRDefault="005050D1" w:rsidP="00126745">
                  <w:pPr>
                    <w:autoSpaceDE w:val="0"/>
                    <w:autoSpaceDN w:val="0"/>
                    <w:adjustRightInd w:val="0"/>
                    <w:spacing w:after="120"/>
                    <w:ind w:right="465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E320D9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The data reported relates to credit exposures where the following criteria are met: </w:t>
                  </w:r>
                </w:p>
                <w:p w14:paraId="09CDA453" w14:textId="77777777" w:rsidR="005050D1" w:rsidRDefault="005050D1" w:rsidP="00126745">
                  <w:pPr>
                    <w:pStyle w:val="ListParagraph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120"/>
                    <w:ind w:left="357" w:right="465" w:hanging="357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E320D9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the facility is not subject to a regular repayment schedule and has remained continuously outside contractual or approved arrangements for a period of 90 days; or </w:t>
                  </w:r>
                </w:p>
                <w:p w14:paraId="0FAEE567" w14:textId="3A0E4F20" w:rsidR="005050D1" w:rsidRPr="00E320D9" w:rsidRDefault="005050D1" w:rsidP="00126745">
                  <w:pPr>
                    <w:pStyle w:val="ListParagraph"/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spacing w:after="120"/>
                    <w:ind w:left="357" w:right="465" w:hanging="357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E320D9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the facility is subject to a regular repayment schedule and: </w:t>
                  </w:r>
                </w:p>
                <w:p w14:paraId="57537A47" w14:textId="198FBB3A" w:rsidR="005050D1" w:rsidRPr="007D6DDE" w:rsidRDefault="005050D1" w:rsidP="00126745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120"/>
                    <w:ind w:left="927" w:right="466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E320D9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at least 90 calendar days have elapsed since the due date of a contractual payment that has not been met in full; and</w:t>
                  </w:r>
                </w:p>
                <w:p w14:paraId="03132723" w14:textId="6E059626" w:rsidR="005050D1" w:rsidRPr="0017338E" w:rsidRDefault="005050D1" w:rsidP="00126745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after="120"/>
                    <w:ind w:left="927" w:right="466"/>
                    <w:rPr>
                      <w:rFonts w:ascii="Times New Roman" w:hAnsi="Times New Roman"/>
                      <w:color w:val="000000"/>
                      <w:sz w:val="23"/>
                      <w:szCs w:val="23"/>
                      <w:lang w:eastAsia="en-AU"/>
                    </w:rPr>
                  </w:pPr>
                  <w:proofErr w:type="gramStart"/>
                  <w:r w:rsidRPr="00C75E5B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the</w:t>
                  </w:r>
                  <w:proofErr w:type="gramEnd"/>
                  <w:r w:rsidRPr="00C75E5B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total amount outside contractual arrangements is equivalent to at least 90 days' worth of contractual payments.</w:t>
                  </w:r>
                </w:p>
              </w:tc>
            </w:tr>
          </w:tbl>
          <w:p w14:paraId="782785CF" w14:textId="62EAACFF" w:rsidR="005050D1" w:rsidRPr="008E657A" w:rsidRDefault="005050D1" w:rsidP="00A573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5050D1" w:rsidRPr="00E477E7" w14:paraId="25E00042" w14:textId="77777777" w:rsidTr="007D6DDE">
        <w:trPr>
          <w:trHeight w:val="340"/>
        </w:trPr>
        <w:tc>
          <w:tcPr>
            <w:tcW w:w="1985" w:type="dxa"/>
            <w:shd w:val="clear" w:color="auto" w:fill="auto"/>
          </w:tcPr>
          <w:p w14:paraId="40F3EBE5" w14:textId="0D910822" w:rsidR="005050D1" w:rsidRDefault="005050D1" w:rsidP="008D2A17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State/territory</w:t>
            </w:r>
          </w:p>
        </w:tc>
        <w:tc>
          <w:tcPr>
            <w:tcW w:w="7087" w:type="dxa"/>
            <w:shd w:val="clear" w:color="auto" w:fill="auto"/>
          </w:tcPr>
          <w:p w14:paraId="626A5F89" w14:textId="6054E953" w:rsidR="005050D1" w:rsidRPr="00726BB7" w:rsidRDefault="005050D1" w:rsidP="007D6DD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Refers to</w:t>
            </w:r>
            <w:r w:rsidRPr="00726BB7">
              <w:rPr>
                <w:rFonts w:ascii="Times New Roman" w:hAnsi="Times New Roman"/>
                <w:sz w:val="24"/>
                <w:szCs w:val="24"/>
              </w:rPr>
              <w:t xml:space="preserve"> a state or territory of Australia.</w:t>
            </w:r>
          </w:p>
        </w:tc>
      </w:tr>
    </w:tbl>
    <w:p w14:paraId="008E0A41" w14:textId="77777777" w:rsidR="00213083" w:rsidRDefault="00213083" w:rsidP="008E657A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ECD8D81" w14:textId="094BDF45" w:rsidR="008E657A" w:rsidRPr="00AB4984" w:rsidRDefault="008E657A" w:rsidP="008E657A">
      <w:pPr>
        <w:spacing w:before="240"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Industry </w:t>
      </w:r>
      <w:r w:rsidR="00654E02">
        <w:rPr>
          <w:rFonts w:ascii="Arial" w:hAnsi="Arial" w:cs="Arial"/>
          <w:b/>
          <w:sz w:val="24"/>
          <w:szCs w:val="24"/>
        </w:rPr>
        <w:t>classification</w:t>
      </w:r>
    </w:p>
    <w:p w14:paraId="1EBA6AB4" w14:textId="1BDD90B3" w:rsidR="008E657A" w:rsidRDefault="008E657A" w:rsidP="008E657A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9"/>
        <w:gridCol w:w="2239"/>
        <w:gridCol w:w="2358"/>
      </w:tblGrid>
      <w:tr w:rsidR="00020AE4" w:rsidRPr="00B263DB" w14:paraId="7E1E6A4C" w14:textId="77777777" w:rsidTr="00A8605A">
        <w:tc>
          <w:tcPr>
            <w:tcW w:w="4419" w:type="dxa"/>
            <w:shd w:val="clear" w:color="auto" w:fill="D9D9D9" w:themeFill="background1" w:themeFillShade="D9"/>
            <w:noWrap/>
            <w:vAlign w:val="bottom"/>
            <w:hideMark/>
          </w:tcPr>
          <w:p w14:paraId="709C30E3" w14:textId="3EC10C7E" w:rsidR="00020AE4" w:rsidRPr="002479C9" w:rsidRDefault="00020AE4" w:rsidP="00654E02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n-AU"/>
              </w:rPr>
            </w:pPr>
            <w:r w:rsidRPr="002479C9">
              <w:rPr>
                <w:rFonts w:ascii="Times New Roman" w:eastAsia="Times New Roman" w:hAnsi="Times New Roman"/>
                <w:b/>
                <w:sz w:val="24"/>
                <w:szCs w:val="24"/>
                <w:lang w:eastAsia="en-AU"/>
              </w:rPr>
              <w:t xml:space="preserve">Industry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en-AU"/>
              </w:rPr>
              <w:t>classification</w:t>
            </w:r>
          </w:p>
        </w:tc>
        <w:tc>
          <w:tcPr>
            <w:tcW w:w="2239" w:type="dxa"/>
            <w:shd w:val="clear" w:color="auto" w:fill="D9D9D9" w:themeFill="background1" w:themeFillShade="D9"/>
          </w:tcPr>
          <w:p w14:paraId="6AEE2598" w14:textId="6EDD6F1A" w:rsidR="00020AE4" w:rsidRPr="002479C9" w:rsidRDefault="00020AE4" w:rsidP="00020AE4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2479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 xml:space="preserve">ANZSIC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>1993 c</w:t>
            </w:r>
            <w:r w:rsidRPr="002479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>lass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 xml:space="preserve"> or classes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30C68D4" w14:textId="1E101B25" w:rsidR="00020AE4" w:rsidRPr="002479C9" w:rsidRDefault="00020AE4" w:rsidP="00655A79">
            <w:pPr>
              <w:spacing w:before="60" w:after="6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2479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 xml:space="preserve">ANZSIC 2006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>c</w:t>
            </w:r>
            <w:r w:rsidRPr="002479C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>lass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en-AU"/>
              </w:rPr>
              <w:t xml:space="preserve"> or classes</w:t>
            </w:r>
          </w:p>
        </w:tc>
      </w:tr>
      <w:tr w:rsidR="00020AE4" w:rsidRPr="00B263DB" w14:paraId="2F57BF48" w14:textId="77777777" w:rsidTr="00A8605A">
        <w:tc>
          <w:tcPr>
            <w:tcW w:w="4419" w:type="dxa"/>
            <w:shd w:val="clear" w:color="auto" w:fill="auto"/>
            <w:vAlign w:val="bottom"/>
            <w:hideMark/>
          </w:tcPr>
          <w:p w14:paraId="6FE0EB47" w14:textId="77777777" w:rsidR="00020AE4" w:rsidRPr="00655A79" w:rsidRDefault="00020AE4" w:rsidP="00814DE4">
            <w:pPr>
              <w:spacing w:before="60" w:after="60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en-AU"/>
              </w:rPr>
              <w:t>Livestock industries</w:t>
            </w:r>
          </w:p>
        </w:tc>
        <w:tc>
          <w:tcPr>
            <w:tcW w:w="2239" w:type="dxa"/>
            <w:tcBorders>
              <w:right w:val="nil"/>
            </w:tcBorders>
          </w:tcPr>
          <w:p w14:paraId="7A3DE4EF" w14:textId="77777777" w:rsidR="00020AE4" w:rsidRPr="00B263DB" w:rsidRDefault="00020AE4" w:rsidP="00814DE4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  <w:tc>
          <w:tcPr>
            <w:tcW w:w="2358" w:type="dxa"/>
            <w:tcBorders>
              <w:left w:val="nil"/>
            </w:tcBorders>
            <w:shd w:val="clear" w:color="auto" w:fill="auto"/>
            <w:vAlign w:val="bottom"/>
            <w:hideMark/>
          </w:tcPr>
          <w:p w14:paraId="22AF04CC" w14:textId="769CD901" w:rsidR="00020AE4" w:rsidRPr="00B263DB" w:rsidRDefault="00020AE4" w:rsidP="00814DE4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020AE4" w:rsidRPr="00B263DB" w14:paraId="452ADAF1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5451F756" w14:textId="77777777" w:rsidR="00020AE4" w:rsidRPr="00655A79" w:rsidRDefault="00020AE4" w:rsidP="006328EC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Beef cattle</w:t>
            </w:r>
          </w:p>
        </w:tc>
        <w:tc>
          <w:tcPr>
            <w:tcW w:w="2239" w:type="dxa"/>
          </w:tcPr>
          <w:p w14:paraId="4F9AAFBC" w14:textId="0428D859" w:rsidR="00020AE4" w:rsidRPr="00B263DB" w:rsidRDefault="007C6229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0125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678A7156" w14:textId="4B95ED74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0142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, 0143</w:t>
            </w:r>
          </w:p>
        </w:tc>
      </w:tr>
      <w:tr w:rsidR="00020AE4" w:rsidRPr="00B263DB" w14:paraId="1757B70D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680F06DD" w14:textId="77777777" w:rsidR="00020AE4" w:rsidRPr="00655A79" w:rsidRDefault="00020AE4" w:rsidP="00814DE4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Sheep and sheep-beef</w:t>
            </w:r>
          </w:p>
        </w:tc>
        <w:tc>
          <w:tcPr>
            <w:tcW w:w="2239" w:type="dxa"/>
          </w:tcPr>
          <w:p w14:paraId="64A48E1E" w14:textId="2E008C86" w:rsidR="00020AE4" w:rsidRPr="00B263DB" w:rsidRDefault="007C6229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0123, 0124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23874466" w14:textId="4951DD53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0141, 0144</w:t>
            </w:r>
          </w:p>
        </w:tc>
      </w:tr>
      <w:tr w:rsidR="00020AE4" w:rsidRPr="00B263DB" w14:paraId="4BD52FE6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1B1637D4" w14:textId="77777777" w:rsidR="00020AE4" w:rsidRPr="00655A79" w:rsidRDefault="00020AE4" w:rsidP="00814DE4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Pigs</w:t>
            </w:r>
          </w:p>
        </w:tc>
        <w:tc>
          <w:tcPr>
            <w:tcW w:w="2239" w:type="dxa"/>
          </w:tcPr>
          <w:p w14:paraId="01BDD329" w14:textId="661BC160" w:rsidR="00020AE4" w:rsidRPr="00B263DB" w:rsidRDefault="007C6229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0151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3E688C25" w14:textId="19342D62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0192</w:t>
            </w:r>
          </w:p>
        </w:tc>
      </w:tr>
      <w:tr w:rsidR="00020AE4" w:rsidRPr="00B263DB" w14:paraId="1D8712F8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4C9B56D5" w14:textId="77777777" w:rsidR="00020AE4" w:rsidRPr="00655A79" w:rsidRDefault="00020AE4" w:rsidP="00814DE4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Dairy</w:t>
            </w:r>
          </w:p>
        </w:tc>
        <w:tc>
          <w:tcPr>
            <w:tcW w:w="2239" w:type="dxa"/>
          </w:tcPr>
          <w:p w14:paraId="4C5C7CF9" w14:textId="51D671C4" w:rsidR="00020AE4" w:rsidRPr="00B263DB" w:rsidRDefault="007C6229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0130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7E5EFFC5" w14:textId="061E1D73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0160</w:t>
            </w:r>
          </w:p>
        </w:tc>
      </w:tr>
      <w:tr w:rsidR="00020AE4" w:rsidRPr="00B263DB" w14:paraId="184AC472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61EF64DF" w14:textId="77777777" w:rsidR="00020AE4" w:rsidRPr="00655A79" w:rsidRDefault="00020AE4" w:rsidP="00814DE4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Poultry (meat and eggs)</w:t>
            </w:r>
          </w:p>
        </w:tc>
        <w:tc>
          <w:tcPr>
            <w:tcW w:w="2239" w:type="dxa"/>
          </w:tcPr>
          <w:p w14:paraId="0E69A304" w14:textId="2AD749A4" w:rsidR="00020AE4" w:rsidRPr="00B263DB" w:rsidRDefault="007C6229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0141, 0142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37FDA25E" w14:textId="0B4919A6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0171, 0172</w:t>
            </w:r>
          </w:p>
        </w:tc>
      </w:tr>
      <w:tr w:rsidR="00020AE4" w:rsidRPr="00B263DB" w14:paraId="20E8A68A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075F0A28" w14:textId="77777777" w:rsidR="00020AE4" w:rsidRPr="00655A79" w:rsidRDefault="00020AE4" w:rsidP="00814DE4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Other livestock (horses, deer, beekeeping, other livestock)</w:t>
            </w:r>
          </w:p>
        </w:tc>
        <w:tc>
          <w:tcPr>
            <w:tcW w:w="2239" w:type="dxa"/>
          </w:tcPr>
          <w:p w14:paraId="261ECA91" w14:textId="0DF98544" w:rsidR="00020AE4" w:rsidRPr="00B263DB" w:rsidRDefault="007C6229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0152, 0153, 0159</w:t>
            </w:r>
          </w:p>
        </w:tc>
        <w:tc>
          <w:tcPr>
            <w:tcW w:w="235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415519B" w14:textId="28FDA7E5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0180, 0191, 0193, 0199</w:t>
            </w:r>
          </w:p>
        </w:tc>
      </w:tr>
      <w:tr w:rsidR="00020AE4" w:rsidRPr="00B263DB" w14:paraId="47AFC686" w14:textId="77777777" w:rsidTr="00A8605A">
        <w:tc>
          <w:tcPr>
            <w:tcW w:w="4419" w:type="dxa"/>
            <w:shd w:val="clear" w:color="auto" w:fill="auto"/>
            <w:vAlign w:val="bottom"/>
            <w:hideMark/>
          </w:tcPr>
          <w:p w14:paraId="1849BFF2" w14:textId="77777777" w:rsidR="00020AE4" w:rsidRPr="00655A79" w:rsidRDefault="00020AE4" w:rsidP="00814DE4">
            <w:pPr>
              <w:spacing w:before="60" w:after="60"/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iCs/>
                <w:color w:val="000000"/>
                <w:sz w:val="24"/>
                <w:szCs w:val="24"/>
                <w:lang w:eastAsia="en-AU"/>
              </w:rPr>
              <w:t>Cropping industries</w:t>
            </w:r>
          </w:p>
        </w:tc>
        <w:tc>
          <w:tcPr>
            <w:tcW w:w="2239" w:type="dxa"/>
            <w:tcBorders>
              <w:right w:val="nil"/>
            </w:tcBorders>
          </w:tcPr>
          <w:p w14:paraId="367D8BD9" w14:textId="77777777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  <w:tc>
          <w:tcPr>
            <w:tcW w:w="2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60556926" w14:textId="7BF9BABB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sz w:val="24"/>
                <w:szCs w:val="24"/>
                <w:lang w:eastAsia="en-AU"/>
              </w:rPr>
            </w:pPr>
          </w:p>
        </w:tc>
      </w:tr>
      <w:tr w:rsidR="00020AE4" w:rsidRPr="00B263DB" w14:paraId="15A71209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3D5FD5DA" w14:textId="77777777" w:rsidR="00020AE4" w:rsidRPr="00655A79" w:rsidRDefault="00020AE4" w:rsidP="00814DE4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Grain growing and mixed grains-livestock</w:t>
            </w:r>
          </w:p>
        </w:tc>
        <w:tc>
          <w:tcPr>
            <w:tcW w:w="2239" w:type="dxa"/>
          </w:tcPr>
          <w:p w14:paraId="4735EFF6" w14:textId="6DBF4501" w:rsidR="00020AE4" w:rsidRPr="00B263DB" w:rsidRDefault="00C6285D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0121, 0122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209BD780" w14:textId="5FB894EB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0146, 0149, 0145</w:t>
            </w:r>
          </w:p>
        </w:tc>
      </w:tr>
      <w:tr w:rsidR="00020AE4" w:rsidRPr="00B263DB" w14:paraId="10E58577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456B9027" w14:textId="77777777" w:rsidR="00020AE4" w:rsidRPr="00655A79" w:rsidRDefault="00020AE4" w:rsidP="00814DE4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Cotton</w:t>
            </w:r>
          </w:p>
        </w:tc>
        <w:tc>
          <w:tcPr>
            <w:tcW w:w="2239" w:type="dxa"/>
          </w:tcPr>
          <w:p w14:paraId="7C223041" w14:textId="5DC72788" w:rsidR="00020AE4" w:rsidRPr="00B263DB" w:rsidRDefault="00C6285D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0162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4A85FA70" w14:textId="25BA6E32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0152</w:t>
            </w:r>
          </w:p>
        </w:tc>
      </w:tr>
      <w:tr w:rsidR="00020AE4" w:rsidRPr="00B263DB" w14:paraId="3655C810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503DD37D" w14:textId="77777777" w:rsidR="00020AE4" w:rsidRPr="00655A79" w:rsidRDefault="00020AE4" w:rsidP="00814DE4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Sugar cane</w:t>
            </w:r>
          </w:p>
        </w:tc>
        <w:tc>
          <w:tcPr>
            <w:tcW w:w="2239" w:type="dxa"/>
          </w:tcPr>
          <w:p w14:paraId="4530D0EA" w14:textId="3C446319" w:rsidR="00020AE4" w:rsidRPr="00B263DB" w:rsidRDefault="00C6285D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0161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6EE73128" w14:textId="494708FE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0151</w:t>
            </w:r>
          </w:p>
        </w:tc>
      </w:tr>
      <w:tr w:rsidR="00020AE4" w:rsidRPr="00B263DB" w14:paraId="63EA901E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13E8E375" w14:textId="77777777" w:rsidR="00020AE4" w:rsidRPr="00655A79" w:rsidRDefault="00020AE4" w:rsidP="00814DE4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Vegetables (incl. mushrooms)</w:t>
            </w:r>
          </w:p>
        </w:tc>
        <w:tc>
          <w:tcPr>
            <w:tcW w:w="2239" w:type="dxa"/>
          </w:tcPr>
          <w:p w14:paraId="61CEED57" w14:textId="269A95FE" w:rsidR="00020AE4" w:rsidRPr="00B263DB" w:rsidRDefault="00C6285D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0113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686ACA94" w14:textId="2969FB00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0122, 0123, 0121</w:t>
            </w:r>
          </w:p>
        </w:tc>
      </w:tr>
      <w:tr w:rsidR="00020AE4" w:rsidRPr="00B263DB" w14:paraId="5A3C6BD9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38A7AE82" w14:textId="77777777" w:rsidR="00020AE4" w:rsidRPr="00655A79" w:rsidRDefault="00020AE4" w:rsidP="00814DE4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Grape growing</w:t>
            </w:r>
          </w:p>
        </w:tc>
        <w:tc>
          <w:tcPr>
            <w:tcW w:w="2239" w:type="dxa"/>
          </w:tcPr>
          <w:p w14:paraId="74B446CD" w14:textId="1378F7EF" w:rsidR="00020AE4" w:rsidRPr="00B263DB" w:rsidRDefault="00C6285D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0114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13DE8260" w14:textId="20EE6563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0131</w:t>
            </w:r>
          </w:p>
        </w:tc>
      </w:tr>
      <w:tr w:rsidR="00020AE4" w:rsidRPr="00B263DB" w14:paraId="64B617C5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5B024EE7" w14:textId="77777777" w:rsidR="00020AE4" w:rsidRPr="00655A79" w:rsidRDefault="00020AE4" w:rsidP="00814DE4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Fruit and nuts</w:t>
            </w:r>
          </w:p>
        </w:tc>
        <w:tc>
          <w:tcPr>
            <w:tcW w:w="2239" w:type="dxa"/>
          </w:tcPr>
          <w:p w14:paraId="3D8CB5BA" w14:textId="124BCBA3" w:rsidR="00020AE4" w:rsidRPr="00B263DB" w:rsidRDefault="00C6285D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0115, 0116, 0117, 0119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0299E36A" w14:textId="02B03923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0132, 0133, 0134, 0135, 0136, 0137, 0139</w:t>
            </w:r>
          </w:p>
        </w:tc>
      </w:tr>
      <w:tr w:rsidR="00020AE4" w:rsidRPr="00B263DB" w14:paraId="69F3F204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38BADE99" w14:textId="77777777" w:rsidR="00020AE4" w:rsidRPr="00655A79" w:rsidRDefault="00020AE4" w:rsidP="00814DE4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Nursery and floriculture</w:t>
            </w:r>
          </w:p>
        </w:tc>
        <w:tc>
          <w:tcPr>
            <w:tcW w:w="2239" w:type="dxa"/>
          </w:tcPr>
          <w:p w14:paraId="5261B6B8" w14:textId="3232C5D2" w:rsidR="00020AE4" w:rsidRPr="00B263DB" w:rsidRDefault="00C6285D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0111, 0112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73FA71FD" w14:textId="09350732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0111, 0112, 0113, 0114, 0115</w:t>
            </w:r>
          </w:p>
        </w:tc>
      </w:tr>
      <w:tr w:rsidR="00020AE4" w:rsidRPr="00B263DB" w14:paraId="17E7D346" w14:textId="77777777" w:rsidTr="00A8605A">
        <w:tc>
          <w:tcPr>
            <w:tcW w:w="4419" w:type="dxa"/>
            <w:shd w:val="clear" w:color="auto" w:fill="auto"/>
            <w:vAlign w:val="center"/>
            <w:hideMark/>
          </w:tcPr>
          <w:p w14:paraId="4E986E13" w14:textId="77777777" w:rsidR="00020AE4" w:rsidRPr="00655A79" w:rsidRDefault="00020AE4" w:rsidP="00814DE4">
            <w:pPr>
              <w:spacing w:before="60" w:after="60"/>
              <w:ind w:left="596"/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</w:pPr>
            <w:r w:rsidRPr="00655A79"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  <w:lang w:eastAsia="en-AU"/>
              </w:rPr>
              <w:t>Other crop growing</w:t>
            </w:r>
          </w:p>
        </w:tc>
        <w:tc>
          <w:tcPr>
            <w:tcW w:w="2239" w:type="dxa"/>
          </w:tcPr>
          <w:p w14:paraId="6FE2D66F" w14:textId="00CFE743" w:rsidR="00020AE4" w:rsidRPr="00B263DB" w:rsidRDefault="00C6285D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0169</w:t>
            </w:r>
          </w:p>
        </w:tc>
        <w:tc>
          <w:tcPr>
            <w:tcW w:w="2358" w:type="dxa"/>
            <w:shd w:val="clear" w:color="auto" w:fill="auto"/>
            <w:vAlign w:val="center"/>
            <w:hideMark/>
          </w:tcPr>
          <w:p w14:paraId="48C3BAF3" w14:textId="74154AC8" w:rsidR="00020AE4" w:rsidRPr="00B263DB" w:rsidRDefault="00020AE4" w:rsidP="00814DE4">
            <w:pPr>
              <w:spacing w:before="60" w:after="60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</w:pPr>
            <w:r w:rsidRPr="00B263DB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en-AU"/>
              </w:rPr>
              <w:t>0159</w:t>
            </w:r>
          </w:p>
        </w:tc>
      </w:tr>
    </w:tbl>
    <w:p w14:paraId="33A0D37C" w14:textId="77777777" w:rsidR="008E657A" w:rsidRDefault="008E657A" w:rsidP="008E657A"/>
    <w:p w14:paraId="3BDE1895" w14:textId="77777777" w:rsidR="008E657A" w:rsidRPr="007F504C" w:rsidRDefault="008E657A" w:rsidP="008E657A">
      <w:pPr>
        <w:spacing w:before="240" w:after="240"/>
        <w:jc w:val="both"/>
        <w:rPr>
          <w:rFonts w:ascii="Arial" w:hAnsi="Arial" w:cs="Arial"/>
          <w:sz w:val="32"/>
          <w:szCs w:val="32"/>
        </w:rPr>
      </w:pPr>
    </w:p>
    <w:sectPr w:rsidR="008E657A" w:rsidRPr="007F504C" w:rsidSect="00213083">
      <w:headerReference w:type="default" r:id="rId20"/>
      <w:footerReference w:type="default" r:id="rId21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C250F" w14:textId="77777777" w:rsidR="005452B9" w:rsidRDefault="005452B9" w:rsidP="00054C93">
      <w:r>
        <w:separator/>
      </w:r>
    </w:p>
  </w:endnote>
  <w:endnote w:type="continuationSeparator" w:id="0">
    <w:p w14:paraId="7D6C63B2" w14:textId="77777777" w:rsidR="005452B9" w:rsidRDefault="005452B9" w:rsidP="00054C93">
      <w:r>
        <w:continuationSeparator/>
      </w:r>
    </w:p>
  </w:endnote>
  <w:endnote w:type="continuationNotice" w:id="1">
    <w:p w14:paraId="3A0259F1" w14:textId="77777777" w:rsidR="005452B9" w:rsidRDefault="005452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A77A6" w14:textId="591C6DC2" w:rsidR="005452B9" w:rsidRPr="00EE3BEC" w:rsidRDefault="005452B9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EE3BEC">
      <w:rPr>
        <w:rFonts w:ascii="Times New Roman" w:hAnsi="Times New Roman"/>
        <w:sz w:val="24"/>
        <w:szCs w:val="24"/>
        <w:lang w:val="en-AU"/>
      </w:rPr>
      <w:t>A</w:t>
    </w:r>
    <w:r w:rsidRPr="00EE3BEC">
      <w:rPr>
        <w:rFonts w:ascii="Times New Roman" w:hAnsi="Times New Roman"/>
        <w:sz w:val="24"/>
        <w:szCs w:val="24"/>
      </w:rPr>
      <w:t>R</w:t>
    </w:r>
    <w:r w:rsidRPr="00EE3BEC">
      <w:rPr>
        <w:rFonts w:ascii="Times New Roman" w:hAnsi="Times New Roman"/>
        <w:sz w:val="24"/>
        <w:szCs w:val="24"/>
        <w:lang w:val="en-AU"/>
      </w:rPr>
      <w:t>S</w:t>
    </w:r>
    <w:r w:rsidRPr="00EE3BEC">
      <w:rPr>
        <w:rFonts w:ascii="Times New Roman" w:hAnsi="Times New Roman"/>
        <w:sz w:val="24"/>
        <w:szCs w:val="24"/>
      </w:rPr>
      <w:t xml:space="preserve"> </w:t>
    </w:r>
    <w:r w:rsidRPr="00EE3BEC">
      <w:rPr>
        <w:rFonts w:ascii="Times New Roman" w:hAnsi="Times New Roman"/>
        <w:sz w:val="24"/>
        <w:szCs w:val="24"/>
        <w:lang w:val="en-AU"/>
      </w:rPr>
      <w:t>7</w:t>
    </w:r>
    <w:r>
      <w:rPr>
        <w:rFonts w:ascii="Times New Roman" w:hAnsi="Times New Roman"/>
        <w:sz w:val="24"/>
        <w:szCs w:val="24"/>
        <w:lang w:val="en-AU"/>
      </w:rPr>
      <w:t>5</w:t>
    </w:r>
    <w:r w:rsidRPr="00EE3BEC">
      <w:rPr>
        <w:rFonts w:ascii="Times New Roman" w:hAnsi="Times New Roman"/>
        <w:sz w:val="24"/>
        <w:szCs w:val="24"/>
        <w:lang w:val="en-AU"/>
      </w:rPr>
      <w:t>0</w:t>
    </w:r>
    <w:r w:rsidRPr="00EE3BEC">
      <w:rPr>
        <w:rFonts w:ascii="Times New Roman" w:hAnsi="Times New Roman"/>
        <w:sz w:val="24"/>
        <w:szCs w:val="24"/>
      </w:rPr>
      <w:t xml:space="preserve">.0 - </w:t>
    </w:r>
    <w:r w:rsidRPr="00EE3BEC">
      <w:rPr>
        <w:rFonts w:ascii="Times New Roman" w:hAnsi="Times New Roman"/>
        <w:sz w:val="24"/>
        <w:szCs w:val="24"/>
      </w:rPr>
      <w:fldChar w:fldCharType="begin"/>
    </w:r>
    <w:r w:rsidRPr="00EE3BEC">
      <w:rPr>
        <w:rFonts w:ascii="Times New Roman" w:hAnsi="Times New Roman"/>
        <w:sz w:val="24"/>
        <w:szCs w:val="24"/>
      </w:rPr>
      <w:instrText xml:space="preserve"> PAGE   \* MERGEFORMAT </w:instrText>
    </w:r>
    <w:r w:rsidRPr="00EE3BEC">
      <w:rPr>
        <w:rFonts w:ascii="Times New Roman" w:hAnsi="Times New Roman"/>
        <w:sz w:val="24"/>
        <w:szCs w:val="24"/>
      </w:rPr>
      <w:fldChar w:fldCharType="separate"/>
    </w:r>
    <w:r w:rsidR="00C173A9">
      <w:rPr>
        <w:rFonts w:ascii="Times New Roman" w:hAnsi="Times New Roman"/>
        <w:noProof/>
        <w:sz w:val="24"/>
        <w:szCs w:val="24"/>
      </w:rPr>
      <w:t>2</w:t>
    </w:r>
    <w:r w:rsidRPr="00EE3BEC">
      <w:rPr>
        <w:rFonts w:ascii="Times New Roman" w:hAnsi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7306C" w14:textId="77777777" w:rsidR="005452B9" w:rsidRDefault="005452B9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5F0952EF" w14:textId="36CC5D1A" w:rsidR="005452B9" w:rsidRPr="00045B98" w:rsidRDefault="005452B9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750.0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 w:rsidR="00C173A9">
      <w:rPr>
        <w:rFonts w:ascii="Times New Roman" w:hAnsi="Times New Roman"/>
        <w:noProof/>
        <w:sz w:val="24"/>
        <w:szCs w:val="24"/>
      </w:rPr>
      <w:t>3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0CB4E" w14:textId="5E04A05B" w:rsidR="005452B9" w:rsidRPr="00EE3BEC" w:rsidRDefault="005452B9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EE3BEC">
      <w:rPr>
        <w:rFonts w:ascii="Times New Roman" w:hAnsi="Times New Roman"/>
        <w:sz w:val="24"/>
        <w:szCs w:val="24"/>
        <w:lang w:val="en-AU"/>
      </w:rPr>
      <w:t>A</w:t>
    </w:r>
    <w:r w:rsidRPr="00EE3BEC">
      <w:rPr>
        <w:rFonts w:ascii="Times New Roman" w:hAnsi="Times New Roman"/>
        <w:sz w:val="24"/>
        <w:szCs w:val="24"/>
      </w:rPr>
      <w:t>R</w:t>
    </w:r>
    <w:r>
      <w:rPr>
        <w:rFonts w:ascii="Times New Roman" w:hAnsi="Times New Roman"/>
        <w:sz w:val="24"/>
        <w:szCs w:val="24"/>
        <w:lang w:val="en-AU"/>
      </w:rPr>
      <w:t>F</w:t>
    </w:r>
    <w:r w:rsidRPr="00EE3BEC">
      <w:rPr>
        <w:rFonts w:ascii="Times New Roman" w:hAnsi="Times New Roman"/>
        <w:sz w:val="24"/>
        <w:szCs w:val="24"/>
      </w:rPr>
      <w:t xml:space="preserve"> </w:t>
    </w:r>
    <w:r w:rsidRPr="00EE3BEC">
      <w:rPr>
        <w:rFonts w:ascii="Times New Roman" w:hAnsi="Times New Roman"/>
        <w:sz w:val="24"/>
        <w:szCs w:val="24"/>
        <w:lang w:val="en-AU"/>
      </w:rPr>
      <w:t>7</w:t>
    </w:r>
    <w:r>
      <w:rPr>
        <w:rFonts w:ascii="Times New Roman" w:hAnsi="Times New Roman"/>
        <w:sz w:val="24"/>
        <w:szCs w:val="24"/>
        <w:lang w:val="en-AU"/>
      </w:rPr>
      <w:t>5</w:t>
    </w:r>
    <w:r w:rsidRPr="00EE3BEC">
      <w:rPr>
        <w:rFonts w:ascii="Times New Roman" w:hAnsi="Times New Roman"/>
        <w:sz w:val="24"/>
        <w:szCs w:val="24"/>
        <w:lang w:val="en-AU"/>
      </w:rPr>
      <w:t>0</w:t>
    </w:r>
    <w:r w:rsidRPr="00EE3BEC">
      <w:rPr>
        <w:rFonts w:ascii="Times New Roman" w:hAnsi="Times New Roman"/>
        <w:sz w:val="24"/>
        <w:szCs w:val="24"/>
      </w:rPr>
      <w:t xml:space="preserve">.0 </w:t>
    </w:r>
    <w:r>
      <w:rPr>
        <w:rFonts w:ascii="Times New Roman" w:hAnsi="Times New Roman"/>
        <w:sz w:val="24"/>
        <w:szCs w:val="24"/>
        <w:lang w:val="en-AU"/>
      </w:rPr>
      <w:t xml:space="preserve">Instructions </w:t>
    </w:r>
    <w:r w:rsidRPr="00EE3BEC">
      <w:rPr>
        <w:rFonts w:ascii="Times New Roman" w:hAnsi="Times New Roman"/>
        <w:sz w:val="24"/>
        <w:szCs w:val="24"/>
      </w:rPr>
      <w:t xml:space="preserve">- </w:t>
    </w:r>
    <w:r w:rsidRPr="00EE3BEC">
      <w:rPr>
        <w:rFonts w:ascii="Times New Roman" w:hAnsi="Times New Roman"/>
        <w:sz w:val="24"/>
        <w:szCs w:val="24"/>
      </w:rPr>
      <w:fldChar w:fldCharType="begin"/>
    </w:r>
    <w:r w:rsidRPr="00EE3BEC">
      <w:rPr>
        <w:rFonts w:ascii="Times New Roman" w:hAnsi="Times New Roman"/>
        <w:sz w:val="24"/>
        <w:szCs w:val="24"/>
      </w:rPr>
      <w:instrText xml:space="preserve"> PAGE   \* MERGEFORMAT </w:instrText>
    </w:r>
    <w:r w:rsidRPr="00EE3BEC">
      <w:rPr>
        <w:rFonts w:ascii="Times New Roman" w:hAnsi="Times New Roman"/>
        <w:sz w:val="24"/>
        <w:szCs w:val="24"/>
      </w:rPr>
      <w:fldChar w:fldCharType="separate"/>
    </w:r>
    <w:r w:rsidR="00C173A9">
      <w:rPr>
        <w:rFonts w:ascii="Times New Roman" w:hAnsi="Times New Roman"/>
        <w:noProof/>
        <w:sz w:val="24"/>
        <w:szCs w:val="24"/>
      </w:rPr>
      <w:t>6</w:t>
    </w:r>
    <w:r w:rsidRPr="00EE3BE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15757E" w14:textId="77777777" w:rsidR="005452B9" w:rsidRDefault="005452B9" w:rsidP="00054C93">
      <w:r>
        <w:separator/>
      </w:r>
    </w:p>
  </w:footnote>
  <w:footnote w:type="continuationSeparator" w:id="0">
    <w:p w14:paraId="7C6BCC7B" w14:textId="77777777" w:rsidR="005452B9" w:rsidRDefault="005452B9" w:rsidP="00054C93">
      <w:r>
        <w:continuationSeparator/>
      </w:r>
    </w:p>
  </w:footnote>
  <w:footnote w:type="continuationNotice" w:id="1">
    <w:p w14:paraId="17EB3249" w14:textId="77777777" w:rsidR="005452B9" w:rsidRDefault="005452B9"/>
  </w:footnote>
  <w:footnote w:id="2">
    <w:p w14:paraId="391266E3" w14:textId="3FD60E41" w:rsidR="005452B9" w:rsidRPr="0013255A" w:rsidRDefault="005452B9" w:rsidP="00623BF8">
      <w:pPr>
        <w:pStyle w:val="FootnoteText"/>
        <w:ind w:left="567" w:hanging="567"/>
        <w:jc w:val="both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623BF8">
        <w:rPr>
          <w:rFonts w:ascii="Times New Roman" w:hAnsi="Times New Roman"/>
          <w:lang w:val="en-US"/>
        </w:rPr>
        <w:t>For the purposes of this test, assets are to be valued in accordance with their current market value.</w:t>
      </w:r>
    </w:p>
  </w:footnote>
  <w:footnote w:id="3">
    <w:p w14:paraId="417C6062" w14:textId="63E4269D" w:rsidR="005452B9" w:rsidRPr="005F1AC6" w:rsidRDefault="005452B9" w:rsidP="00623BF8">
      <w:pPr>
        <w:pStyle w:val="FootnoteText"/>
        <w:ind w:left="567" w:hanging="567"/>
        <w:jc w:val="both"/>
        <w:rPr>
          <w:lang w:val="en-AU"/>
        </w:rPr>
      </w:pPr>
      <w:r w:rsidRPr="008D2A17">
        <w:rPr>
          <w:rStyle w:val="FootnoteReference"/>
          <w:rFonts w:ascii="Times New Roman" w:hAnsi="Times New Roman"/>
        </w:rPr>
        <w:footnoteRef/>
      </w:r>
      <w:r w:rsidRPr="008D2A1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AU"/>
        </w:rPr>
        <w:t>To avoid</w:t>
      </w:r>
      <w:r w:rsidRPr="00D65D94">
        <w:rPr>
          <w:rFonts w:ascii="Times New Roman" w:hAnsi="Times New Roman"/>
        </w:rPr>
        <w:t xml:space="preserve"> doubt, if </w:t>
      </w:r>
      <w:r w:rsidRPr="008E0812">
        <w:rPr>
          <w:rFonts w:ascii="Times New Roman" w:hAnsi="Times New Roman"/>
        </w:rPr>
        <w:t xml:space="preserve">the </w:t>
      </w:r>
      <w:r w:rsidRPr="008E2855">
        <w:rPr>
          <w:rFonts w:ascii="Times New Roman" w:hAnsi="Times New Roman"/>
        </w:rPr>
        <w:t>due date</w:t>
      </w:r>
      <w:r w:rsidRPr="005F1AC6">
        <w:rPr>
          <w:rFonts w:ascii="Times New Roman" w:hAnsi="Times New Roman"/>
        </w:rPr>
        <w:t xml:space="preserve"> for a particular </w:t>
      </w:r>
      <w:r w:rsidRPr="008E2855">
        <w:rPr>
          <w:rFonts w:ascii="Times New Roman" w:hAnsi="Times New Roman"/>
        </w:rPr>
        <w:t>reporting period</w:t>
      </w:r>
      <w:r w:rsidRPr="005F1AC6">
        <w:rPr>
          <w:rFonts w:ascii="Times New Roman" w:hAnsi="Times New Roman"/>
        </w:rPr>
        <w:t xml:space="preserve"> falls on a day other than a usual business day, an </w:t>
      </w:r>
      <w:r w:rsidRPr="008E2855">
        <w:rPr>
          <w:rFonts w:ascii="Times New Roman" w:hAnsi="Times New Roman"/>
        </w:rPr>
        <w:t>ADI</w:t>
      </w:r>
      <w:r w:rsidRPr="005F1AC6">
        <w:rPr>
          <w:rFonts w:ascii="Times New Roman" w:hAnsi="Times New Roman"/>
        </w:rPr>
        <w:t xml:space="preserve"> </w:t>
      </w:r>
      <w:r w:rsidRPr="005F1AC6">
        <w:rPr>
          <w:rFonts w:ascii="Times New Roman" w:hAnsi="Times New Roman"/>
          <w:lang w:val="en-AU"/>
        </w:rPr>
        <w:t xml:space="preserve">or </w:t>
      </w:r>
      <w:r w:rsidRPr="008E2855">
        <w:rPr>
          <w:rFonts w:ascii="Times New Roman" w:hAnsi="Times New Roman"/>
          <w:lang w:val="en-AU"/>
        </w:rPr>
        <w:t>RFC</w:t>
      </w:r>
      <w:r w:rsidRPr="005F1AC6">
        <w:rPr>
          <w:rFonts w:ascii="Times New Roman" w:hAnsi="Times New Roman"/>
          <w:lang w:val="en-AU"/>
        </w:rPr>
        <w:t xml:space="preserve"> </w:t>
      </w:r>
      <w:r w:rsidRPr="005F1AC6">
        <w:rPr>
          <w:rFonts w:ascii="Times New Roman" w:hAnsi="Times New Roman"/>
        </w:rPr>
        <w:t xml:space="preserve">is nonetheless required to submit the information required no later than the </w:t>
      </w:r>
      <w:r w:rsidRPr="008E2855">
        <w:rPr>
          <w:rFonts w:ascii="Times New Roman" w:hAnsi="Times New Roman"/>
        </w:rPr>
        <w:t>due date</w:t>
      </w:r>
      <w:r w:rsidRPr="005F1AC6">
        <w:rPr>
          <w:rFonts w:ascii="Times New Roman" w:hAnsi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500B5" w14:textId="4E0729B7" w:rsidR="005452B9" w:rsidRPr="007F4E77" w:rsidRDefault="005452B9" w:rsidP="008D2A17">
    <w:pPr>
      <w:pStyle w:val="Header"/>
      <w:jc w:val="center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 w:rsidR="00935E22">
      <w:rPr>
        <w:rFonts w:ascii="Times New Roman" w:hAnsi="Times New Roman"/>
        <w:sz w:val="24"/>
        <w:szCs w:val="24"/>
        <w:lang w:val="en-AU"/>
      </w:rPr>
      <w:t xml:space="preserve">September </w:t>
    </w:r>
    <w:r>
      <w:rPr>
        <w:rFonts w:ascii="Times New Roman" w:hAnsi="Times New Roman"/>
        <w:sz w:val="24"/>
        <w:szCs w:val="24"/>
        <w:lang w:val="en-AU"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A4AD6" w14:textId="7CB793CE" w:rsidR="005452B9" w:rsidRPr="007F4E77" w:rsidRDefault="005452B9" w:rsidP="00213083">
    <w:pPr>
      <w:pStyle w:val="Header"/>
      <w:tabs>
        <w:tab w:val="clear" w:pos="4513"/>
        <w:tab w:val="clear" w:pos="9026"/>
        <w:tab w:val="center" w:pos="6946"/>
        <w:tab w:val="right" w:pos="13892"/>
      </w:tabs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  <w:lang w:val="en-AU"/>
      </w:rPr>
      <w:t>August</w:t>
    </w:r>
    <w:r>
      <w:rPr>
        <w:rFonts w:ascii="Times New Roman" w:hAnsi="Times New Roman"/>
        <w:sz w:val="24"/>
        <w:szCs w:val="24"/>
        <w:lang w:val="en-AU"/>
      </w:rPr>
      <w:t xml:space="preserve">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A0372C" w14:textId="1E237AFC" w:rsidR="005452B9" w:rsidRPr="007F4E77" w:rsidRDefault="005452B9" w:rsidP="00C8047C">
    <w:pPr>
      <w:pStyle w:val="Head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August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286A"/>
    <w:multiLevelType w:val="hybridMultilevel"/>
    <w:tmpl w:val="2396B82C"/>
    <w:lvl w:ilvl="0" w:tplc="49D4D384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121277"/>
    <w:multiLevelType w:val="hybridMultilevel"/>
    <w:tmpl w:val="E312EFCE"/>
    <w:lvl w:ilvl="0" w:tplc="0846AB9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1B20"/>
    <w:multiLevelType w:val="hybridMultilevel"/>
    <w:tmpl w:val="E10E7DD8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0550F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B3646"/>
    <w:multiLevelType w:val="hybridMultilevel"/>
    <w:tmpl w:val="AC2C89BA"/>
    <w:lvl w:ilvl="0" w:tplc="52A291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91551"/>
    <w:multiLevelType w:val="multilevel"/>
    <w:tmpl w:val="6F7C625E"/>
    <w:lvl w:ilvl="0">
      <w:start w:val="1"/>
      <w:numFmt w:val="decimal"/>
      <w:lvlText w:val="Item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Item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2BF16FA"/>
    <w:multiLevelType w:val="hybridMultilevel"/>
    <w:tmpl w:val="3D462AD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8073334"/>
    <w:multiLevelType w:val="hybridMultilevel"/>
    <w:tmpl w:val="0BB6B2C2"/>
    <w:lvl w:ilvl="0" w:tplc="19623CE4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4FC6CD72">
      <w:start w:val="1"/>
      <w:numFmt w:val="lowerLetter"/>
      <w:lvlText w:val="(%2)"/>
      <w:lvlJc w:val="left"/>
      <w:pPr>
        <w:tabs>
          <w:tab w:val="num" w:pos="1135"/>
        </w:tabs>
        <w:ind w:left="1135" w:hanging="567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202C81"/>
    <w:multiLevelType w:val="hybridMultilevel"/>
    <w:tmpl w:val="180CD9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C776E"/>
    <w:multiLevelType w:val="hybridMultilevel"/>
    <w:tmpl w:val="14E4F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11" w15:restartNumberingAfterBreak="0">
    <w:nsid w:val="5FDB15A2"/>
    <w:multiLevelType w:val="hybridMultilevel"/>
    <w:tmpl w:val="014C1898"/>
    <w:lvl w:ilvl="0" w:tplc="7F64B2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A2F3D"/>
    <w:multiLevelType w:val="multilevel"/>
    <w:tmpl w:val="47B43326"/>
    <w:numStyleLink w:val="D2Aformnumbering"/>
  </w:abstractNum>
  <w:abstractNum w:abstractNumId="13" w15:restartNumberingAfterBreak="0">
    <w:nsid w:val="707212C8"/>
    <w:multiLevelType w:val="hybridMultilevel"/>
    <w:tmpl w:val="8C60D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1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Arial" w:hAnsi="Arial" w:cs="Arial" w:hint="default"/>
          <w:b/>
          <w:i w:val="0"/>
          <w:sz w:val="22"/>
          <w:szCs w:val="22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284" w:firstLine="0"/>
        </w:pPr>
        <w:rPr>
          <w:rFonts w:ascii="Arial" w:hAnsi="Arial"/>
          <w:b w:val="0"/>
          <w:i w:val="0"/>
          <w:sz w:val="22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567" w:firstLine="0"/>
        </w:pPr>
        <w:rPr>
          <w:rFonts w:ascii="Arial" w:hAnsi="Arial" w:hint="default"/>
          <w:sz w:val="22"/>
        </w:rPr>
      </w:lvl>
    </w:lvlOverride>
    <w:lvlOverride w:ilvl="3">
      <w:lvl w:ilvl="3">
        <w:start w:val="1"/>
        <w:numFmt w:val="decimal"/>
        <w:suff w:val="space"/>
        <w:lvlText w:val="%1.%2.%3.%4."/>
        <w:lvlJc w:val="left"/>
        <w:pPr>
          <w:ind w:left="851" w:firstLine="0"/>
        </w:pPr>
        <w:rPr>
          <w:rFonts w:ascii="Arial" w:hAnsi="Arial" w:hint="default"/>
          <w:sz w:val="22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134" w:firstLine="0"/>
        </w:pPr>
        <w:rPr>
          <w:rFonts w:ascii="Arial" w:hAnsi="Arial" w:hint="default"/>
          <w:sz w:val="22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418" w:firstLine="0"/>
        </w:pPr>
        <w:rPr>
          <w:rFonts w:ascii="Arial" w:hAnsi="Arial" w:hint="default"/>
          <w:sz w:val="22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701" w:firstLine="0"/>
        </w:pPr>
        <w:rPr>
          <w:rFonts w:ascii="Arial" w:hAnsi="Arial" w:hint="default"/>
          <w:sz w:val="22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985" w:firstLine="0"/>
        </w:pPr>
        <w:rPr>
          <w:rFonts w:ascii="Arial" w:hAnsi="Arial" w:hint="default"/>
          <w:sz w:val="22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268" w:firstLine="0"/>
        </w:pPr>
        <w:rPr>
          <w:rFonts w:ascii="Arial" w:hAnsi="Arial" w:hint="default"/>
          <w:sz w:val="22"/>
        </w:rPr>
      </w:lvl>
    </w:lvlOverride>
  </w:num>
  <w:num w:numId="6">
    <w:abstractNumId w:val="9"/>
  </w:num>
  <w:num w:numId="7">
    <w:abstractNumId w:val="13"/>
  </w:num>
  <w:num w:numId="8">
    <w:abstractNumId w:val="4"/>
  </w:num>
  <w:num w:numId="9">
    <w:abstractNumId w:val="1"/>
  </w:num>
  <w:num w:numId="10">
    <w:abstractNumId w:val="6"/>
  </w:num>
  <w:num w:numId="11">
    <w:abstractNumId w:val="8"/>
  </w:num>
  <w:num w:numId="12">
    <w:abstractNumId w:val="11"/>
  </w:num>
  <w:num w:numId="13">
    <w:abstractNumId w:val="0"/>
  </w:num>
  <w:num w:numId="1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79201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93"/>
    <w:rsid w:val="00000537"/>
    <w:rsid w:val="00002653"/>
    <w:rsid w:val="00003E3C"/>
    <w:rsid w:val="0000507B"/>
    <w:rsid w:val="00006FFE"/>
    <w:rsid w:val="00007500"/>
    <w:rsid w:val="0000780E"/>
    <w:rsid w:val="00007B37"/>
    <w:rsid w:val="00010EDD"/>
    <w:rsid w:val="000121ED"/>
    <w:rsid w:val="000124FE"/>
    <w:rsid w:val="00014AD9"/>
    <w:rsid w:val="000154E9"/>
    <w:rsid w:val="00015BFF"/>
    <w:rsid w:val="00016C54"/>
    <w:rsid w:val="00017335"/>
    <w:rsid w:val="00020AE4"/>
    <w:rsid w:val="00021253"/>
    <w:rsid w:val="00021C90"/>
    <w:rsid w:val="00021CC2"/>
    <w:rsid w:val="00024272"/>
    <w:rsid w:val="000243E2"/>
    <w:rsid w:val="00024E65"/>
    <w:rsid w:val="00024EB4"/>
    <w:rsid w:val="000257F9"/>
    <w:rsid w:val="00030790"/>
    <w:rsid w:val="0003147A"/>
    <w:rsid w:val="000323F7"/>
    <w:rsid w:val="00033032"/>
    <w:rsid w:val="000330C1"/>
    <w:rsid w:val="00033A92"/>
    <w:rsid w:val="000349DA"/>
    <w:rsid w:val="00034ED5"/>
    <w:rsid w:val="00035085"/>
    <w:rsid w:val="000350EA"/>
    <w:rsid w:val="000356FB"/>
    <w:rsid w:val="0003605C"/>
    <w:rsid w:val="00036852"/>
    <w:rsid w:val="00036913"/>
    <w:rsid w:val="00037F43"/>
    <w:rsid w:val="00040147"/>
    <w:rsid w:val="0004122A"/>
    <w:rsid w:val="00041673"/>
    <w:rsid w:val="00043807"/>
    <w:rsid w:val="00044075"/>
    <w:rsid w:val="000443E6"/>
    <w:rsid w:val="00044762"/>
    <w:rsid w:val="00044CEF"/>
    <w:rsid w:val="00044E89"/>
    <w:rsid w:val="00045B98"/>
    <w:rsid w:val="00047D9E"/>
    <w:rsid w:val="00047EFC"/>
    <w:rsid w:val="000513A2"/>
    <w:rsid w:val="00051DD6"/>
    <w:rsid w:val="00051F2C"/>
    <w:rsid w:val="000547DD"/>
    <w:rsid w:val="00054C93"/>
    <w:rsid w:val="0005546E"/>
    <w:rsid w:val="00056845"/>
    <w:rsid w:val="00060318"/>
    <w:rsid w:val="000610A4"/>
    <w:rsid w:val="00063A67"/>
    <w:rsid w:val="000659AD"/>
    <w:rsid w:val="00065EEB"/>
    <w:rsid w:val="00066DCD"/>
    <w:rsid w:val="00070A53"/>
    <w:rsid w:val="000718BF"/>
    <w:rsid w:val="00072E14"/>
    <w:rsid w:val="00073A0F"/>
    <w:rsid w:val="00074447"/>
    <w:rsid w:val="00075A37"/>
    <w:rsid w:val="00077B48"/>
    <w:rsid w:val="00081BDA"/>
    <w:rsid w:val="000820AA"/>
    <w:rsid w:val="000833D9"/>
    <w:rsid w:val="00085E19"/>
    <w:rsid w:val="00086D15"/>
    <w:rsid w:val="00092B46"/>
    <w:rsid w:val="00095178"/>
    <w:rsid w:val="000952DD"/>
    <w:rsid w:val="00096565"/>
    <w:rsid w:val="000A09B6"/>
    <w:rsid w:val="000A0C92"/>
    <w:rsid w:val="000A1138"/>
    <w:rsid w:val="000A1A56"/>
    <w:rsid w:val="000A2490"/>
    <w:rsid w:val="000A398D"/>
    <w:rsid w:val="000A3CD6"/>
    <w:rsid w:val="000A4897"/>
    <w:rsid w:val="000A55FE"/>
    <w:rsid w:val="000A667E"/>
    <w:rsid w:val="000A775C"/>
    <w:rsid w:val="000A79A5"/>
    <w:rsid w:val="000B19F2"/>
    <w:rsid w:val="000B5D2A"/>
    <w:rsid w:val="000B5FAD"/>
    <w:rsid w:val="000B748E"/>
    <w:rsid w:val="000C0116"/>
    <w:rsid w:val="000C1B27"/>
    <w:rsid w:val="000C20B4"/>
    <w:rsid w:val="000C2175"/>
    <w:rsid w:val="000C35FD"/>
    <w:rsid w:val="000C51DB"/>
    <w:rsid w:val="000C59B9"/>
    <w:rsid w:val="000C75AD"/>
    <w:rsid w:val="000D18FB"/>
    <w:rsid w:val="000D2012"/>
    <w:rsid w:val="000D29E4"/>
    <w:rsid w:val="000D2A2D"/>
    <w:rsid w:val="000D3069"/>
    <w:rsid w:val="000D5083"/>
    <w:rsid w:val="000D52A0"/>
    <w:rsid w:val="000D6E81"/>
    <w:rsid w:val="000D7747"/>
    <w:rsid w:val="000E03C9"/>
    <w:rsid w:val="000E0DC2"/>
    <w:rsid w:val="000E19FA"/>
    <w:rsid w:val="000E21F0"/>
    <w:rsid w:val="000E3388"/>
    <w:rsid w:val="000E3511"/>
    <w:rsid w:val="000E3C37"/>
    <w:rsid w:val="000E573E"/>
    <w:rsid w:val="000E5CE0"/>
    <w:rsid w:val="000F13C2"/>
    <w:rsid w:val="000F2EAB"/>
    <w:rsid w:val="000F45E3"/>
    <w:rsid w:val="000F7039"/>
    <w:rsid w:val="000F7D64"/>
    <w:rsid w:val="001001A8"/>
    <w:rsid w:val="001007A6"/>
    <w:rsid w:val="001007BE"/>
    <w:rsid w:val="00101049"/>
    <w:rsid w:val="001019F1"/>
    <w:rsid w:val="00101B96"/>
    <w:rsid w:val="00101C0F"/>
    <w:rsid w:val="0010232B"/>
    <w:rsid w:val="00102E6E"/>
    <w:rsid w:val="00105941"/>
    <w:rsid w:val="00106E8B"/>
    <w:rsid w:val="00107543"/>
    <w:rsid w:val="00112A37"/>
    <w:rsid w:val="00112C5B"/>
    <w:rsid w:val="00114211"/>
    <w:rsid w:val="001148EE"/>
    <w:rsid w:val="00114AB5"/>
    <w:rsid w:val="00116D5F"/>
    <w:rsid w:val="00116ECA"/>
    <w:rsid w:val="00117AF8"/>
    <w:rsid w:val="00120316"/>
    <w:rsid w:val="0012377B"/>
    <w:rsid w:val="001246A0"/>
    <w:rsid w:val="00124D02"/>
    <w:rsid w:val="001257D5"/>
    <w:rsid w:val="00125A53"/>
    <w:rsid w:val="00126745"/>
    <w:rsid w:val="001269CB"/>
    <w:rsid w:val="00126C09"/>
    <w:rsid w:val="00126CA5"/>
    <w:rsid w:val="00126CBF"/>
    <w:rsid w:val="0013255A"/>
    <w:rsid w:val="001358EF"/>
    <w:rsid w:val="00135C27"/>
    <w:rsid w:val="0014025F"/>
    <w:rsid w:val="00141B29"/>
    <w:rsid w:val="00143292"/>
    <w:rsid w:val="00143F88"/>
    <w:rsid w:val="00146C91"/>
    <w:rsid w:val="00146D8A"/>
    <w:rsid w:val="001472AA"/>
    <w:rsid w:val="001505D1"/>
    <w:rsid w:val="00151135"/>
    <w:rsid w:val="00151BC8"/>
    <w:rsid w:val="0015213C"/>
    <w:rsid w:val="00154101"/>
    <w:rsid w:val="0015460C"/>
    <w:rsid w:val="00156DB2"/>
    <w:rsid w:val="00160348"/>
    <w:rsid w:val="0016126A"/>
    <w:rsid w:val="0016139B"/>
    <w:rsid w:val="00161627"/>
    <w:rsid w:val="00161FD6"/>
    <w:rsid w:val="0016230C"/>
    <w:rsid w:val="00162340"/>
    <w:rsid w:val="001625B7"/>
    <w:rsid w:val="00163ADC"/>
    <w:rsid w:val="001642F2"/>
    <w:rsid w:val="0016495E"/>
    <w:rsid w:val="00165F3F"/>
    <w:rsid w:val="00167C44"/>
    <w:rsid w:val="00171251"/>
    <w:rsid w:val="0017338E"/>
    <w:rsid w:val="0017387C"/>
    <w:rsid w:val="0017515A"/>
    <w:rsid w:val="001762D4"/>
    <w:rsid w:val="00176679"/>
    <w:rsid w:val="00177390"/>
    <w:rsid w:val="00180305"/>
    <w:rsid w:val="00180CDD"/>
    <w:rsid w:val="0018176A"/>
    <w:rsid w:val="00181921"/>
    <w:rsid w:val="00182693"/>
    <w:rsid w:val="00182FA1"/>
    <w:rsid w:val="00185A75"/>
    <w:rsid w:val="0018670F"/>
    <w:rsid w:val="00187213"/>
    <w:rsid w:val="001874AB"/>
    <w:rsid w:val="0019029E"/>
    <w:rsid w:val="001908B1"/>
    <w:rsid w:val="001911D8"/>
    <w:rsid w:val="00192AD3"/>
    <w:rsid w:val="00192BB7"/>
    <w:rsid w:val="001937F0"/>
    <w:rsid w:val="00194FDB"/>
    <w:rsid w:val="00196F50"/>
    <w:rsid w:val="00197569"/>
    <w:rsid w:val="0019763B"/>
    <w:rsid w:val="00197A90"/>
    <w:rsid w:val="00197EB6"/>
    <w:rsid w:val="001A0AE6"/>
    <w:rsid w:val="001A0F59"/>
    <w:rsid w:val="001A391D"/>
    <w:rsid w:val="001A79DB"/>
    <w:rsid w:val="001B00C4"/>
    <w:rsid w:val="001B263B"/>
    <w:rsid w:val="001B281C"/>
    <w:rsid w:val="001B316F"/>
    <w:rsid w:val="001B4A53"/>
    <w:rsid w:val="001B55D0"/>
    <w:rsid w:val="001B5CAB"/>
    <w:rsid w:val="001B6B6A"/>
    <w:rsid w:val="001B6E29"/>
    <w:rsid w:val="001B74F9"/>
    <w:rsid w:val="001C0334"/>
    <w:rsid w:val="001C0718"/>
    <w:rsid w:val="001C1F5E"/>
    <w:rsid w:val="001C5B7E"/>
    <w:rsid w:val="001C69A3"/>
    <w:rsid w:val="001C7904"/>
    <w:rsid w:val="001D0A16"/>
    <w:rsid w:val="001D466F"/>
    <w:rsid w:val="001D547F"/>
    <w:rsid w:val="001D56B7"/>
    <w:rsid w:val="001D6B38"/>
    <w:rsid w:val="001D7694"/>
    <w:rsid w:val="001D7C6E"/>
    <w:rsid w:val="001E0029"/>
    <w:rsid w:val="001E19FD"/>
    <w:rsid w:val="001E1DAA"/>
    <w:rsid w:val="001E22C8"/>
    <w:rsid w:val="001E24C0"/>
    <w:rsid w:val="001E465D"/>
    <w:rsid w:val="001E4D09"/>
    <w:rsid w:val="001E57F5"/>
    <w:rsid w:val="001E5FF6"/>
    <w:rsid w:val="001E7474"/>
    <w:rsid w:val="001F0D8F"/>
    <w:rsid w:val="001F5300"/>
    <w:rsid w:val="001F78BC"/>
    <w:rsid w:val="001F79FC"/>
    <w:rsid w:val="0020044E"/>
    <w:rsid w:val="00200678"/>
    <w:rsid w:val="00201562"/>
    <w:rsid w:val="00202BB7"/>
    <w:rsid w:val="0020461D"/>
    <w:rsid w:val="00205B33"/>
    <w:rsid w:val="00206F69"/>
    <w:rsid w:val="00207980"/>
    <w:rsid w:val="00210261"/>
    <w:rsid w:val="00210D1D"/>
    <w:rsid w:val="00213083"/>
    <w:rsid w:val="00213E78"/>
    <w:rsid w:val="00214829"/>
    <w:rsid w:val="002148BB"/>
    <w:rsid w:val="00215ABB"/>
    <w:rsid w:val="002200A2"/>
    <w:rsid w:val="00220662"/>
    <w:rsid w:val="002224F4"/>
    <w:rsid w:val="00223117"/>
    <w:rsid w:val="00227B3C"/>
    <w:rsid w:val="00227EBE"/>
    <w:rsid w:val="00231A6F"/>
    <w:rsid w:val="00232A15"/>
    <w:rsid w:val="00232B5D"/>
    <w:rsid w:val="0023334E"/>
    <w:rsid w:val="0023346B"/>
    <w:rsid w:val="00235014"/>
    <w:rsid w:val="002352E9"/>
    <w:rsid w:val="002359B9"/>
    <w:rsid w:val="002363D2"/>
    <w:rsid w:val="00236993"/>
    <w:rsid w:val="00240690"/>
    <w:rsid w:val="002409E5"/>
    <w:rsid w:val="00243585"/>
    <w:rsid w:val="00244B8D"/>
    <w:rsid w:val="002458FB"/>
    <w:rsid w:val="00245B0F"/>
    <w:rsid w:val="00246E11"/>
    <w:rsid w:val="00247378"/>
    <w:rsid w:val="002479C9"/>
    <w:rsid w:val="00255B54"/>
    <w:rsid w:val="002577E5"/>
    <w:rsid w:val="00263DD9"/>
    <w:rsid w:val="00264175"/>
    <w:rsid w:val="00265E38"/>
    <w:rsid w:val="00267EF8"/>
    <w:rsid w:val="0027000E"/>
    <w:rsid w:val="002716C1"/>
    <w:rsid w:val="0027222C"/>
    <w:rsid w:val="002731A2"/>
    <w:rsid w:val="00274333"/>
    <w:rsid w:val="002746A6"/>
    <w:rsid w:val="00275D09"/>
    <w:rsid w:val="00276568"/>
    <w:rsid w:val="0027672D"/>
    <w:rsid w:val="00276D2F"/>
    <w:rsid w:val="00276DDD"/>
    <w:rsid w:val="00277F90"/>
    <w:rsid w:val="00280105"/>
    <w:rsid w:val="00280896"/>
    <w:rsid w:val="00280EC4"/>
    <w:rsid w:val="00282BF4"/>
    <w:rsid w:val="002837CA"/>
    <w:rsid w:val="002840E9"/>
    <w:rsid w:val="00286946"/>
    <w:rsid w:val="00286CB6"/>
    <w:rsid w:val="00287F8B"/>
    <w:rsid w:val="00290A85"/>
    <w:rsid w:val="0029123D"/>
    <w:rsid w:val="002912F4"/>
    <w:rsid w:val="00291BDD"/>
    <w:rsid w:val="00292E7F"/>
    <w:rsid w:val="00292F3F"/>
    <w:rsid w:val="0029339F"/>
    <w:rsid w:val="00294A27"/>
    <w:rsid w:val="00297AD2"/>
    <w:rsid w:val="002A0B6A"/>
    <w:rsid w:val="002A0D16"/>
    <w:rsid w:val="002A0F9F"/>
    <w:rsid w:val="002A11E0"/>
    <w:rsid w:val="002A5E8E"/>
    <w:rsid w:val="002B2507"/>
    <w:rsid w:val="002B32DE"/>
    <w:rsid w:val="002B466A"/>
    <w:rsid w:val="002B5014"/>
    <w:rsid w:val="002B5051"/>
    <w:rsid w:val="002B599D"/>
    <w:rsid w:val="002B780E"/>
    <w:rsid w:val="002C1B0B"/>
    <w:rsid w:val="002C1E1F"/>
    <w:rsid w:val="002C2B28"/>
    <w:rsid w:val="002C2C2B"/>
    <w:rsid w:val="002C5188"/>
    <w:rsid w:val="002C6D4E"/>
    <w:rsid w:val="002C772B"/>
    <w:rsid w:val="002D16D4"/>
    <w:rsid w:val="002D16DA"/>
    <w:rsid w:val="002D18B2"/>
    <w:rsid w:val="002D27E5"/>
    <w:rsid w:val="002D3264"/>
    <w:rsid w:val="002D76B8"/>
    <w:rsid w:val="002D7750"/>
    <w:rsid w:val="002D7DF2"/>
    <w:rsid w:val="002E0908"/>
    <w:rsid w:val="002E17B9"/>
    <w:rsid w:val="002E23D7"/>
    <w:rsid w:val="002E23F8"/>
    <w:rsid w:val="002E2571"/>
    <w:rsid w:val="002E554B"/>
    <w:rsid w:val="002E601E"/>
    <w:rsid w:val="002E63EB"/>
    <w:rsid w:val="002E6781"/>
    <w:rsid w:val="002E733B"/>
    <w:rsid w:val="002F006A"/>
    <w:rsid w:val="002F0880"/>
    <w:rsid w:val="002F1D8F"/>
    <w:rsid w:val="002F2945"/>
    <w:rsid w:val="002F392F"/>
    <w:rsid w:val="002F3F7B"/>
    <w:rsid w:val="002F402C"/>
    <w:rsid w:val="002F4FF4"/>
    <w:rsid w:val="002F5766"/>
    <w:rsid w:val="002F5AEC"/>
    <w:rsid w:val="002F5DD3"/>
    <w:rsid w:val="002F756C"/>
    <w:rsid w:val="002F7DA8"/>
    <w:rsid w:val="0030160F"/>
    <w:rsid w:val="00303190"/>
    <w:rsid w:val="00303287"/>
    <w:rsid w:val="00303631"/>
    <w:rsid w:val="003048A0"/>
    <w:rsid w:val="00306A9F"/>
    <w:rsid w:val="00311796"/>
    <w:rsid w:val="00312900"/>
    <w:rsid w:val="0031324C"/>
    <w:rsid w:val="0031406E"/>
    <w:rsid w:val="003144D6"/>
    <w:rsid w:val="003149FB"/>
    <w:rsid w:val="003161B8"/>
    <w:rsid w:val="00316591"/>
    <w:rsid w:val="003171BB"/>
    <w:rsid w:val="00317844"/>
    <w:rsid w:val="00324FE1"/>
    <w:rsid w:val="003252AF"/>
    <w:rsid w:val="00325669"/>
    <w:rsid w:val="00327273"/>
    <w:rsid w:val="00327B41"/>
    <w:rsid w:val="0033015C"/>
    <w:rsid w:val="003307FF"/>
    <w:rsid w:val="003335D3"/>
    <w:rsid w:val="00333B9A"/>
    <w:rsid w:val="00337E17"/>
    <w:rsid w:val="00340E15"/>
    <w:rsid w:val="003423AE"/>
    <w:rsid w:val="00344003"/>
    <w:rsid w:val="003440AC"/>
    <w:rsid w:val="00345CFF"/>
    <w:rsid w:val="00345DA8"/>
    <w:rsid w:val="003461AA"/>
    <w:rsid w:val="0034660D"/>
    <w:rsid w:val="00347158"/>
    <w:rsid w:val="00347F7B"/>
    <w:rsid w:val="003527E3"/>
    <w:rsid w:val="00353862"/>
    <w:rsid w:val="00354B9F"/>
    <w:rsid w:val="0036009C"/>
    <w:rsid w:val="00361D7E"/>
    <w:rsid w:val="00365C44"/>
    <w:rsid w:val="003666CC"/>
    <w:rsid w:val="00370192"/>
    <w:rsid w:val="0037044E"/>
    <w:rsid w:val="00371844"/>
    <w:rsid w:val="00372BD7"/>
    <w:rsid w:val="00372CAD"/>
    <w:rsid w:val="00372E02"/>
    <w:rsid w:val="00373879"/>
    <w:rsid w:val="003757CC"/>
    <w:rsid w:val="00375F11"/>
    <w:rsid w:val="00375FDC"/>
    <w:rsid w:val="00377033"/>
    <w:rsid w:val="00380CA0"/>
    <w:rsid w:val="0038205C"/>
    <w:rsid w:val="003823A5"/>
    <w:rsid w:val="0038381F"/>
    <w:rsid w:val="00384897"/>
    <w:rsid w:val="00384C2A"/>
    <w:rsid w:val="00385149"/>
    <w:rsid w:val="0038760D"/>
    <w:rsid w:val="00390AD3"/>
    <w:rsid w:val="003934FC"/>
    <w:rsid w:val="003943CB"/>
    <w:rsid w:val="00394E57"/>
    <w:rsid w:val="00394FC7"/>
    <w:rsid w:val="00395940"/>
    <w:rsid w:val="00396507"/>
    <w:rsid w:val="003970C0"/>
    <w:rsid w:val="0039727E"/>
    <w:rsid w:val="003979E4"/>
    <w:rsid w:val="003A05D9"/>
    <w:rsid w:val="003A0EE3"/>
    <w:rsid w:val="003A224D"/>
    <w:rsid w:val="003A2952"/>
    <w:rsid w:val="003A2B1B"/>
    <w:rsid w:val="003A3EC5"/>
    <w:rsid w:val="003A3F9E"/>
    <w:rsid w:val="003A3FE3"/>
    <w:rsid w:val="003A78E1"/>
    <w:rsid w:val="003B1182"/>
    <w:rsid w:val="003B14BD"/>
    <w:rsid w:val="003B1D4B"/>
    <w:rsid w:val="003B2209"/>
    <w:rsid w:val="003B2696"/>
    <w:rsid w:val="003B4F52"/>
    <w:rsid w:val="003B582B"/>
    <w:rsid w:val="003B5BE2"/>
    <w:rsid w:val="003B6692"/>
    <w:rsid w:val="003C0CF4"/>
    <w:rsid w:val="003C0DFB"/>
    <w:rsid w:val="003C123A"/>
    <w:rsid w:val="003C1F0C"/>
    <w:rsid w:val="003C2267"/>
    <w:rsid w:val="003C2C94"/>
    <w:rsid w:val="003C31AA"/>
    <w:rsid w:val="003C3DD1"/>
    <w:rsid w:val="003C4396"/>
    <w:rsid w:val="003C5C9D"/>
    <w:rsid w:val="003D020A"/>
    <w:rsid w:val="003D04F3"/>
    <w:rsid w:val="003D07CA"/>
    <w:rsid w:val="003D0AE7"/>
    <w:rsid w:val="003D2EFF"/>
    <w:rsid w:val="003D3C1D"/>
    <w:rsid w:val="003D5032"/>
    <w:rsid w:val="003D675B"/>
    <w:rsid w:val="003D74C9"/>
    <w:rsid w:val="003E0CF0"/>
    <w:rsid w:val="003E3E5E"/>
    <w:rsid w:val="003E5158"/>
    <w:rsid w:val="003E7E3D"/>
    <w:rsid w:val="003F2287"/>
    <w:rsid w:val="003F24FF"/>
    <w:rsid w:val="003F361F"/>
    <w:rsid w:val="003F38D8"/>
    <w:rsid w:val="003F3F71"/>
    <w:rsid w:val="003F51A1"/>
    <w:rsid w:val="003F6405"/>
    <w:rsid w:val="003F6939"/>
    <w:rsid w:val="003F6C99"/>
    <w:rsid w:val="003F7A2F"/>
    <w:rsid w:val="00401EFB"/>
    <w:rsid w:val="0040404C"/>
    <w:rsid w:val="00405EBB"/>
    <w:rsid w:val="00406828"/>
    <w:rsid w:val="004072D6"/>
    <w:rsid w:val="00410DE5"/>
    <w:rsid w:val="00412221"/>
    <w:rsid w:val="00414401"/>
    <w:rsid w:val="00415077"/>
    <w:rsid w:val="004159D3"/>
    <w:rsid w:val="00420CCD"/>
    <w:rsid w:val="004215D9"/>
    <w:rsid w:val="00422CA7"/>
    <w:rsid w:val="00425E8F"/>
    <w:rsid w:val="00426E7E"/>
    <w:rsid w:val="00427587"/>
    <w:rsid w:val="004303C1"/>
    <w:rsid w:val="00430819"/>
    <w:rsid w:val="0043082A"/>
    <w:rsid w:val="00430CF3"/>
    <w:rsid w:val="00431B48"/>
    <w:rsid w:val="00432B87"/>
    <w:rsid w:val="00432C73"/>
    <w:rsid w:val="00433159"/>
    <w:rsid w:val="004332BE"/>
    <w:rsid w:val="004333BF"/>
    <w:rsid w:val="004337D5"/>
    <w:rsid w:val="00434569"/>
    <w:rsid w:val="004375EA"/>
    <w:rsid w:val="004407D8"/>
    <w:rsid w:val="00440A9F"/>
    <w:rsid w:val="00441DF5"/>
    <w:rsid w:val="004429B4"/>
    <w:rsid w:val="00443BD2"/>
    <w:rsid w:val="0044401C"/>
    <w:rsid w:val="00444548"/>
    <w:rsid w:val="00444EAC"/>
    <w:rsid w:val="00445E84"/>
    <w:rsid w:val="0044620D"/>
    <w:rsid w:val="00450A8F"/>
    <w:rsid w:val="00451EEB"/>
    <w:rsid w:val="00452636"/>
    <w:rsid w:val="00452867"/>
    <w:rsid w:val="004529F0"/>
    <w:rsid w:val="004539C9"/>
    <w:rsid w:val="00454C68"/>
    <w:rsid w:val="004552DE"/>
    <w:rsid w:val="004558FF"/>
    <w:rsid w:val="004560F8"/>
    <w:rsid w:val="004568B2"/>
    <w:rsid w:val="00456AF1"/>
    <w:rsid w:val="00460170"/>
    <w:rsid w:val="00460DF8"/>
    <w:rsid w:val="00461F0A"/>
    <w:rsid w:val="004620CD"/>
    <w:rsid w:val="00462924"/>
    <w:rsid w:val="00464742"/>
    <w:rsid w:val="00465D0E"/>
    <w:rsid w:val="00465FC1"/>
    <w:rsid w:val="00467A1C"/>
    <w:rsid w:val="00467E9A"/>
    <w:rsid w:val="00472288"/>
    <w:rsid w:val="00474010"/>
    <w:rsid w:val="00474953"/>
    <w:rsid w:val="00475DC4"/>
    <w:rsid w:val="0048225C"/>
    <w:rsid w:val="00482D12"/>
    <w:rsid w:val="00483181"/>
    <w:rsid w:val="004839A3"/>
    <w:rsid w:val="004842D0"/>
    <w:rsid w:val="00484F87"/>
    <w:rsid w:val="004875B9"/>
    <w:rsid w:val="004877A9"/>
    <w:rsid w:val="004901C7"/>
    <w:rsid w:val="004912D6"/>
    <w:rsid w:val="00491C60"/>
    <w:rsid w:val="00492173"/>
    <w:rsid w:val="00492EC2"/>
    <w:rsid w:val="00496353"/>
    <w:rsid w:val="00497062"/>
    <w:rsid w:val="004A01D4"/>
    <w:rsid w:val="004A0881"/>
    <w:rsid w:val="004A08BB"/>
    <w:rsid w:val="004A08D6"/>
    <w:rsid w:val="004A11F5"/>
    <w:rsid w:val="004A1685"/>
    <w:rsid w:val="004A4234"/>
    <w:rsid w:val="004A5C61"/>
    <w:rsid w:val="004A652E"/>
    <w:rsid w:val="004A6EB7"/>
    <w:rsid w:val="004A77F3"/>
    <w:rsid w:val="004B4DB0"/>
    <w:rsid w:val="004B5230"/>
    <w:rsid w:val="004B5C57"/>
    <w:rsid w:val="004B5DD5"/>
    <w:rsid w:val="004B7613"/>
    <w:rsid w:val="004C04CF"/>
    <w:rsid w:val="004C0FD4"/>
    <w:rsid w:val="004C1508"/>
    <w:rsid w:val="004C2A9F"/>
    <w:rsid w:val="004C37B1"/>
    <w:rsid w:val="004C3D07"/>
    <w:rsid w:val="004C432D"/>
    <w:rsid w:val="004C5510"/>
    <w:rsid w:val="004C5BA4"/>
    <w:rsid w:val="004C5E43"/>
    <w:rsid w:val="004C71C9"/>
    <w:rsid w:val="004C7302"/>
    <w:rsid w:val="004C798C"/>
    <w:rsid w:val="004D06DF"/>
    <w:rsid w:val="004D1C2D"/>
    <w:rsid w:val="004D351F"/>
    <w:rsid w:val="004D51E4"/>
    <w:rsid w:val="004D57AA"/>
    <w:rsid w:val="004D6042"/>
    <w:rsid w:val="004E0AE3"/>
    <w:rsid w:val="004E295B"/>
    <w:rsid w:val="004E366C"/>
    <w:rsid w:val="004E39D8"/>
    <w:rsid w:val="004E4209"/>
    <w:rsid w:val="004E5A2A"/>
    <w:rsid w:val="004E5DC9"/>
    <w:rsid w:val="004E633C"/>
    <w:rsid w:val="004E74BD"/>
    <w:rsid w:val="004F0465"/>
    <w:rsid w:val="004F232B"/>
    <w:rsid w:val="004F299A"/>
    <w:rsid w:val="004F2F3B"/>
    <w:rsid w:val="004F315C"/>
    <w:rsid w:val="004F39F3"/>
    <w:rsid w:val="004F4F80"/>
    <w:rsid w:val="004F50EE"/>
    <w:rsid w:val="004F5BE3"/>
    <w:rsid w:val="004F5EE8"/>
    <w:rsid w:val="004F6B20"/>
    <w:rsid w:val="004F70F1"/>
    <w:rsid w:val="004F725F"/>
    <w:rsid w:val="004F7786"/>
    <w:rsid w:val="0050171A"/>
    <w:rsid w:val="00501AC7"/>
    <w:rsid w:val="005020F7"/>
    <w:rsid w:val="00502614"/>
    <w:rsid w:val="00503021"/>
    <w:rsid w:val="0050401B"/>
    <w:rsid w:val="005042AD"/>
    <w:rsid w:val="005042E6"/>
    <w:rsid w:val="00504E75"/>
    <w:rsid w:val="005050D1"/>
    <w:rsid w:val="0050671E"/>
    <w:rsid w:val="00507B1D"/>
    <w:rsid w:val="00507B83"/>
    <w:rsid w:val="00507EC4"/>
    <w:rsid w:val="00510974"/>
    <w:rsid w:val="00511264"/>
    <w:rsid w:val="00511644"/>
    <w:rsid w:val="00512D9F"/>
    <w:rsid w:val="00512E25"/>
    <w:rsid w:val="00513D8B"/>
    <w:rsid w:val="00515CE2"/>
    <w:rsid w:val="00520FFA"/>
    <w:rsid w:val="00521AA9"/>
    <w:rsid w:val="005227E5"/>
    <w:rsid w:val="00522B3C"/>
    <w:rsid w:val="00524B40"/>
    <w:rsid w:val="00525ED9"/>
    <w:rsid w:val="00530FF5"/>
    <w:rsid w:val="00532796"/>
    <w:rsid w:val="00532D73"/>
    <w:rsid w:val="00533494"/>
    <w:rsid w:val="00533F4C"/>
    <w:rsid w:val="00534521"/>
    <w:rsid w:val="00534975"/>
    <w:rsid w:val="00534B96"/>
    <w:rsid w:val="00535E5A"/>
    <w:rsid w:val="005361DC"/>
    <w:rsid w:val="005368A8"/>
    <w:rsid w:val="00537034"/>
    <w:rsid w:val="005403F0"/>
    <w:rsid w:val="00540542"/>
    <w:rsid w:val="00541E50"/>
    <w:rsid w:val="005452B9"/>
    <w:rsid w:val="00547447"/>
    <w:rsid w:val="00550E07"/>
    <w:rsid w:val="00551DFD"/>
    <w:rsid w:val="00551ED9"/>
    <w:rsid w:val="00552E2F"/>
    <w:rsid w:val="005542D4"/>
    <w:rsid w:val="00554631"/>
    <w:rsid w:val="00554C83"/>
    <w:rsid w:val="005557C3"/>
    <w:rsid w:val="00555CC4"/>
    <w:rsid w:val="00556052"/>
    <w:rsid w:val="0055625F"/>
    <w:rsid w:val="005578C1"/>
    <w:rsid w:val="00561145"/>
    <w:rsid w:val="00562EA0"/>
    <w:rsid w:val="00564238"/>
    <w:rsid w:val="0056464E"/>
    <w:rsid w:val="00564B57"/>
    <w:rsid w:val="005663CB"/>
    <w:rsid w:val="00570295"/>
    <w:rsid w:val="0057142C"/>
    <w:rsid w:val="0057373B"/>
    <w:rsid w:val="00573EA5"/>
    <w:rsid w:val="005753C8"/>
    <w:rsid w:val="00576370"/>
    <w:rsid w:val="00576EA2"/>
    <w:rsid w:val="005774A0"/>
    <w:rsid w:val="005809B3"/>
    <w:rsid w:val="00580AAF"/>
    <w:rsid w:val="00581567"/>
    <w:rsid w:val="0058367F"/>
    <w:rsid w:val="00583871"/>
    <w:rsid w:val="00584C17"/>
    <w:rsid w:val="00585A5D"/>
    <w:rsid w:val="00586F34"/>
    <w:rsid w:val="00590058"/>
    <w:rsid w:val="00590594"/>
    <w:rsid w:val="005907BB"/>
    <w:rsid w:val="00591172"/>
    <w:rsid w:val="0059162C"/>
    <w:rsid w:val="005921A0"/>
    <w:rsid w:val="005924DA"/>
    <w:rsid w:val="00593B85"/>
    <w:rsid w:val="00596FAF"/>
    <w:rsid w:val="005A0D55"/>
    <w:rsid w:val="005A10B1"/>
    <w:rsid w:val="005A1651"/>
    <w:rsid w:val="005A2253"/>
    <w:rsid w:val="005A3A16"/>
    <w:rsid w:val="005A61B2"/>
    <w:rsid w:val="005A6AA4"/>
    <w:rsid w:val="005A77DD"/>
    <w:rsid w:val="005B17E6"/>
    <w:rsid w:val="005B1F67"/>
    <w:rsid w:val="005B211D"/>
    <w:rsid w:val="005B292E"/>
    <w:rsid w:val="005B31D7"/>
    <w:rsid w:val="005B4211"/>
    <w:rsid w:val="005B4D27"/>
    <w:rsid w:val="005B7F76"/>
    <w:rsid w:val="005C051F"/>
    <w:rsid w:val="005C065E"/>
    <w:rsid w:val="005C249D"/>
    <w:rsid w:val="005C3B02"/>
    <w:rsid w:val="005C6229"/>
    <w:rsid w:val="005C656D"/>
    <w:rsid w:val="005D0699"/>
    <w:rsid w:val="005D230C"/>
    <w:rsid w:val="005D446B"/>
    <w:rsid w:val="005D63D0"/>
    <w:rsid w:val="005D71E3"/>
    <w:rsid w:val="005D7B9D"/>
    <w:rsid w:val="005E09A1"/>
    <w:rsid w:val="005E3121"/>
    <w:rsid w:val="005E3CBE"/>
    <w:rsid w:val="005E5910"/>
    <w:rsid w:val="005E6644"/>
    <w:rsid w:val="005E737A"/>
    <w:rsid w:val="005E791E"/>
    <w:rsid w:val="005F06C5"/>
    <w:rsid w:val="005F1156"/>
    <w:rsid w:val="005F1AC6"/>
    <w:rsid w:val="005F1BE5"/>
    <w:rsid w:val="005F1F8B"/>
    <w:rsid w:val="005F2170"/>
    <w:rsid w:val="005F3D13"/>
    <w:rsid w:val="005F5E2F"/>
    <w:rsid w:val="005F7104"/>
    <w:rsid w:val="005F7589"/>
    <w:rsid w:val="005F75A0"/>
    <w:rsid w:val="005F7FCF"/>
    <w:rsid w:val="006002B4"/>
    <w:rsid w:val="00600484"/>
    <w:rsid w:val="006006F1"/>
    <w:rsid w:val="0060218B"/>
    <w:rsid w:val="00605260"/>
    <w:rsid w:val="006056EC"/>
    <w:rsid w:val="00610291"/>
    <w:rsid w:val="006114CF"/>
    <w:rsid w:val="00611DF1"/>
    <w:rsid w:val="00612471"/>
    <w:rsid w:val="006127E9"/>
    <w:rsid w:val="006142DD"/>
    <w:rsid w:val="00614464"/>
    <w:rsid w:val="00615950"/>
    <w:rsid w:val="00615ED6"/>
    <w:rsid w:val="006170EF"/>
    <w:rsid w:val="006176EC"/>
    <w:rsid w:val="00620880"/>
    <w:rsid w:val="006216D2"/>
    <w:rsid w:val="00622480"/>
    <w:rsid w:val="006231D8"/>
    <w:rsid w:val="00623BF8"/>
    <w:rsid w:val="00624BC3"/>
    <w:rsid w:val="00624C4C"/>
    <w:rsid w:val="00625CE6"/>
    <w:rsid w:val="00627134"/>
    <w:rsid w:val="006328EC"/>
    <w:rsid w:val="00633316"/>
    <w:rsid w:val="006353C8"/>
    <w:rsid w:val="00637AF0"/>
    <w:rsid w:val="00640820"/>
    <w:rsid w:val="006415F2"/>
    <w:rsid w:val="00642991"/>
    <w:rsid w:val="00644EE3"/>
    <w:rsid w:val="0064538C"/>
    <w:rsid w:val="006466FB"/>
    <w:rsid w:val="00647986"/>
    <w:rsid w:val="00647D58"/>
    <w:rsid w:val="00650CE6"/>
    <w:rsid w:val="00651BED"/>
    <w:rsid w:val="006538D6"/>
    <w:rsid w:val="00653C51"/>
    <w:rsid w:val="00654103"/>
    <w:rsid w:val="006545DC"/>
    <w:rsid w:val="00654E02"/>
    <w:rsid w:val="00655A79"/>
    <w:rsid w:val="006562C7"/>
    <w:rsid w:val="006565CC"/>
    <w:rsid w:val="00660105"/>
    <w:rsid w:val="006604AC"/>
    <w:rsid w:val="006609BC"/>
    <w:rsid w:val="00660C9E"/>
    <w:rsid w:val="00661621"/>
    <w:rsid w:val="00662A5E"/>
    <w:rsid w:val="00662CE8"/>
    <w:rsid w:val="00662EE5"/>
    <w:rsid w:val="006633FC"/>
    <w:rsid w:val="006676A2"/>
    <w:rsid w:val="00670C0F"/>
    <w:rsid w:val="0067124C"/>
    <w:rsid w:val="00671591"/>
    <w:rsid w:val="006722A6"/>
    <w:rsid w:val="00673091"/>
    <w:rsid w:val="006742B1"/>
    <w:rsid w:val="00674FE2"/>
    <w:rsid w:val="00675D0B"/>
    <w:rsid w:val="0067679C"/>
    <w:rsid w:val="00676862"/>
    <w:rsid w:val="0067736B"/>
    <w:rsid w:val="00677E63"/>
    <w:rsid w:val="006804FB"/>
    <w:rsid w:val="006806F8"/>
    <w:rsid w:val="00684879"/>
    <w:rsid w:val="00684F73"/>
    <w:rsid w:val="0068548A"/>
    <w:rsid w:val="00686187"/>
    <w:rsid w:val="00690DA1"/>
    <w:rsid w:val="00690FAC"/>
    <w:rsid w:val="00691151"/>
    <w:rsid w:val="00691792"/>
    <w:rsid w:val="00692AF9"/>
    <w:rsid w:val="00692F30"/>
    <w:rsid w:val="00693170"/>
    <w:rsid w:val="006934C5"/>
    <w:rsid w:val="006934E1"/>
    <w:rsid w:val="00693A4D"/>
    <w:rsid w:val="00694F3D"/>
    <w:rsid w:val="00695943"/>
    <w:rsid w:val="006961BF"/>
    <w:rsid w:val="0069636C"/>
    <w:rsid w:val="00697267"/>
    <w:rsid w:val="006972C5"/>
    <w:rsid w:val="006A1DA2"/>
    <w:rsid w:val="006A236A"/>
    <w:rsid w:val="006A395B"/>
    <w:rsid w:val="006A4DB1"/>
    <w:rsid w:val="006A521B"/>
    <w:rsid w:val="006A5A31"/>
    <w:rsid w:val="006A5BCD"/>
    <w:rsid w:val="006B0431"/>
    <w:rsid w:val="006B0D74"/>
    <w:rsid w:val="006B13E0"/>
    <w:rsid w:val="006B1F2E"/>
    <w:rsid w:val="006B3E9E"/>
    <w:rsid w:val="006B54D7"/>
    <w:rsid w:val="006B77EC"/>
    <w:rsid w:val="006C0363"/>
    <w:rsid w:val="006C0BC3"/>
    <w:rsid w:val="006C30AF"/>
    <w:rsid w:val="006C457C"/>
    <w:rsid w:val="006C5EDA"/>
    <w:rsid w:val="006D0B4E"/>
    <w:rsid w:val="006D0BC9"/>
    <w:rsid w:val="006D0D7B"/>
    <w:rsid w:val="006D1E74"/>
    <w:rsid w:val="006D2554"/>
    <w:rsid w:val="006D6C21"/>
    <w:rsid w:val="006E08A7"/>
    <w:rsid w:val="006E110E"/>
    <w:rsid w:val="006E2274"/>
    <w:rsid w:val="006E2F99"/>
    <w:rsid w:val="006E40A0"/>
    <w:rsid w:val="006E6DD9"/>
    <w:rsid w:val="006F07C2"/>
    <w:rsid w:val="006F12B8"/>
    <w:rsid w:val="006F5D15"/>
    <w:rsid w:val="006F63FE"/>
    <w:rsid w:val="006F6E67"/>
    <w:rsid w:val="00701BB4"/>
    <w:rsid w:val="00701D0C"/>
    <w:rsid w:val="007027AC"/>
    <w:rsid w:val="007031F4"/>
    <w:rsid w:val="007059DB"/>
    <w:rsid w:val="00705BC5"/>
    <w:rsid w:val="00706153"/>
    <w:rsid w:val="00707ACD"/>
    <w:rsid w:val="007114EA"/>
    <w:rsid w:val="00712F7E"/>
    <w:rsid w:val="0071379C"/>
    <w:rsid w:val="00713B1B"/>
    <w:rsid w:val="00713EA8"/>
    <w:rsid w:val="00714707"/>
    <w:rsid w:val="00715C1F"/>
    <w:rsid w:val="00716884"/>
    <w:rsid w:val="00722370"/>
    <w:rsid w:val="00723B77"/>
    <w:rsid w:val="00725561"/>
    <w:rsid w:val="00726BB7"/>
    <w:rsid w:val="00730521"/>
    <w:rsid w:val="00731866"/>
    <w:rsid w:val="00733292"/>
    <w:rsid w:val="0073388B"/>
    <w:rsid w:val="00733E23"/>
    <w:rsid w:val="007345D4"/>
    <w:rsid w:val="00735A08"/>
    <w:rsid w:val="00736B57"/>
    <w:rsid w:val="00736E9F"/>
    <w:rsid w:val="007379AF"/>
    <w:rsid w:val="00737C5C"/>
    <w:rsid w:val="00737EF9"/>
    <w:rsid w:val="00741521"/>
    <w:rsid w:val="00741FF2"/>
    <w:rsid w:val="007426E4"/>
    <w:rsid w:val="00742C1F"/>
    <w:rsid w:val="00744A86"/>
    <w:rsid w:val="00745B4B"/>
    <w:rsid w:val="00750E44"/>
    <w:rsid w:val="0075132F"/>
    <w:rsid w:val="00752989"/>
    <w:rsid w:val="00753276"/>
    <w:rsid w:val="007535BE"/>
    <w:rsid w:val="007540B3"/>
    <w:rsid w:val="00754B45"/>
    <w:rsid w:val="00760B0E"/>
    <w:rsid w:val="00761BE1"/>
    <w:rsid w:val="007628EA"/>
    <w:rsid w:val="00766866"/>
    <w:rsid w:val="00766DBD"/>
    <w:rsid w:val="00766F2D"/>
    <w:rsid w:val="00767E82"/>
    <w:rsid w:val="007700AD"/>
    <w:rsid w:val="00773584"/>
    <w:rsid w:val="00773856"/>
    <w:rsid w:val="0077683C"/>
    <w:rsid w:val="00780779"/>
    <w:rsid w:val="00781021"/>
    <w:rsid w:val="0078122B"/>
    <w:rsid w:val="00781334"/>
    <w:rsid w:val="007818CB"/>
    <w:rsid w:val="007819A8"/>
    <w:rsid w:val="00782DCF"/>
    <w:rsid w:val="007831BF"/>
    <w:rsid w:val="00784A2E"/>
    <w:rsid w:val="00784E5F"/>
    <w:rsid w:val="007854F4"/>
    <w:rsid w:val="0078591D"/>
    <w:rsid w:val="00785963"/>
    <w:rsid w:val="007860FA"/>
    <w:rsid w:val="00786D43"/>
    <w:rsid w:val="00791C49"/>
    <w:rsid w:val="007925B7"/>
    <w:rsid w:val="00794124"/>
    <w:rsid w:val="00794AA6"/>
    <w:rsid w:val="00796F39"/>
    <w:rsid w:val="007A00AC"/>
    <w:rsid w:val="007A0C86"/>
    <w:rsid w:val="007A1512"/>
    <w:rsid w:val="007A3138"/>
    <w:rsid w:val="007A7260"/>
    <w:rsid w:val="007A74CB"/>
    <w:rsid w:val="007A7F90"/>
    <w:rsid w:val="007B0245"/>
    <w:rsid w:val="007B2ACC"/>
    <w:rsid w:val="007B2B93"/>
    <w:rsid w:val="007B2FAC"/>
    <w:rsid w:val="007B4396"/>
    <w:rsid w:val="007B56FC"/>
    <w:rsid w:val="007B63C8"/>
    <w:rsid w:val="007B6CC4"/>
    <w:rsid w:val="007B7188"/>
    <w:rsid w:val="007C07D7"/>
    <w:rsid w:val="007C22C9"/>
    <w:rsid w:val="007C515B"/>
    <w:rsid w:val="007C60CA"/>
    <w:rsid w:val="007C6229"/>
    <w:rsid w:val="007C7221"/>
    <w:rsid w:val="007D0119"/>
    <w:rsid w:val="007D050B"/>
    <w:rsid w:val="007D1F76"/>
    <w:rsid w:val="007D25F9"/>
    <w:rsid w:val="007D3260"/>
    <w:rsid w:val="007D3641"/>
    <w:rsid w:val="007D58E6"/>
    <w:rsid w:val="007D6DBD"/>
    <w:rsid w:val="007D6DDE"/>
    <w:rsid w:val="007E0042"/>
    <w:rsid w:val="007E1B7A"/>
    <w:rsid w:val="007E30AF"/>
    <w:rsid w:val="007E35C2"/>
    <w:rsid w:val="007E464D"/>
    <w:rsid w:val="007E587B"/>
    <w:rsid w:val="007E73AA"/>
    <w:rsid w:val="007F0270"/>
    <w:rsid w:val="007F27F4"/>
    <w:rsid w:val="007F37BC"/>
    <w:rsid w:val="007F4E77"/>
    <w:rsid w:val="007F504C"/>
    <w:rsid w:val="007F67DC"/>
    <w:rsid w:val="00800A04"/>
    <w:rsid w:val="00800E93"/>
    <w:rsid w:val="008024D9"/>
    <w:rsid w:val="00802B01"/>
    <w:rsid w:val="008040B6"/>
    <w:rsid w:val="00804407"/>
    <w:rsid w:val="00804952"/>
    <w:rsid w:val="00804C6D"/>
    <w:rsid w:val="00805365"/>
    <w:rsid w:val="00805452"/>
    <w:rsid w:val="008056BD"/>
    <w:rsid w:val="00805F15"/>
    <w:rsid w:val="008072AA"/>
    <w:rsid w:val="008078D4"/>
    <w:rsid w:val="00807FB7"/>
    <w:rsid w:val="0081007C"/>
    <w:rsid w:val="0081079A"/>
    <w:rsid w:val="00811815"/>
    <w:rsid w:val="008128CC"/>
    <w:rsid w:val="00814DE4"/>
    <w:rsid w:val="008154D9"/>
    <w:rsid w:val="0081769C"/>
    <w:rsid w:val="008179D8"/>
    <w:rsid w:val="00817C32"/>
    <w:rsid w:val="00820FB4"/>
    <w:rsid w:val="00821F19"/>
    <w:rsid w:val="008234C1"/>
    <w:rsid w:val="00823A64"/>
    <w:rsid w:val="00824B7B"/>
    <w:rsid w:val="00824F96"/>
    <w:rsid w:val="008255B1"/>
    <w:rsid w:val="00825A1C"/>
    <w:rsid w:val="0082655B"/>
    <w:rsid w:val="00827642"/>
    <w:rsid w:val="00827675"/>
    <w:rsid w:val="00830DA1"/>
    <w:rsid w:val="008313B6"/>
    <w:rsid w:val="00831BF4"/>
    <w:rsid w:val="00831CF8"/>
    <w:rsid w:val="00835934"/>
    <w:rsid w:val="00835ADF"/>
    <w:rsid w:val="0083667F"/>
    <w:rsid w:val="00840714"/>
    <w:rsid w:val="00843EB3"/>
    <w:rsid w:val="0084446C"/>
    <w:rsid w:val="008445A9"/>
    <w:rsid w:val="0084580E"/>
    <w:rsid w:val="00845CB0"/>
    <w:rsid w:val="008464BD"/>
    <w:rsid w:val="0085199C"/>
    <w:rsid w:val="00854314"/>
    <w:rsid w:val="00856D61"/>
    <w:rsid w:val="00857795"/>
    <w:rsid w:val="008606C8"/>
    <w:rsid w:val="00860C9E"/>
    <w:rsid w:val="008614DA"/>
    <w:rsid w:val="00861993"/>
    <w:rsid w:val="00862298"/>
    <w:rsid w:val="008626A1"/>
    <w:rsid w:val="00863853"/>
    <w:rsid w:val="00863D16"/>
    <w:rsid w:val="0086460D"/>
    <w:rsid w:val="00864F50"/>
    <w:rsid w:val="008718AB"/>
    <w:rsid w:val="00874C80"/>
    <w:rsid w:val="00874FE5"/>
    <w:rsid w:val="008755E5"/>
    <w:rsid w:val="0087560B"/>
    <w:rsid w:val="00875AD7"/>
    <w:rsid w:val="00875ECD"/>
    <w:rsid w:val="00876D93"/>
    <w:rsid w:val="00877F67"/>
    <w:rsid w:val="0088018D"/>
    <w:rsid w:val="00881B6E"/>
    <w:rsid w:val="008820C9"/>
    <w:rsid w:val="008825E4"/>
    <w:rsid w:val="00883315"/>
    <w:rsid w:val="008834BF"/>
    <w:rsid w:val="00884690"/>
    <w:rsid w:val="008849E2"/>
    <w:rsid w:val="00885171"/>
    <w:rsid w:val="008851AE"/>
    <w:rsid w:val="00886198"/>
    <w:rsid w:val="00886480"/>
    <w:rsid w:val="00890ADF"/>
    <w:rsid w:val="00890B51"/>
    <w:rsid w:val="00890C0E"/>
    <w:rsid w:val="008928B9"/>
    <w:rsid w:val="00893495"/>
    <w:rsid w:val="00895D75"/>
    <w:rsid w:val="0089634B"/>
    <w:rsid w:val="008968E8"/>
    <w:rsid w:val="00896A0A"/>
    <w:rsid w:val="0089735C"/>
    <w:rsid w:val="008A1DD0"/>
    <w:rsid w:val="008A267A"/>
    <w:rsid w:val="008A362A"/>
    <w:rsid w:val="008A375E"/>
    <w:rsid w:val="008A5793"/>
    <w:rsid w:val="008A7368"/>
    <w:rsid w:val="008A7BAE"/>
    <w:rsid w:val="008A7DF3"/>
    <w:rsid w:val="008B03CB"/>
    <w:rsid w:val="008B1322"/>
    <w:rsid w:val="008B1B63"/>
    <w:rsid w:val="008B3450"/>
    <w:rsid w:val="008B389F"/>
    <w:rsid w:val="008B4076"/>
    <w:rsid w:val="008C0B96"/>
    <w:rsid w:val="008C1CBF"/>
    <w:rsid w:val="008C216D"/>
    <w:rsid w:val="008C2A0F"/>
    <w:rsid w:val="008C462B"/>
    <w:rsid w:val="008C641F"/>
    <w:rsid w:val="008C686B"/>
    <w:rsid w:val="008C75C4"/>
    <w:rsid w:val="008D04FE"/>
    <w:rsid w:val="008D2A17"/>
    <w:rsid w:val="008D4A02"/>
    <w:rsid w:val="008D4F3C"/>
    <w:rsid w:val="008D66D2"/>
    <w:rsid w:val="008E0812"/>
    <w:rsid w:val="008E1D94"/>
    <w:rsid w:val="008E2855"/>
    <w:rsid w:val="008E532D"/>
    <w:rsid w:val="008E587F"/>
    <w:rsid w:val="008E657A"/>
    <w:rsid w:val="008F0BE1"/>
    <w:rsid w:val="008F16B6"/>
    <w:rsid w:val="008F2D02"/>
    <w:rsid w:val="008F34A1"/>
    <w:rsid w:val="008F3F2F"/>
    <w:rsid w:val="008F4F8F"/>
    <w:rsid w:val="008F5474"/>
    <w:rsid w:val="008F5E1F"/>
    <w:rsid w:val="008F792C"/>
    <w:rsid w:val="0090097F"/>
    <w:rsid w:val="009017D8"/>
    <w:rsid w:val="009043C4"/>
    <w:rsid w:val="00904A69"/>
    <w:rsid w:val="00904AD5"/>
    <w:rsid w:val="0090645C"/>
    <w:rsid w:val="00906A2E"/>
    <w:rsid w:val="00906B29"/>
    <w:rsid w:val="00907A08"/>
    <w:rsid w:val="00910B28"/>
    <w:rsid w:val="00911E59"/>
    <w:rsid w:val="00912205"/>
    <w:rsid w:val="00913167"/>
    <w:rsid w:val="009134E3"/>
    <w:rsid w:val="00915005"/>
    <w:rsid w:val="009155E6"/>
    <w:rsid w:val="009155F6"/>
    <w:rsid w:val="0091659E"/>
    <w:rsid w:val="009178AA"/>
    <w:rsid w:val="009179A3"/>
    <w:rsid w:val="00921EF7"/>
    <w:rsid w:val="00923107"/>
    <w:rsid w:val="00923C2A"/>
    <w:rsid w:val="0092438E"/>
    <w:rsid w:val="00924A7B"/>
    <w:rsid w:val="00924E81"/>
    <w:rsid w:val="00927632"/>
    <w:rsid w:val="00927DDD"/>
    <w:rsid w:val="00931231"/>
    <w:rsid w:val="00935E22"/>
    <w:rsid w:val="0093739D"/>
    <w:rsid w:val="009415FA"/>
    <w:rsid w:val="00941EC9"/>
    <w:rsid w:val="00942677"/>
    <w:rsid w:val="00942BD1"/>
    <w:rsid w:val="00942C25"/>
    <w:rsid w:val="00943226"/>
    <w:rsid w:val="00946FA8"/>
    <w:rsid w:val="00947F2A"/>
    <w:rsid w:val="00951131"/>
    <w:rsid w:val="00952F9E"/>
    <w:rsid w:val="00953C1B"/>
    <w:rsid w:val="009555D9"/>
    <w:rsid w:val="009559C0"/>
    <w:rsid w:val="0096108E"/>
    <w:rsid w:val="00961DDB"/>
    <w:rsid w:val="009624D7"/>
    <w:rsid w:val="00963A98"/>
    <w:rsid w:val="00963F16"/>
    <w:rsid w:val="009660D9"/>
    <w:rsid w:val="00966ED3"/>
    <w:rsid w:val="009673CD"/>
    <w:rsid w:val="009678A0"/>
    <w:rsid w:val="00967FB6"/>
    <w:rsid w:val="00971C17"/>
    <w:rsid w:val="0097635C"/>
    <w:rsid w:val="00977269"/>
    <w:rsid w:val="00977B57"/>
    <w:rsid w:val="00977FC4"/>
    <w:rsid w:val="00980856"/>
    <w:rsid w:val="00980883"/>
    <w:rsid w:val="0098194D"/>
    <w:rsid w:val="00982B07"/>
    <w:rsid w:val="009843DE"/>
    <w:rsid w:val="00984BBF"/>
    <w:rsid w:val="00985526"/>
    <w:rsid w:val="00992684"/>
    <w:rsid w:val="0099319D"/>
    <w:rsid w:val="00994ABA"/>
    <w:rsid w:val="00994CBE"/>
    <w:rsid w:val="00996AAF"/>
    <w:rsid w:val="00997A4F"/>
    <w:rsid w:val="00997EFD"/>
    <w:rsid w:val="009A01E3"/>
    <w:rsid w:val="009A3892"/>
    <w:rsid w:val="009A3C68"/>
    <w:rsid w:val="009A4A5B"/>
    <w:rsid w:val="009A6E27"/>
    <w:rsid w:val="009A7B3A"/>
    <w:rsid w:val="009B07EF"/>
    <w:rsid w:val="009B1E67"/>
    <w:rsid w:val="009B42D5"/>
    <w:rsid w:val="009B6478"/>
    <w:rsid w:val="009B7296"/>
    <w:rsid w:val="009B7EC6"/>
    <w:rsid w:val="009C0DD0"/>
    <w:rsid w:val="009C118D"/>
    <w:rsid w:val="009C15F6"/>
    <w:rsid w:val="009C21DD"/>
    <w:rsid w:val="009C2ADA"/>
    <w:rsid w:val="009C2DF3"/>
    <w:rsid w:val="009C3FF0"/>
    <w:rsid w:val="009C4DFA"/>
    <w:rsid w:val="009C5368"/>
    <w:rsid w:val="009C5D31"/>
    <w:rsid w:val="009C6488"/>
    <w:rsid w:val="009D151E"/>
    <w:rsid w:val="009D3200"/>
    <w:rsid w:val="009D41B1"/>
    <w:rsid w:val="009D4567"/>
    <w:rsid w:val="009D47C6"/>
    <w:rsid w:val="009D5701"/>
    <w:rsid w:val="009D5ED0"/>
    <w:rsid w:val="009D7A22"/>
    <w:rsid w:val="009E1A76"/>
    <w:rsid w:val="009E2351"/>
    <w:rsid w:val="009E3412"/>
    <w:rsid w:val="009E3476"/>
    <w:rsid w:val="009E37B9"/>
    <w:rsid w:val="009E470A"/>
    <w:rsid w:val="009E4BEE"/>
    <w:rsid w:val="009E5448"/>
    <w:rsid w:val="009E5754"/>
    <w:rsid w:val="009E5844"/>
    <w:rsid w:val="009E5DF0"/>
    <w:rsid w:val="009E7FD1"/>
    <w:rsid w:val="009F0E93"/>
    <w:rsid w:val="009F2FFC"/>
    <w:rsid w:val="009F40DA"/>
    <w:rsid w:val="009F411D"/>
    <w:rsid w:val="009F5DB1"/>
    <w:rsid w:val="009F6AA6"/>
    <w:rsid w:val="009F7A7A"/>
    <w:rsid w:val="00A00631"/>
    <w:rsid w:val="00A010D1"/>
    <w:rsid w:val="00A035A7"/>
    <w:rsid w:val="00A0590F"/>
    <w:rsid w:val="00A06640"/>
    <w:rsid w:val="00A06A73"/>
    <w:rsid w:val="00A07BB0"/>
    <w:rsid w:val="00A10E13"/>
    <w:rsid w:val="00A11425"/>
    <w:rsid w:val="00A123D1"/>
    <w:rsid w:val="00A139D6"/>
    <w:rsid w:val="00A14808"/>
    <w:rsid w:val="00A175B4"/>
    <w:rsid w:val="00A20735"/>
    <w:rsid w:val="00A20F49"/>
    <w:rsid w:val="00A2172F"/>
    <w:rsid w:val="00A22A69"/>
    <w:rsid w:val="00A23E31"/>
    <w:rsid w:val="00A24EAF"/>
    <w:rsid w:val="00A323F8"/>
    <w:rsid w:val="00A33716"/>
    <w:rsid w:val="00A3378E"/>
    <w:rsid w:val="00A343B3"/>
    <w:rsid w:val="00A36453"/>
    <w:rsid w:val="00A36719"/>
    <w:rsid w:val="00A36FA5"/>
    <w:rsid w:val="00A41D26"/>
    <w:rsid w:val="00A43165"/>
    <w:rsid w:val="00A445F7"/>
    <w:rsid w:val="00A447F4"/>
    <w:rsid w:val="00A47ED9"/>
    <w:rsid w:val="00A508F6"/>
    <w:rsid w:val="00A573E3"/>
    <w:rsid w:val="00A6186C"/>
    <w:rsid w:val="00A62EFD"/>
    <w:rsid w:val="00A635D6"/>
    <w:rsid w:val="00A63A2B"/>
    <w:rsid w:val="00A65B75"/>
    <w:rsid w:val="00A67C02"/>
    <w:rsid w:val="00A70B07"/>
    <w:rsid w:val="00A733DD"/>
    <w:rsid w:val="00A75207"/>
    <w:rsid w:val="00A76DEE"/>
    <w:rsid w:val="00A77674"/>
    <w:rsid w:val="00A82238"/>
    <w:rsid w:val="00A8382E"/>
    <w:rsid w:val="00A846A6"/>
    <w:rsid w:val="00A8538C"/>
    <w:rsid w:val="00A8605A"/>
    <w:rsid w:val="00A86D3C"/>
    <w:rsid w:val="00A87205"/>
    <w:rsid w:val="00A87D37"/>
    <w:rsid w:val="00A90420"/>
    <w:rsid w:val="00A9182A"/>
    <w:rsid w:val="00A948A6"/>
    <w:rsid w:val="00A95C30"/>
    <w:rsid w:val="00A968B3"/>
    <w:rsid w:val="00A96C1C"/>
    <w:rsid w:val="00A97577"/>
    <w:rsid w:val="00A97986"/>
    <w:rsid w:val="00A97E8A"/>
    <w:rsid w:val="00AA01C8"/>
    <w:rsid w:val="00AA0375"/>
    <w:rsid w:val="00AA06DB"/>
    <w:rsid w:val="00AA0D30"/>
    <w:rsid w:val="00AA2067"/>
    <w:rsid w:val="00AA391A"/>
    <w:rsid w:val="00AA5878"/>
    <w:rsid w:val="00AA59F9"/>
    <w:rsid w:val="00AA65BA"/>
    <w:rsid w:val="00AA67CF"/>
    <w:rsid w:val="00AA6966"/>
    <w:rsid w:val="00AA6E4E"/>
    <w:rsid w:val="00AA75D8"/>
    <w:rsid w:val="00AB005B"/>
    <w:rsid w:val="00AB00F6"/>
    <w:rsid w:val="00AB18C8"/>
    <w:rsid w:val="00AB38BE"/>
    <w:rsid w:val="00AB3925"/>
    <w:rsid w:val="00AB4984"/>
    <w:rsid w:val="00AB52FC"/>
    <w:rsid w:val="00AB5A41"/>
    <w:rsid w:val="00AC0C84"/>
    <w:rsid w:val="00AC1317"/>
    <w:rsid w:val="00AC2122"/>
    <w:rsid w:val="00AC220D"/>
    <w:rsid w:val="00AC2517"/>
    <w:rsid w:val="00AC329F"/>
    <w:rsid w:val="00AC6DA4"/>
    <w:rsid w:val="00AC7802"/>
    <w:rsid w:val="00AD12F9"/>
    <w:rsid w:val="00AD3F52"/>
    <w:rsid w:val="00AD4E34"/>
    <w:rsid w:val="00AD5714"/>
    <w:rsid w:val="00AD7F1A"/>
    <w:rsid w:val="00AE02D7"/>
    <w:rsid w:val="00AE1EBD"/>
    <w:rsid w:val="00AE2D88"/>
    <w:rsid w:val="00AE3602"/>
    <w:rsid w:val="00AE476C"/>
    <w:rsid w:val="00AE5E4A"/>
    <w:rsid w:val="00AE6424"/>
    <w:rsid w:val="00AF103C"/>
    <w:rsid w:val="00AF3445"/>
    <w:rsid w:val="00AF4FED"/>
    <w:rsid w:val="00AF73F5"/>
    <w:rsid w:val="00AF7C97"/>
    <w:rsid w:val="00B023CA"/>
    <w:rsid w:val="00B02F05"/>
    <w:rsid w:val="00B038B3"/>
    <w:rsid w:val="00B04B20"/>
    <w:rsid w:val="00B05762"/>
    <w:rsid w:val="00B057B9"/>
    <w:rsid w:val="00B06C10"/>
    <w:rsid w:val="00B10C5A"/>
    <w:rsid w:val="00B1159A"/>
    <w:rsid w:val="00B117CE"/>
    <w:rsid w:val="00B11D38"/>
    <w:rsid w:val="00B1350C"/>
    <w:rsid w:val="00B146E3"/>
    <w:rsid w:val="00B14A01"/>
    <w:rsid w:val="00B15487"/>
    <w:rsid w:val="00B162E4"/>
    <w:rsid w:val="00B2040D"/>
    <w:rsid w:val="00B21AFE"/>
    <w:rsid w:val="00B21D4E"/>
    <w:rsid w:val="00B222EF"/>
    <w:rsid w:val="00B22E18"/>
    <w:rsid w:val="00B23F12"/>
    <w:rsid w:val="00B263DB"/>
    <w:rsid w:val="00B265B6"/>
    <w:rsid w:val="00B26900"/>
    <w:rsid w:val="00B278D1"/>
    <w:rsid w:val="00B30998"/>
    <w:rsid w:val="00B315E6"/>
    <w:rsid w:val="00B326B4"/>
    <w:rsid w:val="00B32AD1"/>
    <w:rsid w:val="00B350BE"/>
    <w:rsid w:val="00B3584B"/>
    <w:rsid w:val="00B35E07"/>
    <w:rsid w:val="00B36CC1"/>
    <w:rsid w:val="00B4008E"/>
    <w:rsid w:val="00B402F4"/>
    <w:rsid w:val="00B417F1"/>
    <w:rsid w:val="00B42206"/>
    <w:rsid w:val="00B45683"/>
    <w:rsid w:val="00B46810"/>
    <w:rsid w:val="00B52359"/>
    <w:rsid w:val="00B53754"/>
    <w:rsid w:val="00B54787"/>
    <w:rsid w:val="00B54AB8"/>
    <w:rsid w:val="00B56237"/>
    <w:rsid w:val="00B56CFC"/>
    <w:rsid w:val="00B56D35"/>
    <w:rsid w:val="00B628CF"/>
    <w:rsid w:val="00B643EB"/>
    <w:rsid w:val="00B64409"/>
    <w:rsid w:val="00B64ACF"/>
    <w:rsid w:val="00B64DE1"/>
    <w:rsid w:val="00B65889"/>
    <w:rsid w:val="00B65A88"/>
    <w:rsid w:val="00B65E5B"/>
    <w:rsid w:val="00B67369"/>
    <w:rsid w:val="00B67802"/>
    <w:rsid w:val="00B67EEB"/>
    <w:rsid w:val="00B7009B"/>
    <w:rsid w:val="00B71194"/>
    <w:rsid w:val="00B73680"/>
    <w:rsid w:val="00B76F1D"/>
    <w:rsid w:val="00B7774A"/>
    <w:rsid w:val="00B8000C"/>
    <w:rsid w:val="00B8284F"/>
    <w:rsid w:val="00B8346A"/>
    <w:rsid w:val="00B83D0E"/>
    <w:rsid w:val="00B8418F"/>
    <w:rsid w:val="00B85BE3"/>
    <w:rsid w:val="00B8672F"/>
    <w:rsid w:val="00B90C07"/>
    <w:rsid w:val="00B9123E"/>
    <w:rsid w:val="00B91480"/>
    <w:rsid w:val="00B9260C"/>
    <w:rsid w:val="00B9260E"/>
    <w:rsid w:val="00B92F44"/>
    <w:rsid w:val="00B9343B"/>
    <w:rsid w:val="00B95C69"/>
    <w:rsid w:val="00B95FF0"/>
    <w:rsid w:val="00B960F7"/>
    <w:rsid w:val="00B96CDF"/>
    <w:rsid w:val="00B97CFA"/>
    <w:rsid w:val="00BA0B02"/>
    <w:rsid w:val="00BA1DD1"/>
    <w:rsid w:val="00BA242B"/>
    <w:rsid w:val="00BA388D"/>
    <w:rsid w:val="00BA392F"/>
    <w:rsid w:val="00BA3B6F"/>
    <w:rsid w:val="00BA4680"/>
    <w:rsid w:val="00BA51A4"/>
    <w:rsid w:val="00BA561F"/>
    <w:rsid w:val="00BA5D64"/>
    <w:rsid w:val="00BA6BE4"/>
    <w:rsid w:val="00BA6D42"/>
    <w:rsid w:val="00BB17AE"/>
    <w:rsid w:val="00BB2E02"/>
    <w:rsid w:val="00BB494F"/>
    <w:rsid w:val="00BB7C9A"/>
    <w:rsid w:val="00BC2080"/>
    <w:rsid w:val="00BC2302"/>
    <w:rsid w:val="00BC250E"/>
    <w:rsid w:val="00BC266D"/>
    <w:rsid w:val="00BC2B80"/>
    <w:rsid w:val="00BC3E0A"/>
    <w:rsid w:val="00BC3F6C"/>
    <w:rsid w:val="00BC3FF6"/>
    <w:rsid w:val="00BC4BCE"/>
    <w:rsid w:val="00BC4F8E"/>
    <w:rsid w:val="00BC5CCF"/>
    <w:rsid w:val="00BC73FC"/>
    <w:rsid w:val="00BD0849"/>
    <w:rsid w:val="00BD38F8"/>
    <w:rsid w:val="00BD3C05"/>
    <w:rsid w:val="00BD4357"/>
    <w:rsid w:val="00BD47F3"/>
    <w:rsid w:val="00BD4BA8"/>
    <w:rsid w:val="00BD6466"/>
    <w:rsid w:val="00BE14E8"/>
    <w:rsid w:val="00BE1C4A"/>
    <w:rsid w:val="00BE3238"/>
    <w:rsid w:val="00BE68A7"/>
    <w:rsid w:val="00BE6C22"/>
    <w:rsid w:val="00BE7168"/>
    <w:rsid w:val="00BF0ECC"/>
    <w:rsid w:val="00BF20A0"/>
    <w:rsid w:val="00BF2D6F"/>
    <w:rsid w:val="00BF2DD3"/>
    <w:rsid w:val="00BF35DF"/>
    <w:rsid w:val="00BF377C"/>
    <w:rsid w:val="00BF37AB"/>
    <w:rsid w:val="00BF428A"/>
    <w:rsid w:val="00BF4404"/>
    <w:rsid w:val="00BF4443"/>
    <w:rsid w:val="00BF4DD6"/>
    <w:rsid w:val="00BF647B"/>
    <w:rsid w:val="00BF68ED"/>
    <w:rsid w:val="00BF72C3"/>
    <w:rsid w:val="00BF7B40"/>
    <w:rsid w:val="00C001FC"/>
    <w:rsid w:val="00C0129C"/>
    <w:rsid w:val="00C02A62"/>
    <w:rsid w:val="00C04EDC"/>
    <w:rsid w:val="00C04EFA"/>
    <w:rsid w:val="00C06421"/>
    <w:rsid w:val="00C06AF4"/>
    <w:rsid w:val="00C0765B"/>
    <w:rsid w:val="00C07EAA"/>
    <w:rsid w:val="00C1005B"/>
    <w:rsid w:val="00C10C57"/>
    <w:rsid w:val="00C120ED"/>
    <w:rsid w:val="00C134AE"/>
    <w:rsid w:val="00C13CEF"/>
    <w:rsid w:val="00C15774"/>
    <w:rsid w:val="00C173A9"/>
    <w:rsid w:val="00C20C9D"/>
    <w:rsid w:val="00C20DFB"/>
    <w:rsid w:val="00C22A66"/>
    <w:rsid w:val="00C231C2"/>
    <w:rsid w:val="00C26219"/>
    <w:rsid w:val="00C27F85"/>
    <w:rsid w:val="00C302FA"/>
    <w:rsid w:val="00C31BDD"/>
    <w:rsid w:val="00C32955"/>
    <w:rsid w:val="00C329AD"/>
    <w:rsid w:val="00C33545"/>
    <w:rsid w:val="00C336CD"/>
    <w:rsid w:val="00C36440"/>
    <w:rsid w:val="00C41EC6"/>
    <w:rsid w:val="00C432A1"/>
    <w:rsid w:val="00C43C1D"/>
    <w:rsid w:val="00C44ED9"/>
    <w:rsid w:val="00C4547D"/>
    <w:rsid w:val="00C47473"/>
    <w:rsid w:val="00C47549"/>
    <w:rsid w:val="00C50988"/>
    <w:rsid w:val="00C50F3A"/>
    <w:rsid w:val="00C52EDA"/>
    <w:rsid w:val="00C53239"/>
    <w:rsid w:val="00C53458"/>
    <w:rsid w:val="00C5441A"/>
    <w:rsid w:val="00C54801"/>
    <w:rsid w:val="00C549D2"/>
    <w:rsid w:val="00C5598D"/>
    <w:rsid w:val="00C56C3E"/>
    <w:rsid w:val="00C573A0"/>
    <w:rsid w:val="00C57C1E"/>
    <w:rsid w:val="00C60384"/>
    <w:rsid w:val="00C6100F"/>
    <w:rsid w:val="00C61581"/>
    <w:rsid w:val="00C6183E"/>
    <w:rsid w:val="00C625CA"/>
    <w:rsid w:val="00C6285D"/>
    <w:rsid w:val="00C62F2F"/>
    <w:rsid w:val="00C635B5"/>
    <w:rsid w:val="00C64BE5"/>
    <w:rsid w:val="00C664F4"/>
    <w:rsid w:val="00C6787A"/>
    <w:rsid w:val="00C70756"/>
    <w:rsid w:val="00C71777"/>
    <w:rsid w:val="00C71F51"/>
    <w:rsid w:val="00C72548"/>
    <w:rsid w:val="00C73246"/>
    <w:rsid w:val="00C75064"/>
    <w:rsid w:val="00C75E5B"/>
    <w:rsid w:val="00C7633F"/>
    <w:rsid w:val="00C7654A"/>
    <w:rsid w:val="00C770B3"/>
    <w:rsid w:val="00C77338"/>
    <w:rsid w:val="00C77844"/>
    <w:rsid w:val="00C77C43"/>
    <w:rsid w:val="00C8047C"/>
    <w:rsid w:val="00C81D89"/>
    <w:rsid w:val="00C839D6"/>
    <w:rsid w:val="00C84CEE"/>
    <w:rsid w:val="00C859D9"/>
    <w:rsid w:val="00C90BA2"/>
    <w:rsid w:val="00C918A2"/>
    <w:rsid w:val="00C9347C"/>
    <w:rsid w:val="00C93F6A"/>
    <w:rsid w:val="00C94AAE"/>
    <w:rsid w:val="00C9514E"/>
    <w:rsid w:val="00C95315"/>
    <w:rsid w:val="00C95531"/>
    <w:rsid w:val="00C9609D"/>
    <w:rsid w:val="00C960DE"/>
    <w:rsid w:val="00C96151"/>
    <w:rsid w:val="00C96631"/>
    <w:rsid w:val="00C97803"/>
    <w:rsid w:val="00CA0394"/>
    <w:rsid w:val="00CA0B42"/>
    <w:rsid w:val="00CA301C"/>
    <w:rsid w:val="00CA44F4"/>
    <w:rsid w:val="00CA4867"/>
    <w:rsid w:val="00CA64C1"/>
    <w:rsid w:val="00CA6CB3"/>
    <w:rsid w:val="00CB0BD2"/>
    <w:rsid w:val="00CB0EEF"/>
    <w:rsid w:val="00CB32E1"/>
    <w:rsid w:val="00CB4CB6"/>
    <w:rsid w:val="00CB6C83"/>
    <w:rsid w:val="00CB6F2F"/>
    <w:rsid w:val="00CB7265"/>
    <w:rsid w:val="00CC175E"/>
    <w:rsid w:val="00CC1B8A"/>
    <w:rsid w:val="00CC21A8"/>
    <w:rsid w:val="00CC336A"/>
    <w:rsid w:val="00CD0FB5"/>
    <w:rsid w:val="00CD0FEE"/>
    <w:rsid w:val="00CD3280"/>
    <w:rsid w:val="00CD3512"/>
    <w:rsid w:val="00CD4ADD"/>
    <w:rsid w:val="00CD4E61"/>
    <w:rsid w:val="00CD5C6F"/>
    <w:rsid w:val="00CD6009"/>
    <w:rsid w:val="00CD6DE8"/>
    <w:rsid w:val="00CE05B0"/>
    <w:rsid w:val="00CE0F3B"/>
    <w:rsid w:val="00CE3A8E"/>
    <w:rsid w:val="00CE70E0"/>
    <w:rsid w:val="00CE75BD"/>
    <w:rsid w:val="00CE7739"/>
    <w:rsid w:val="00CE7F1C"/>
    <w:rsid w:val="00CF0390"/>
    <w:rsid w:val="00CF04C3"/>
    <w:rsid w:val="00CF08A6"/>
    <w:rsid w:val="00CF192D"/>
    <w:rsid w:val="00CF1C9B"/>
    <w:rsid w:val="00CF1E9F"/>
    <w:rsid w:val="00CF4BD9"/>
    <w:rsid w:val="00CF5040"/>
    <w:rsid w:val="00CF52A0"/>
    <w:rsid w:val="00CF548B"/>
    <w:rsid w:val="00CF77B7"/>
    <w:rsid w:val="00D00333"/>
    <w:rsid w:val="00D00732"/>
    <w:rsid w:val="00D00CAE"/>
    <w:rsid w:val="00D0251B"/>
    <w:rsid w:val="00D02666"/>
    <w:rsid w:val="00D02A65"/>
    <w:rsid w:val="00D03BBA"/>
    <w:rsid w:val="00D043FA"/>
    <w:rsid w:val="00D05BFD"/>
    <w:rsid w:val="00D05C7A"/>
    <w:rsid w:val="00D07900"/>
    <w:rsid w:val="00D110BB"/>
    <w:rsid w:val="00D11126"/>
    <w:rsid w:val="00D13888"/>
    <w:rsid w:val="00D148D0"/>
    <w:rsid w:val="00D1658E"/>
    <w:rsid w:val="00D17A7E"/>
    <w:rsid w:val="00D17C99"/>
    <w:rsid w:val="00D206CC"/>
    <w:rsid w:val="00D208A4"/>
    <w:rsid w:val="00D20CCE"/>
    <w:rsid w:val="00D20DC6"/>
    <w:rsid w:val="00D21B90"/>
    <w:rsid w:val="00D22AB8"/>
    <w:rsid w:val="00D23AF9"/>
    <w:rsid w:val="00D23B18"/>
    <w:rsid w:val="00D2556C"/>
    <w:rsid w:val="00D26B86"/>
    <w:rsid w:val="00D272FC"/>
    <w:rsid w:val="00D31D76"/>
    <w:rsid w:val="00D3202D"/>
    <w:rsid w:val="00D32EE6"/>
    <w:rsid w:val="00D34354"/>
    <w:rsid w:val="00D3436A"/>
    <w:rsid w:val="00D350CC"/>
    <w:rsid w:val="00D36CFC"/>
    <w:rsid w:val="00D401B5"/>
    <w:rsid w:val="00D40D25"/>
    <w:rsid w:val="00D41E19"/>
    <w:rsid w:val="00D4265C"/>
    <w:rsid w:val="00D42A0E"/>
    <w:rsid w:val="00D431A0"/>
    <w:rsid w:val="00D472EF"/>
    <w:rsid w:val="00D477FC"/>
    <w:rsid w:val="00D5001F"/>
    <w:rsid w:val="00D5034D"/>
    <w:rsid w:val="00D50648"/>
    <w:rsid w:val="00D50747"/>
    <w:rsid w:val="00D5160B"/>
    <w:rsid w:val="00D53E3E"/>
    <w:rsid w:val="00D553BE"/>
    <w:rsid w:val="00D56051"/>
    <w:rsid w:val="00D56E67"/>
    <w:rsid w:val="00D56EE1"/>
    <w:rsid w:val="00D56FCB"/>
    <w:rsid w:val="00D624EB"/>
    <w:rsid w:val="00D62C53"/>
    <w:rsid w:val="00D62E3C"/>
    <w:rsid w:val="00D6409A"/>
    <w:rsid w:val="00D64906"/>
    <w:rsid w:val="00D64983"/>
    <w:rsid w:val="00D65C18"/>
    <w:rsid w:val="00D67404"/>
    <w:rsid w:val="00D678B5"/>
    <w:rsid w:val="00D700F5"/>
    <w:rsid w:val="00D720CF"/>
    <w:rsid w:val="00D723B7"/>
    <w:rsid w:val="00D7316D"/>
    <w:rsid w:val="00D73279"/>
    <w:rsid w:val="00D733A8"/>
    <w:rsid w:val="00D73F4D"/>
    <w:rsid w:val="00D767D2"/>
    <w:rsid w:val="00D813C4"/>
    <w:rsid w:val="00D82A03"/>
    <w:rsid w:val="00D834BD"/>
    <w:rsid w:val="00D844C4"/>
    <w:rsid w:val="00D84548"/>
    <w:rsid w:val="00D84C72"/>
    <w:rsid w:val="00D90977"/>
    <w:rsid w:val="00D90F89"/>
    <w:rsid w:val="00D92CE1"/>
    <w:rsid w:val="00D940E5"/>
    <w:rsid w:val="00D957AE"/>
    <w:rsid w:val="00DA24A2"/>
    <w:rsid w:val="00DA371C"/>
    <w:rsid w:val="00DA3922"/>
    <w:rsid w:val="00DA6171"/>
    <w:rsid w:val="00DA634C"/>
    <w:rsid w:val="00DA7964"/>
    <w:rsid w:val="00DB0552"/>
    <w:rsid w:val="00DB0C1B"/>
    <w:rsid w:val="00DB411F"/>
    <w:rsid w:val="00DB4869"/>
    <w:rsid w:val="00DB5723"/>
    <w:rsid w:val="00DB7A1C"/>
    <w:rsid w:val="00DB7A99"/>
    <w:rsid w:val="00DC050F"/>
    <w:rsid w:val="00DC061C"/>
    <w:rsid w:val="00DC1A68"/>
    <w:rsid w:val="00DC1E32"/>
    <w:rsid w:val="00DC2B6C"/>
    <w:rsid w:val="00DC6061"/>
    <w:rsid w:val="00DC77DE"/>
    <w:rsid w:val="00DD406F"/>
    <w:rsid w:val="00DD41B9"/>
    <w:rsid w:val="00DD60A5"/>
    <w:rsid w:val="00DD673C"/>
    <w:rsid w:val="00DD693D"/>
    <w:rsid w:val="00DD739F"/>
    <w:rsid w:val="00DD79D2"/>
    <w:rsid w:val="00DD7BB7"/>
    <w:rsid w:val="00DE184C"/>
    <w:rsid w:val="00DE1E29"/>
    <w:rsid w:val="00DE1E4E"/>
    <w:rsid w:val="00DE29EF"/>
    <w:rsid w:val="00DE2F01"/>
    <w:rsid w:val="00DE300D"/>
    <w:rsid w:val="00DE39C5"/>
    <w:rsid w:val="00DE4543"/>
    <w:rsid w:val="00DE50A2"/>
    <w:rsid w:val="00DE68B1"/>
    <w:rsid w:val="00DE6C38"/>
    <w:rsid w:val="00DF0B34"/>
    <w:rsid w:val="00DF0D4C"/>
    <w:rsid w:val="00DF44BE"/>
    <w:rsid w:val="00DF5256"/>
    <w:rsid w:val="00DF579E"/>
    <w:rsid w:val="00DF5993"/>
    <w:rsid w:val="00DF6093"/>
    <w:rsid w:val="00DF76D8"/>
    <w:rsid w:val="00E00AF7"/>
    <w:rsid w:val="00E00DD1"/>
    <w:rsid w:val="00E019FB"/>
    <w:rsid w:val="00E01A7B"/>
    <w:rsid w:val="00E11760"/>
    <w:rsid w:val="00E1231D"/>
    <w:rsid w:val="00E127F3"/>
    <w:rsid w:val="00E12B72"/>
    <w:rsid w:val="00E15497"/>
    <w:rsid w:val="00E15EEC"/>
    <w:rsid w:val="00E15FB0"/>
    <w:rsid w:val="00E170DC"/>
    <w:rsid w:val="00E1756A"/>
    <w:rsid w:val="00E20081"/>
    <w:rsid w:val="00E201A8"/>
    <w:rsid w:val="00E216DD"/>
    <w:rsid w:val="00E2314C"/>
    <w:rsid w:val="00E24AEB"/>
    <w:rsid w:val="00E26861"/>
    <w:rsid w:val="00E26B16"/>
    <w:rsid w:val="00E300D2"/>
    <w:rsid w:val="00E30EBE"/>
    <w:rsid w:val="00E3169B"/>
    <w:rsid w:val="00E320D9"/>
    <w:rsid w:val="00E367CA"/>
    <w:rsid w:val="00E3767D"/>
    <w:rsid w:val="00E40154"/>
    <w:rsid w:val="00E4171E"/>
    <w:rsid w:val="00E41748"/>
    <w:rsid w:val="00E419BF"/>
    <w:rsid w:val="00E44EC4"/>
    <w:rsid w:val="00E45550"/>
    <w:rsid w:val="00E47566"/>
    <w:rsid w:val="00E47B70"/>
    <w:rsid w:val="00E47F36"/>
    <w:rsid w:val="00E52250"/>
    <w:rsid w:val="00E524CE"/>
    <w:rsid w:val="00E52AD0"/>
    <w:rsid w:val="00E52D5E"/>
    <w:rsid w:val="00E547EA"/>
    <w:rsid w:val="00E54804"/>
    <w:rsid w:val="00E54956"/>
    <w:rsid w:val="00E5706E"/>
    <w:rsid w:val="00E5722E"/>
    <w:rsid w:val="00E603BA"/>
    <w:rsid w:val="00E60825"/>
    <w:rsid w:val="00E6113E"/>
    <w:rsid w:val="00E62D79"/>
    <w:rsid w:val="00E632D1"/>
    <w:rsid w:val="00E65007"/>
    <w:rsid w:val="00E66574"/>
    <w:rsid w:val="00E66AF6"/>
    <w:rsid w:val="00E6703A"/>
    <w:rsid w:val="00E71222"/>
    <w:rsid w:val="00E71BAE"/>
    <w:rsid w:val="00E71D96"/>
    <w:rsid w:val="00E7333D"/>
    <w:rsid w:val="00E73CF6"/>
    <w:rsid w:val="00E75097"/>
    <w:rsid w:val="00E75D04"/>
    <w:rsid w:val="00E76A0A"/>
    <w:rsid w:val="00E77EDA"/>
    <w:rsid w:val="00E802D6"/>
    <w:rsid w:val="00E8157B"/>
    <w:rsid w:val="00E818CF"/>
    <w:rsid w:val="00E82369"/>
    <w:rsid w:val="00E82461"/>
    <w:rsid w:val="00E8278C"/>
    <w:rsid w:val="00E84C23"/>
    <w:rsid w:val="00E84FE0"/>
    <w:rsid w:val="00E85535"/>
    <w:rsid w:val="00E87A91"/>
    <w:rsid w:val="00E90C89"/>
    <w:rsid w:val="00E90D25"/>
    <w:rsid w:val="00E90EF2"/>
    <w:rsid w:val="00E919D9"/>
    <w:rsid w:val="00E92A50"/>
    <w:rsid w:val="00E93160"/>
    <w:rsid w:val="00E94F73"/>
    <w:rsid w:val="00E95F82"/>
    <w:rsid w:val="00E96D52"/>
    <w:rsid w:val="00E96D68"/>
    <w:rsid w:val="00E9754B"/>
    <w:rsid w:val="00EA0847"/>
    <w:rsid w:val="00EA1D07"/>
    <w:rsid w:val="00EA3CDD"/>
    <w:rsid w:val="00EA3E3A"/>
    <w:rsid w:val="00EA40A5"/>
    <w:rsid w:val="00EA4654"/>
    <w:rsid w:val="00EA485C"/>
    <w:rsid w:val="00EB2B2F"/>
    <w:rsid w:val="00EB3632"/>
    <w:rsid w:val="00EB38DD"/>
    <w:rsid w:val="00EB3A47"/>
    <w:rsid w:val="00EB53E2"/>
    <w:rsid w:val="00EC3FEF"/>
    <w:rsid w:val="00EC447D"/>
    <w:rsid w:val="00EC46FD"/>
    <w:rsid w:val="00EC5653"/>
    <w:rsid w:val="00EC65B6"/>
    <w:rsid w:val="00EC6A99"/>
    <w:rsid w:val="00ED1FDB"/>
    <w:rsid w:val="00ED20FF"/>
    <w:rsid w:val="00ED212C"/>
    <w:rsid w:val="00ED41F8"/>
    <w:rsid w:val="00ED4FF4"/>
    <w:rsid w:val="00ED5C9D"/>
    <w:rsid w:val="00ED6500"/>
    <w:rsid w:val="00ED7A30"/>
    <w:rsid w:val="00EE2182"/>
    <w:rsid w:val="00EE26DD"/>
    <w:rsid w:val="00EE2950"/>
    <w:rsid w:val="00EE2B0E"/>
    <w:rsid w:val="00EE3BEC"/>
    <w:rsid w:val="00EE3E75"/>
    <w:rsid w:val="00EE52CA"/>
    <w:rsid w:val="00EE767B"/>
    <w:rsid w:val="00EE7E1B"/>
    <w:rsid w:val="00EF0AC3"/>
    <w:rsid w:val="00EF1F5B"/>
    <w:rsid w:val="00EF240C"/>
    <w:rsid w:val="00EF38B7"/>
    <w:rsid w:val="00EF394E"/>
    <w:rsid w:val="00EF3958"/>
    <w:rsid w:val="00EF62A4"/>
    <w:rsid w:val="00EF65A3"/>
    <w:rsid w:val="00F00EB5"/>
    <w:rsid w:val="00F012AA"/>
    <w:rsid w:val="00F01371"/>
    <w:rsid w:val="00F017AC"/>
    <w:rsid w:val="00F079BD"/>
    <w:rsid w:val="00F106EE"/>
    <w:rsid w:val="00F11A4C"/>
    <w:rsid w:val="00F13AB2"/>
    <w:rsid w:val="00F140A7"/>
    <w:rsid w:val="00F14B1B"/>
    <w:rsid w:val="00F15145"/>
    <w:rsid w:val="00F162C1"/>
    <w:rsid w:val="00F16A56"/>
    <w:rsid w:val="00F224BF"/>
    <w:rsid w:val="00F22B0F"/>
    <w:rsid w:val="00F22EFA"/>
    <w:rsid w:val="00F2310D"/>
    <w:rsid w:val="00F24013"/>
    <w:rsid w:val="00F3081F"/>
    <w:rsid w:val="00F32A31"/>
    <w:rsid w:val="00F347D7"/>
    <w:rsid w:val="00F37C74"/>
    <w:rsid w:val="00F37F78"/>
    <w:rsid w:val="00F400D4"/>
    <w:rsid w:val="00F40F0D"/>
    <w:rsid w:val="00F41C4D"/>
    <w:rsid w:val="00F4200F"/>
    <w:rsid w:val="00F42C0F"/>
    <w:rsid w:val="00F42E60"/>
    <w:rsid w:val="00F434AD"/>
    <w:rsid w:val="00F4359B"/>
    <w:rsid w:val="00F44774"/>
    <w:rsid w:val="00F44D29"/>
    <w:rsid w:val="00F44E5E"/>
    <w:rsid w:val="00F4681F"/>
    <w:rsid w:val="00F469B9"/>
    <w:rsid w:val="00F47480"/>
    <w:rsid w:val="00F474B2"/>
    <w:rsid w:val="00F51EB2"/>
    <w:rsid w:val="00F5257B"/>
    <w:rsid w:val="00F53267"/>
    <w:rsid w:val="00F545B0"/>
    <w:rsid w:val="00F545FF"/>
    <w:rsid w:val="00F551D9"/>
    <w:rsid w:val="00F55AEE"/>
    <w:rsid w:val="00F60ABF"/>
    <w:rsid w:val="00F6148A"/>
    <w:rsid w:val="00F61DD4"/>
    <w:rsid w:val="00F6285A"/>
    <w:rsid w:val="00F63161"/>
    <w:rsid w:val="00F64721"/>
    <w:rsid w:val="00F65137"/>
    <w:rsid w:val="00F65231"/>
    <w:rsid w:val="00F65EAC"/>
    <w:rsid w:val="00F70466"/>
    <w:rsid w:val="00F70FC4"/>
    <w:rsid w:val="00F717A1"/>
    <w:rsid w:val="00F733BD"/>
    <w:rsid w:val="00F7426B"/>
    <w:rsid w:val="00F74A43"/>
    <w:rsid w:val="00F74BA4"/>
    <w:rsid w:val="00F750FC"/>
    <w:rsid w:val="00F752E4"/>
    <w:rsid w:val="00F7631A"/>
    <w:rsid w:val="00F76592"/>
    <w:rsid w:val="00F7706D"/>
    <w:rsid w:val="00F7790A"/>
    <w:rsid w:val="00F81487"/>
    <w:rsid w:val="00F83382"/>
    <w:rsid w:val="00F83859"/>
    <w:rsid w:val="00F852A5"/>
    <w:rsid w:val="00F85402"/>
    <w:rsid w:val="00F86BBC"/>
    <w:rsid w:val="00F87225"/>
    <w:rsid w:val="00F9244A"/>
    <w:rsid w:val="00F95A92"/>
    <w:rsid w:val="00FA00AE"/>
    <w:rsid w:val="00FA0337"/>
    <w:rsid w:val="00FA2AA7"/>
    <w:rsid w:val="00FA3EDA"/>
    <w:rsid w:val="00FA43F0"/>
    <w:rsid w:val="00FA5345"/>
    <w:rsid w:val="00FA6B1D"/>
    <w:rsid w:val="00FB1252"/>
    <w:rsid w:val="00FB427B"/>
    <w:rsid w:val="00FB5723"/>
    <w:rsid w:val="00FB5CB1"/>
    <w:rsid w:val="00FB6B10"/>
    <w:rsid w:val="00FB6B1C"/>
    <w:rsid w:val="00FB6BA8"/>
    <w:rsid w:val="00FB6CF1"/>
    <w:rsid w:val="00FC079E"/>
    <w:rsid w:val="00FC3BCB"/>
    <w:rsid w:val="00FC3D8C"/>
    <w:rsid w:val="00FC4822"/>
    <w:rsid w:val="00FC4AEE"/>
    <w:rsid w:val="00FC5D6F"/>
    <w:rsid w:val="00FC6736"/>
    <w:rsid w:val="00FC77EE"/>
    <w:rsid w:val="00FC7D77"/>
    <w:rsid w:val="00FD0C27"/>
    <w:rsid w:val="00FD1A9A"/>
    <w:rsid w:val="00FD1EEC"/>
    <w:rsid w:val="00FD4440"/>
    <w:rsid w:val="00FD5691"/>
    <w:rsid w:val="00FD734F"/>
    <w:rsid w:val="00FD74E5"/>
    <w:rsid w:val="00FD7625"/>
    <w:rsid w:val="00FE03F3"/>
    <w:rsid w:val="00FE1553"/>
    <w:rsid w:val="00FE2759"/>
    <w:rsid w:val="00FE3DD2"/>
    <w:rsid w:val="00FE48E5"/>
    <w:rsid w:val="00FE4B40"/>
    <w:rsid w:val="00FF1724"/>
    <w:rsid w:val="00FF3235"/>
    <w:rsid w:val="00FF3930"/>
    <w:rsid w:val="00FF3AF3"/>
    <w:rsid w:val="00FF3D18"/>
    <w:rsid w:val="00FF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1"/>
    <o:shapelayout v:ext="edit">
      <o:idmap v:ext="edit" data="1"/>
    </o:shapelayout>
  </w:shapeDefaults>
  <w:decimalSymbol w:val="."/>
  <w:listSeparator w:val=","/>
  <w14:docId w14:val="1C2AB836"/>
  <w15:chartTrackingRefBased/>
  <w15:docId w15:val="{37A8C985-FA5C-4E93-B691-7F9E6EE8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8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1F4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1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BodyText">
    <w:name w:val="Body Text"/>
    <w:link w:val="BodyTextChar"/>
    <w:qFormat/>
    <w:rsid w:val="0083667F"/>
    <w:pPr>
      <w:spacing w:after="120" w:line="276" w:lineRule="auto"/>
      <w:jc w:val="both"/>
    </w:pPr>
    <w:rPr>
      <w:rFonts w:eastAsia="Times New Roman"/>
      <w:sz w:val="22"/>
      <w:szCs w:val="22"/>
    </w:rPr>
  </w:style>
  <w:style w:type="character" w:customStyle="1" w:styleId="BodyTextChar">
    <w:name w:val="Body Text Char"/>
    <w:link w:val="BodyText"/>
    <w:rsid w:val="0083667F"/>
    <w:rPr>
      <w:rFonts w:eastAsia="Times New Roman"/>
      <w:sz w:val="22"/>
      <w:szCs w:val="22"/>
    </w:rPr>
  </w:style>
  <w:style w:type="character" w:customStyle="1" w:styleId="st1">
    <w:name w:val="st1"/>
    <w:basedOn w:val="DefaultParagraphFont"/>
    <w:rsid w:val="00726BB7"/>
  </w:style>
  <w:style w:type="numbering" w:customStyle="1" w:styleId="D2Aformnumbering1">
    <w:name w:val="D2A form numbering1"/>
    <w:uiPriority w:val="99"/>
    <w:rsid w:val="007B56FC"/>
  </w:style>
  <w:style w:type="paragraph" w:styleId="BodyTextIndent2">
    <w:name w:val="Body Text Indent 2"/>
    <w:basedOn w:val="Normal"/>
    <w:link w:val="BodyTextIndent2Char"/>
    <w:uiPriority w:val="99"/>
    <w:unhideWhenUsed/>
    <w:rsid w:val="009134E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134E3"/>
    <w:rPr>
      <w:rFonts w:ascii="Trebuchet MS" w:hAnsi="Trebuchet MS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31BF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F232B"/>
    <w:rPr>
      <w:b/>
      <w:bCs/>
    </w:rPr>
  </w:style>
  <w:style w:type="paragraph" w:styleId="Title">
    <w:name w:val="Title"/>
    <w:basedOn w:val="Normal"/>
    <w:next w:val="ActTitle"/>
    <w:link w:val="TitleChar"/>
    <w:qFormat/>
    <w:rsid w:val="007B6CC4"/>
    <w:pPr>
      <w:spacing w:before="480"/>
    </w:pPr>
    <w:rPr>
      <w:rFonts w:ascii="Arial" w:eastAsia="Times New Roman" w:hAnsi="Arial" w:cs="Arial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7B6CC4"/>
    <w:rPr>
      <w:rFonts w:ascii="Arial" w:eastAsia="Times New Roman" w:hAnsi="Arial" w:cs="Arial"/>
      <w:b/>
      <w:bCs/>
      <w:sz w:val="40"/>
      <w:szCs w:val="40"/>
      <w:lang w:eastAsia="en-US"/>
    </w:rPr>
  </w:style>
  <w:style w:type="paragraph" w:customStyle="1" w:styleId="ActTitle">
    <w:name w:val="Act Title"/>
    <w:basedOn w:val="Normal"/>
    <w:next w:val="IntroTo"/>
    <w:rsid w:val="007B6CC4"/>
    <w:pPr>
      <w:pBdr>
        <w:bottom w:val="single" w:sz="4" w:space="3" w:color="auto"/>
      </w:pBdr>
      <w:spacing w:before="480" w:after="240"/>
    </w:pPr>
    <w:rPr>
      <w:rFonts w:ascii="Arial" w:eastAsia="Times New Roman" w:hAnsi="Arial"/>
      <w:i/>
      <w:iCs/>
      <w:sz w:val="28"/>
      <w:szCs w:val="20"/>
      <w:lang w:eastAsia="en-AU"/>
    </w:rPr>
  </w:style>
  <w:style w:type="paragraph" w:customStyle="1" w:styleId="IP">
    <w:name w:val="IP"/>
    <w:aliases w:val="Interpretation paragraph"/>
    <w:basedOn w:val="Normal"/>
    <w:next w:val="Normal"/>
    <w:rsid w:val="007B6CC4"/>
    <w:pPr>
      <w:keepNext/>
      <w:tabs>
        <w:tab w:val="right" w:pos="794"/>
      </w:tabs>
      <w:spacing w:before="120" w:line="260" w:lineRule="exact"/>
      <w:ind w:left="964" w:hanging="964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harSchNo">
    <w:name w:val="CharSchNo"/>
    <w:basedOn w:val="DefaultParagraphFont"/>
    <w:rsid w:val="007B6CC4"/>
  </w:style>
  <w:style w:type="paragraph" w:customStyle="1" w:styleId="AS">
    <w:name w:val="AS"/>
    <w:aliases w:val="Schedule title Amendment"/>
    <w:basedOn w:val="Normal"/>
    <w:next w:val="Normal"/>
    <w:rsid w:val="007B6CC4"/>
    <w:pPr>
      <w:keepNext/>
      <w:autoSpaceDE w:val="0"/>
      <w:autoSpaceDN w:val="0"/>
      <w:spacing w:before="480"/>
      <w:ind w:left="2410" w:hanging="2410"/>
    </w:pPr>
    <w:rPr>
      <w:rFonts w:ascii="Arial" w:eastAsia="Times New Roman" w:hAnsi="Arial" w:cs="Arial"/>
      <w:b/>
      <w:bCs/>
      <w:sz w:val="32"/>
      <w:szCs w:val="32"/>
      <w:lang w:eastAsia="en-AU"/>
    </w:rPr>
  </w:style>
  <w:style w:type="paragraph" w:customStyle="1" w:styleId="IH">
    <w:name w:val="IH"/>
    <w:aliases w:val="Interpretation heading"/>
    <w:basedOn w:val="Normal"/>
    <w:next w:val="Normal"/>
    <w:rsid w:val="007B6CC4"/>
    <w:pPr>
      <w:keepNext/>
      <w:spacing w:before="480"/>
      <w:ind w:left="964" w:hanging="964"/>
    </w:pPr>
    <w:rPr>
      <w:rFonts w:ascii="Arial" w:eastAsia="Times New Roman" w:hAnsi="Arial"/>
      <w:b/>
      <w:sz w:val="24"/>
      <w:szCs w:val="24"/>
    </w:rPr>
  </w:style>
  <w:style w:type="paragraph" w:customStyle="1" w:styleId="ASref">
    <w:name w:val="AS ref"/>
    <w:basedOn w:val="Normal"/>
    <w:next w:val="Normal"/>
    <w:rsid w:val="007B6CC4"/>
    <w:pPr>
      <w:keepNext/>
      <w:autoSpaceDE w:val="0"/>
      <w:autoSpaceDN w:val="0"/>
      <w:spacing w:before="60" w:line="200" w:lineRule="exact"/>
      <w:ind w:left="2410"/>
    </w:pPr>
    <w:rPr>
      <w:rFonts w:ascii="Arial" w:eastAsia="Times New Roman" w:hAnsi="Arial" w:cs="Arial"/>
      <w:sz w:val="18"/>
      <w:szCs w:val="18"/>
      <w:lang w:eastAsia="en-AU"/>
    </w:rPr>
  </w:style>
  <w:style w:type="character" w:customStyle="1" w:styleId="CharSchText">
    <w:name w:val="CharSchText"/>
    <w:basedOn w:val="DefaultParagraphFont"/>
    <w:rsid w:val="007B6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6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27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1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49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802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36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278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2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66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53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928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75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0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theme" Target="theme/theme1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LongProperties xmlns="http://schemas.microsoft.com/office/2006/metadata/longProperties">
  <LongProp xmlns="" name="TaxCatchAll"><![CDATA[26;#ADI|906b8d6f-8851-e311-9e2e-005056b54f10;#10;#Data collection|9c208ec1-acb8-4005-ba1a-e7d4ed62ea16;#9;#Development|7276960b-cd04-4fd9-bbf6-f5b03d867772;#41;#Reporting standard|91896cd9-c8c4-4f0d-b59e-113a28881d1d;#39;#Financial Sector (Collection of Data) Act 2001|867d484b-7101-44d1-bec9-be858219edae;#1;#Draft|0e1556d2-3fe8-443a-ada7-3620563b46b3]]></LongProp>
</Long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UNCLASSIFIED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>ALD</APRAKeywords>
    <APRAApprovedBy xmlns="814d62cb-2db6-4c25-ab62-b9075facbc11">
      <UserInfo>
        <DisplayName/>
        <AccountId xsi:nil="true"/>
        <AccountType/>
      </UserInfo>
    </APRAApprovedBy>
    <APRADate xmlns="814d62cb-2db6-4c25-ab62-b9075facbc11">2017-09-28T14:00:00+00:00</APRADate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24</Value>
      <Value>83</Value>
      <Value>134</Value>
      <Value>26</Value>
      <Value>10</Value>
      <Value>109</Value>
      <Value>297</Value>
      <Value>58</Value>
      <Value>158</Value>
      <Value>4</Value>
      <Value>19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ARS 750.0 DAWR Agricultural Lending 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PAD300</TermName>
          <TermId xmlns="http://schemas.microsoft.com/office/infopath/2007/PartnerControls">98bbdbe4-d019-48eb-87c4-aa31a7f2f98f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Corporate and Resolution</TermName>
          <TermId xmlns="http://schemas.microsoft.com/office/infopath/2007/PartnerControls">696624b1-19f4-47b2-a07b-57868a922a96</TermId>
        </TermInfo>
      </Terms>
    </p10c80fc2da942ae8f2ea9b33b6ea0ba>
    <i08e72d8ce2b4ffa9361f9f4e0a63abc xmlns="814d62cb-2db6-4c25-ab62-b9075facbc11">
      <Terms xmlns="http://schemas.microsoft.com/office/infopath/2007/PartnerControls"/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5JENXJJSCC7A-445999044-3563</_dlc_DocId>
    <_dlc_DocIdUrl xmlns="814d62cb-2db6-4c25-ab62-b9075facbc11">
      <Url>https://im/teams/LEGAL/_layouts/15/DocIdRedir.aspx?ID=5JENXJJSCC7A-445999044-3563</Url>
      <Description>5JENXJJSCC7A-445999044-3563</Description>
    </_dlc_DocIdUrl>
    <APRAMeetingDate xmlns="814d62cb-2db6-4c25-ab62-b9075facbc11" xsi:nil="true"/>
    <APRAMeetingNumber xmlns="814d62cb-2db6-4c25-ab62-b9075facbc11" xsi:nil="true"/>
  </documentManagement>
</p:properties>
</file>

<file path=customXml/item3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37" ma:contentTypeDescription="Create a new document." ma:contentTypeScope="" ma:versionID="b9ef5bc26372778073757b630008b228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f09e4a90de645c7ef264041fb58de94c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DLM: For Official Use Only" ma:hidden="true" ma:internalName="APRASecurityClassification" ma:readOnly="false">
      <xsd:simpleType>
        <xsd:restriction base="dms:Choice"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D63CF7-A865-427C-A1F4-634367D20111}">
  <ds:schemaRefs>
    <ds:schemaRef ds:uri="http://schemas.microsoft.com/office/2006/metadata/longProperties"/>
    <ds:schemaRef ds:uri=""/>
  </ds:schemaRefs>
</ds:datastoreItem>
</file>

<file path=customXml/itemProps2.xml><?xml version="1.0" encoding="utf-8"?>
<ds:datastoreItem xmlns:ds="http://schemas.openxmlformats.org/officeDocument/2006/customXml" ds:itemID="{D42C248F-9394-4CBD-BEEC-3ACF3704129C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814d62cb-2db6-4c25-ab62-b9075facbc11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3C47C3F-4BC7-454F-9F2B-92AB55DF12CF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64ED44A-EA5F-4810-A5E6-BCA4F675CC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4d62cb-2db6-4c25-ab62-b9075facb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B5D18CF-473E-4C1B-B0E7-C7A30944DEE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1EECBEC-2CE4-42C4-A360-CB91D2055F46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CB96DA83-1E18-43CC-ACA8-DA088693A39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AF3A3A6B-CD6F-43DF-8001-48291554D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3409</Words>
  <Characters>18469</Characters>
  <Application>Microsoft Office Word</Application>
  <DocSecurity>0</DocSecurity>
  <Lines>747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750.0 Agricultural Lending data</vt:lpstr>
    </vt:vector>
  </TitlesOfParts>
  <Company>APRA</Company>
  <LinksUpToDate>false</LinksUpToDate>
  <CharactersWithSpaces>21639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Financial Sector (Collection of Data) (reporting standard) determination No. 18 of 2017</dc:title>
  <dc:subject/>
  <dc:creator>Matsin, Greg</dc:creator>
  <cp:keywords> [SEC=UNCLASSIFIED]</cp:keywords>
  <cp:lastModifiedBy>Toni Michalis</cp:lastModifiedBy>
  <cp:revision>3</cp:revision>
  <cp:lastPrinted>2017-09-29T01:33:00Z</cp:lastPrinted>
  <dcterms:created xsi:type="dcterms:W3CDTF">2017-09-29T01:28:00Z</dcterms:created>
  <dcterms:modified xsi:type="dcterms:W3CDTF">2017-09-29T01:33:00Z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SecurityClassification">
    <vt:lpwstr>UNCLASSIFIED</vt:lpwstr>
  </property>
  <property fmtid="{D5CDD505-2E9C-101B-9397-08002B2CF9AE}" pid="3" name="PM_DisplayValueSecClassificationWithQualifier">
    <vt:lpwstr>UNCLASSIFIED</vt:lpwstr>
  </property>
  <property fmtid="{D5CDD505-2E9C-101B-9397-08002B2CF9AE}" pid="4" name="PM_Qualifier">
    <vt:lpwstr/>
  </property>
  <property fmtid="{D5CDD505-2E9C-101B-9397-08002B2CF9AE}" pid="5" name="PM_InsertionValue">
    <vt:lpwstr>UNCLASSIFIED</vt:lpwstr>
  </property>
  <property fmtid="{D5CDD505-2E9C-101B-9397-08002B2CF9AE}" pid="6" name="PM_Hash_Version">
    <vt:lpwstr>2016.1</vt:lpwstr>
  </property>
  <property fmtid="{D5CDD505-2E9C-101B-9397-08002B2CF9AE}" pid="7" name="PM_Caveats_Count">
    <vt:lpwstr>0</vt:lpwstr>
  </property>
  <property fmtid="{D5CDD505-2E9C-101B-9397-08002B2CF9AE}" pid="8" name="PM_SecurityClassification_Prev">
    <vt:lpwstr>UNCLASSIFIED</vt:lpwstr>
  </property>
  <property fmtid="{D5CDD505-2E9C-101B-9397-08002B2CF9AE}" pid="9" name="PM_Qualifier_Prev">
    <vt:lpwstr/>
  </property>
  <property fmtid="{D5CDD505-2E9C-101B-9397-08002B2CF9AE}" pid="10" name="IsLocked">
    <vt:lpwstr>Yes</vt:lpwstr>
  </property>
  <property fmtid="{D5CDD505-2E9C-101B-9397-08002B2CF9AE}" pid="11" name="APRAPeriod">
    <vt:lpwstr/>
  </property>
  <property fmtid="{D5CDD505-2E9C-101B-9397-08002B2CF9AE}" pid="12" name="APRAPRSG">
    <vt:lpwstr/>
  </property>
  <property fmtid="{D5CDD505-2E9C-101B-9397-08002B2CF9AE}" pid="13" name="APRAActivity">
    <vt:lpwstr>10;#Registration|390476ce-d76d-4e8d-905f-28e32d2df127;#109;#Statutory instrument|fe68928c-5a9c-4caf-bc8c-6c18cedcb17f</vt:lpwstr>
  </property>
  <property fmtid="{D5CDD505-2E9C-101B-9397-08002B2CF9AE}" pid="14" name="RecordPoint_WorkflowType">
    <vt:lpwstr>ActiveSubmitStub</vt:lpwstr>
  </property>
  <property fmtid="{D5CDD505-2E9C-101B-9397-08002B2CF9AE}" pid="15" name="RecordPoint_ActiveItemUniqueId">
    <vt:lpwstr>{e8660756-7fff-45f1-b3de-fa8aab0ba94a}</vt:lpwstr>
  </property>
  <property fmtid="{D5CDD505-2E9C-101B-9397-08002B2CF9AE}" pid="16" name="APRAYear">
    <vt:lpwstr/>
  </property>
  <property fmtid="{D5CDD505-2E9C-101B-9397-08002B2CF9AE}" pid="17" name="APRAIndustry">
    <vt:lpwstr/>
  </property>
  <property fmtid="{D5CDD505-2E9C-101B-9397-08002B2CF9AE}" pid="18" name="_dlc_DocId">
    <vt:lpwstr>3W63SCYY7KA6-1565629875-643</vt:lpwstr>
  </property>
  <property fmtid="{D5CDD505-2E9C-101B-9397-08002B2CF9AE}" pid="19" name="_dlc_DocIdItemGuid">
    <vt:lpwstr>e8660756-7fff-45f1-b3de-fa8aab0ba94a</vt:lpwstr>
  </property>
  <property fmtid="{D5CDD505-2E9C-101B-9397-08002B2CF9AE}" pid="20" name="_dlc_DocIdUrl">
    <vt:lpwstr>https://im/teams/STATS/_layouts/15/DocIdRedir.aspx?ID=3W63SCYY7KA6-1565629875-643, 3W63SCYY7KA6-1565629875-643</vt:lpwstr>
  </property>
  <property fmtid="{D5CDD505-2E9C-101B-9397-08002B2CF9AE}" pid="21" name="APRACostCentre">
    <vt:lpwstr>158;#PAD300|98bbdbe4-d019-48eb-87c4-aa31a7f2f98f;#24;#Legal - ADI|652d8d2a-ab45-47b4-ac6e-fe6ac9299b39;#26;#Legal - Insurance: General|8229dc1a-d7f2-47b2-844a-b026fed0c13d;#83;#Legal - Insurance: Life|56f18b50-6605-4f3f-97e3-cad1cb5394e0;#134;#Legal - Superannuation|cce3181d-fd23-4eee-94d3-c66abc2350cf;#4;#Legal - Corporate and Resolution|696624b1-19f4-47b2-a07b-57868a922a96</vt:lpwstr>
  </property>
  <property fmtid="{D5CDD505-2E9C-101B-9397-08002B2CF9AE}" pid="22" name="APRAEntityAdviceSupport">
    <vt:lpwstr/>
  </property>
  <property fmtid="{D5CDD505-2E9C-101B-9397-08002B2CF9AE}" pid="23" name="APRAExternalOrganisation">
    <vt:lpwstr/>
  </property>
  <property fmtid="{D5CDD505-2E9C-101B-9397-08002B2CF9AE}" pid="24" name="APRALegislation">
    <vt:lpwstr/>
  </property>
  <property fmtid="{D5CDD505-2E9C-101B-9397-08002B2CF9AE}" pid="25" name="APRAIRTR">
    <vt:lpwstr/>
  </property>
  <property fmtid="{D5CDD505-2E9C-101B-9397-08002B2CF9AE}" pid="26" name="APRACategory">
    <vt:lpwstr/>
  </property>
  <property fmtid="{D5CDD505-2E9C-101B-9397-08002B2CF9AE}" pid="27" name="APRADocumentType">
    <vt:lpwstr>297;#Reporting standard|91896cd9-c8c4-4f0d-b59e-113a28881d1d;#58;#Legal instrument|71fd6ed3-d6d6-4975-ba99-bfe45802e734</vt:lpwstr>
  </property>
  <property fmtid="{D5CDD505-2E9C-101B-9397-08002B2CF9AE}" pid="28" name="APRAStatus">
    <vt:lpwstr>19;#Final|84d6b2d0-8498-4d62-bf46-bab38babbe9e</vt:lpwstr>
  </property>
  <property fmtid="{D5CDD505-2E9C-101B-9397-08002B2CF9AE}" pid="29" name="RecordPoint_ActiveItemSiteId">
    <vt:lpwstr>{88691c01-5bbb-4215-adc0-66cb7065b0af}</vt:lpwstr>
  </property>
  <property fmtid="{D5CDD505-2E9C-101B-9397-08002B2CF9AE}" pid="30" name="RecordPoint_ActiveItemListId">
    <vt:lpwstr>{0e59e171-09d8-4401-800a-327154450cb3}</vt:lpwstr>
  </property>
  <property fmtid="{D5CDD505-2E9C-101B-9397-08002B2CF9AE}" pid="31" name="RecordPoint_ActiveItemWebId">
    <vt:lpwstr>{75a71c27-8d66-4282-ae60-1bfc22a83be1}</vt:lpwstr>
  </property>
  <property fmtid="{D5CDD505-2E9C-101B-9397-08002B2CF9AE}" pid="32" name="RecordPoint_RecordNumberSubmitted">
    <vt:lpwstr/>
  </property>
  <property fmtid="{D5CDD505-2E9C-101B-9397-08002B2CF9AE}" pid="33" name="_docset_NoMedatataSyncRequired">
    <vt:lpwstr>False</vt:lpwstr>
  </property>
  <property fmtid="{D5CDD505-2E9C-101B-9397-08002B2CF9AE}" pid="34" name="PM_ProtectiveMarkingImage_Header">
    <vt:lpwstr>C:\Program Files (x86)\Common Files\janusNET Shared\janusSEAL\Images\DocumentSlashBlue.png</vt:lpwstr>
  </property>
  <property fmtid="{D5CDD505-2E9C-101B-9397-08002B2CF9AE}" pid="35" name="PM_ProtectiveMarkingValue_Header">
    <vt:lpwstr>UNCLASSIFIED</vt:lpwstr>
  </property>
  <property fmtid="{D5CDD505-2E9C-101B-9397-08002B2CF9AE}" pid="36" name="PM_ProtectiveMarkingValue_Footer">
    <vt:lpwstr>UNCLASSIFIED</vt:lpwstr>
  </property>
  <property fmtid="{D5CDD505-2E9C-101B-9397-08002B2CF9AE}" pid="37" name="PM_ProtectiveMarkingImage_Footer">
    <vt:lpwstr>C:\Program Files (x86)\Common Files\janusNET Shared\janusSEAL\Images\DocumentSlashBlue.png</vt:lpwstr>
  </property>
  <property fmtid="{D5CDD505-2E9C-101B-9397-08002B2CF9AE}" pid="38" name="PM_Namespace">
    <vt:lpwstr>gov.au</vt:lpwstr>
  </property>
  <property fmtid="{D5CDD505-2E9C-101B-9397-08002B2CF9AE}" pid="39" name="PM_Version">
    <vt:lpwstr>2012.3</vt:lpwstr>
  </property>
  <property fmtid="{D5CDD505-2E9C-101B-9397-08002B2CF9AE}" pid="40" name="PM_Originating_FileId">
    <vt:lpwstr>3F57C0700689463C96F6B2484DF74DAE</vt:lpwstr>
  </property>
  <property fmtid="{D5CDD505-2E9C-101B-9397-08002B2CF9AE}" pid="41" name="PM_MinimumSecurityClassification">
    <vt:lpwstr/>
  </property>
  <property fmtid="{D5CDD505-2E9C-101B-9397-08002B2CF9AE}" pid="42" name="IT system type">
    <vt:lpwstr/>
  </property>
  <property fmtid="{D5CDD505-2E9C-101B-9397-08002B2CF9AE}" pid="43" name="RecordPoint_SubmissionDate">
    <vt:lpwstr/>
  </property>
  <property fmtid="{D5CDD505-2E9C-101B-9397-08002B2CF9AE}" pid="44" name="RecordPoint_ActiveItemMoved">
    <vt:lpwstr/>
  </property>
  <property fmtid="{D5CDD505-2E9C-101B-9397-08002B2CF9AE}" pid="45" name="RecordPoint_RecordFormat">
    <vt:lpwstr/>
  </property>
  <property fmtid="{D5CDD505-2E9C-101B-9397-08002B2CF9AE}" pid="46" name="ContentTypeId">
    <vt:lpwstr>0x0101008CA7A4F8331B45C7B0D3158B4994D0CA0200577EC0F5A1FBFC498F9A8436B963F8A6</vt:lpwstr>
  </property>
  <property fmtid="{D5CDD505-2E9C-101B-9397-08002B2CF9AE}" pid="47" name="PM_Hash_Salt_Prev">
    <vt:lpwstr>A08144FD09941531422A6EF6EA56F534</vt:lpwstr>
  </property>
  <property fmtid="{D5CDD505-2E9C-101B-9397-08002B2CF9AE}" pid="48" name="PM_Originator_Hash_SHA1">
    <vt:lpwstr>C3AD57350F36D8E1BD75F8F67CB06D435C9C43CA</vt:lpwstr>
  </property>
  <property fmtid="{D5CDD505-2E9C-101B-9397-08002B2CF9AE}" pid="49" name="PM_Hash_SHA1">
    <vt:lpwstr>5F096B5480C8E1E9601640D0607DE1DC3C5122F8</vt:lpwstr>
  </property>
  <property fmtid="{D5CDD505-2E9C-101B-9397-08002B2CF9AE}" pid="50" name="PM_Hash_Salt">
    <vt:lpwstr>05709DFD5C51872203D84F1531B8ED5D</vt:lpwstr>
  </property>
  <property fmtid="{D5CDD505-2E9C-101B-9397-08002B2CF9AE}" pid="51" name="PM_OriginationTimeStamp">
    <vt:lpwstr>2017-09-29T01:33:36Z</vt:lpwstr>
  </property>
  <property fmtid="{D5CDD505-2E9C-101B-9397-08002B2CF9AE}" pid="52" name="RecordPoint_SubmissionCompleted">
    <vt:lpwstr/>
  </property>
</Properties>
</file>