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724C2" w14:textId="6A0B7533" w:rsidR="00DE6406" w:rsidRPr="00293241" w:rsidRDefault="00742F5F" w:rsidP="00DE6406">
      <w:pPr>
        <w:ind w:left="0" w:firstLine="0"/>
        <w:rPr>
          <w:color w:val="000000"/>
        </w:rPr>
      </w:pPr>
      <w:r w:rsidRPr="00953F7D">
        <w:rPr>
          <w:rFonts w:ascii="Verdana" w:hAnsi="Verdana" w:cs="Verdana"/>
          <w:noProof/>
          <w:sz w:val="20"/>
          <w:szCs w:val="20"/>
        </w:rPr>
        <w:drawing>
          <wp:inline distT="0" distB="0" distL="0" distR="0" wp14:anchorId="49D0512C" wp14:editId="49D0512D">
            <wp:extent cx="1391285" cy="1105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391285" cy="1105535"/>
                    </a:xfrm>
                    <a:prstGeom prst="rect">
                      <a:avLst/>
                    </a:prstGeom>
                    <a:noFill/>
                    <a:ln w="9525">
                      <a:noFill/>
                      <a:miter lim="800000"/>
                      <a:headEnd/>
                      <a:tailEnd/>
                    </a:ln>
                  </pic:spPr>
                </pic:pic>
              </a:graphicData>
            </a:graphic>
          </wp:inline>
        </w:drawing>
      </w:r>
      <w:r w:rsidRPr="00953F7D">
        <w:rPr>
          <w:rFonts w:ascii="Verdana" w:hAnsi="Verdana" w:cs="Verdana"/>
          <w:b/>
          <w:sz w:val="28"/>
          <w:szCs w:val="28"/>
        </w:rPr>
        <w:t xml:space="preserve"> </w:t>
      </w:r>
    </w:p>
    <w:p w14:paraId="12D9DFA6" w14:textId="7C919E71" w:rsidR="00DE6406" w:rsidRPr="00293241" w:rsidRDefault="00DE6406" w:rsidP="00DE6406">
      <w:pPr>
        <w:spacing w:before="480"/>
        <w:ind w:left="0" w:firstLine="0"/>
        <w:rPr>
          <w:rFonts w:ascii="Arial" w:hAnsi="Arial" w:cs="Arial"/>
          <w:b/>
          <w:bCs/>
          <w:color w:val="000000"/>
          <w:sz w:val="40"/>
          <w:szCs w:val="40"/>
          <w:lang w:eastAsia="en-US"/>
        </w:rPr>
      </w:pPr>
      <w:bookmarkStart w:id="0" w:name="_GoBack"/>
      <w:r w:rsidRPr="00293241">
        <w:rPr>
          <w:rFonts w:ascii="Arial" w:hAnsi="Arial" w:cs="Arial"/>
          <w:b/>
          <w:bCs/>
          <w:color w:val="000000"/>
          <w:sz w:val="40"/>
          <w:szCs w:val="40"/>
          <w:lang w:eastAsia="en-US"/>
        </w:rPr>
        <w:t xml:space="preserve">Banking (prudential standard) determination </w:t>
      </w:r>
      <w:r w:rsidRPr="005F3DD8">
        <w:rPr>
          <w:rFonts w:ascii="Arial" w:hAnsi="Arial" w:cs="Arial"/>
          <w:b/>
          <w:bCs/>
          <w:color w:val="000000"/>
          <w:sz w:val="40"/>
          <w:szCs w:val="40"/>
          <w:lang w:eastAsia="en-US"/>
        </w:rPr>
        <w:t>No.</w:t>
      </w:r>
      <w:r w:rsidR="00C71C0C">
        <w:rPr>
          <w:rFonts w:ascii="Arial" w:hAnsi="Arial" w:cs="Arial"/>
          <w:b/>
          <w:bCs/>
          <w:color w:val="000000"/>
          <w:sz w:val="40"/>
          <w:szCs w:val="40"/>
          <w:lang w:eastAsia="en-US"/>
        </w:rPr>
        <w:t xml:space="preserve">3 </w:t>
      </w:r>
      <w:r w:rsidRPr="005F3DD8">
        <w:rPr>
          <w:rFonts w:ascii="Arial" w:hAnsi="Arial" w:cs="Arial"/>
          <w:b/>
          <w:bCs/>
          <w:color w:val="000000"/>
          <w:sz w:val="40"/>
          <w:szCs w:val="40"/>
          <w:lang w:eastAsia="en-US"/>
        </w:rPr>
        <w:t>of</w:t>
      </w:r>
      <w:r w:rsidRPr="00293241">
        <w:rPr>
          <w:rFonts w:ascii="Arial" w:hAnsi="Arial" w:cs="Arial"/>
          <w:b/>
          <w:bCs/>
          <w:color w:val="000000"/>
          <w:sz w:val="40"/>
          <w:szCs w:val="40"/>
          <w:lang w:eastAsia="en-US"/>
        </w:rPr>
        <w:t xml:space="preserve"> 201</w:t>
      </w:r>
      <w:r>
        <w:rPr>
          <w:rFonts w:ascii="Arial" w:hAnsi="Arial" w:cs="Arial"/>
          <w:b/>
          <w:bCs/>
          <w:color w:val="000000"/>
          <w:sz w:val="40"/>
          <w:szCs w:val="40"/>
          <w:lang w:eastAsia="en-US"/>
        </w:rPr>
        <w:t>8</w:t>
      </w:r>
      <w:bookmarkEnd w:id="0"/>
    </w:p>
    <w:p w14:paraId="4B65AD7C" w14:textId="77777777" w:rsidR="00DE6406" w:rsidRPr="00774C08" w:rsidRDefault="00DE6406" w:rsidP="00DE6406">
      <w:pPr>
        <w:pStyle w:val="Title"/>
        <w:rPr>
          <w:color w:val="000000"/>
          <w:sz w:val="28"/>
          <w:szCs w:val="28"/>
        </w:rPr>
      </w:pPr>
      <w:r w:rsidRPr="00774C08">
        <w:rPr>
          <w:color w:val="000000"/>
          <w:sz w:val="28"/>
          <w:szCs w:val="28"/>
        </w:rPr>
        <w:t>Prudential Standard APS</w:t>
      </w:r>
      <w:r>
        <w:rPr>
          <w:color w:val="000000"/>
          <w:sz w:val="28"/>
          <w:szCs w:val="28"/>
        </w:rPr>
        <w:t xml:space="preserve"> 330 Public Disclosure</w:t>
      </w:r>
    </w:p>
    <w:p w14:paraId="16BD4125" w14:textId="77777777" w:rsidR="00DE6406" w:rsidRPr="00293241" w:rsidRDefault="00DE6406" w:rsidP="00DE6406">
      <w:pPr>
        <w:pBdr>
          <w:bottom w:val="single" w:sz="4" w:space="3" w:color="auto"/>
        </w:pBdr>
        <w:spacing w:before="480" w:after="240"/>
        <w:ind w:left="0" w:firstLine="0"/>
        <w:rPr>
          <w:rFonts w:ascii="Arial" w:hAnsi="Arial"/>
          <w:i/>
          <w:iCs/>
          <w:color w:val="000000"/>
          <w:sz w:val="28"/>
          <w:szCs w:val="20"/>
        </w:rPr>
      </w:pPr>
      <w:r w:rsidRPr="00293241">
        <w:rPr>
          <w:rFonts w:ascii="Arial" w:hAnsi="Arial"/>
          <w:i/>
          <w:iCs/>
          <w:color w:val="000000"/>
          <w:sz w:val="28"/>
          <w:szCs w:val="20"/>
        </w:rPr>
        <w:t>Banking Act 1959</w:t>
      </w:r>
    </w:p>
    <w:p w14:paraId="3B205AF2" w14:textId="77777777" w:rsidR="00DE6406" w:rsidRPr="00293241" w:rsidRDefault="00DE6406" w:rsidP="00735BA4">
      <w:pPr>
        <w:spacing w:before="240" w:after="240"/>
        <w:ind w:left="0" w:firstLine="0"/>
        <w:jc w:val="both"/>
        <w:rPr>
          <w:lang w:eastAsia="en-US"/>
        </w:rPr>
      </w:pPr>
      <w:r w:rsidRPr="00293241">
        <w:rPr>
          <w:lang w:eastAsia="en-US"/>
        </w:rPr>
        <w:t>I, Wayne Byres, delegate of APRA:</w:t>
      </w:r>
    </w:p>
    <w:p w14:paraId="3A1F7CAF" w14:textId="670865EE" w:rsidR="00DE6406" w:rsidRDefault="00DE6406" w:rsidP="00735BA4">
      <w:pPr>
        <w:pStyle w:val="IntroTo"/>
        <w:numPr>
          <w:ilvl w:val="0"/>
          <w:numId w:val="43"/>
        </w:numPr>
        <w:spacing w:after="240"/>
        <w:ind w:hanging="720"/>
        <w:jc w:val="both"/>
        <w:rPr>
          <w:color w:val="000000"/>
          <w:szCs w:val="24"/>
        </w:rPr>
      </w:pPr>
      <w:r>
        <w:rPr>
          <w:color w:val="000000"/>
          <w:szCs w:val="24"/>
        </w:rPr>
        <w:t>under subsection 11AF(3</w:t>
      </w:r>
      <w:r w:rsidRPr="003675D4">
        <w:rPr>
          <w:color w:val="000000"/>
          <w:szCs w:val="24"/>
        </w:rPr>
        <w:t xml:space="preserve">) of the </w:t>
      </w:r>
      <w:r w:rsidRPr="0053639F">
        <w:rPr>
          <w:i/>
          <w:color w:val="000000"/>
          <w:szCs w:val="24"/>
        </w:rPr>
        <w:t>Banking Act 1959</w:t>
      </w:r>
      <w:r w:rsidRPr="00DD6B6C">
        <w:rPr>
          <w:i/>
          <w:color w:val="000000"/>
          <w:szCs w:val="24"/>
        </w:rPr>
        <w:t xml:space="preserve"> </w:t>
      </w:r>
      <w:r w:rsidRPr="007639C3">
        <w:rPr>
          <w:color w:val="000000"/>
          <w:szCs w:val="24"/>
        </w:rPr>
        <w:t xml:space="preserve">(the Act) REVOKE Banking (prudential standard) determination No. </w:t>
      </w:r>
      <w:r>
        <w:rPr>
          <w:color w:val="000000"/>
          <w:szCs w:val="24"/>
        </w:rPr>
        <w:t>3</w:t>
      </w:r>
      <w:r w:rsidRPr="007639C3">
        <w:rPr>
          <w:color w:val="000000"/>
          <w:szCs w:val="24"/>
        </w:rPr>
        <w:t xml:space="preserve"> of 201</w:t>
      </w:r>
      <w:r>
        <w:rPr>
          <w:color w:val="000000"/>
          <w:szCs w:val="24"/>
        </w:rPr>
        <w:t>5</w:t>
      </w:r>
      <w:r w:rsidRPr="007639C3">
        <w:rPr>
          <w:color w:val="000000"/>
          <w:szCs w:val="24"/>
        </w:rPr>
        <w:t xml:space="preserve">, including </w:t>
      </w:r>
      <w:r w:rsidRPr="007639C3">
        <w:rPr>
          <w:i/>
          <w:color w:val="000000"/>
          <w:szCs w:val="24"/>
        </w:rPr>
        <w:t xml:space="preserve">Prudential Standard APS </w:t>
      </w:r>
      <w:r>
        <w:rPr>
          <w:i/>
          <w:color w:val="000000"/>
          <w:szCs w:val="24"/>
        </w:rPr>
        <w:t>330 Public Disclosure</w:t>
      </w:r>
      <w:r w:rsidR="00297B45">
        <w:rPr>
          <w:color w:val="000000"/>
          <w:szCs w:val="24"/>
        </w:rPr>
        <w:t>,</w:t>
      </w:r>
      <w:r>
        <w:rPr>
          <w:color w:val="000000"/>
          <w:szCs w:val="24"/>
        </w:rPr>
        <w:t xml:space="preserve"> made under that Determination; and</w:t>
      </w:r>
    </w:p>
    <w:p w14:paraId="64FF1A77" w14:textId="77777777" w:rsidR="00DE6406" w:rsidRPr="005C5087" w:rsidRDefault="00DE6406" w:rsidP="00735BA4">
      <w:pPr>
        <w:pStyle w:val="IntroTo"/>
        <w:numPr>
          <w:ilvl w:val="0"/>
          <w:numId w:val="43"/>
        </w:numPr>
        <w:spacing w:before="120" w:after="240"/>
        <w:ind w:hanging="720"/>
        <w:jc w:val="both"/>
        <w:rPr>
          <w:color w:val="000000"/>
          <w:szCs w:val="24"/>
        </w:rPr>
      </w:pPr>
      <w:r w:rsidRPr="0005427E">
        <w:rPr>
          <w:color w:val="000000"/>
          <w:szCs w:val="24"/>
        </w:rPr>
        <w:t xml:space="preserve">under </w:t>
      </w:r>
      <w:r w:rsidRPr="005C5087">
        <w:rPr>
          <w:color w:val="000000"/>
          <w:szCs w:val="24"/>
        </w:rPr>
        <w:t xml:space="preserve">subsection 11AF(1) of the Act DETERMINE </w:t>
      </w:r>
      <w:r w:rsidRPr="005C5087">
        <w:rPr>
          <w:i/>
          <w:color w:val="000000"/>
          <w:szCs w:val="24"/>
        </w:rPr>
        <w:t>Prudential Standard APS 330 Public Disclosure</w:t>
      </w:r>
      <w:r w:rsidRPr="005C5087">
        <w:rPr>
          <w:color w:val="000000"/>
          <w:szCs w:val="24"/>
        </w:rPr>
        <w:t>, in the form set out in the Schedule, which applies to ADIs and authorised NOHCs to the extent provided in paragraphs 2 to 4 of the prudential standard.</w:t>
      </w:r>
    </w:p>
    <w:p w14:paraId="2264FB4A" w14:textId="4D5F8E33" w:rsidR="00DE6406" w:rsidRPr="00945F1D" w:rsidRDefault="00DE6406" w:rsidP="00735BA4">
      <w:pPr>
        <w:spacing w:after="240"/>
        <w:ind w:left="0" w:firstLine="0"/>
        <w:jc w:val="both"/>
      </w:pPr>
      <w:r w:rsidRPr="005C5087">
        <w:t xml:space="preserve">This </w:t>
      </w:r>
      <w:r w:rsidRPr="00945F1D">
        <w:t xml:space="preserve">instrument </w:t>
      </w:r>
      <w:r w:rsidR="00735BA4">
        <w:t>commences</w:t>
      </w:r>
      <w:r w:rsidRPr="00945F1D">
        <w:t xml:space="preserve"> on 1 </w:t>
      </w:r>
      <w:r>
        <w:t>July 2018</w:t>
      </w:r>
      <w:r w:rsidRPr="00945F1D">
        <w:t>.</w:t>
      </w:r>
    </w:p>
    <w:p w14:paraId="3284E22D" w14:textId="78C7AFDF" w:rsidR="00DE6406" w:rsidRPr="00293241" w:rsidRDefault="00DE6406" w:rsidP="00735BA4">
      <w:pPr>
        <w:spacing w:after="480"/>
        <w:ind w:left="0" w:firstLine="0"/>
        <w:jc w:val="both"/>
      </w:pPr>
      <w:r w:rsidRPr="00945F1D">
        <w:t>Dated:</w:t>
      </w:r>
      <w:r w:rsidR="00813758">
        <w:t xml:space="preserve"> </w:t>
      </w:r>
      <w:r w:rsidR="008E3478">
        <w:t xml:space="preserve">18 </w:t>
      </w:r>
      <w:r w:rsidR="00297B45">
        <w:t>April</w:t>
      </w:r>
      <w:r w:rsidR="00297B45" w:rsidRPr="009C3F64">
        <w:t xml:space="preserve"> </w:t>
      </w:r>
      <w:r w:rsidRPr="009C3F64">
        <w:t>201</w:t>
      </w:r>
      <w:r>
        <w:t>8</w:t>
      </w:r>
    </w:p>
    <w:p w14:paraId="721454E3" w14:textId="3CE039F9" w:rsidR="00C95B83" w:rsidRDefault="000714A6" w:rsidP="00DE6406">
      <w:pPr>
        <w:ind w:left="0" w:firstLine="0"/>
        <w:jc w:val="both"/>
      </w:pPr>
      <w:r>
        <w:t>[Signed]</w:t>
      </w:r>
    </w:p>
    <w:p w14:paraId="74384845" w14:textId="77777777" w:rsidR="00C95B83" w:rsidRDefault="00C95B83" w:rsidP="00DE6406">
      <w:pPr>
        <w:ind w:left="0" w:firstLine="0"/>
        <w:jc w:val="both"/>
      </w:pPr>
    </w:p>
    <w:p w14:paraId="2EE5B76F" w14:textId="77777777" w:rsidR="00DE6406" w:rsidRPr="00293241" w:rsidRDefault="00DE6406" w:rsidP="00DE6406">
      <w:pPr>
        <w:ind w:left="0" w:firstLine="0"/>
        <w:jc w:val="both"/>
      </w:pPr>
      <w:r w:rsidRPr="00293241">
        <w:t>Wayne Byres</w:t>
      </w:r>
    </w:p>
    <w:p w14:paraId="3DBAE40F" w14:textId="77777777" w:rsidR="00DE6406" w:rsidRPr="00293241" w:rsidRDefault="00DE6406" w:rsidP="00DE6406">
      <w:pPr>
        <w:ind w:left="0" w:firstLine="0"/>
        <w:jc w:val="both"/>
      </w:pPr>
      <w:r w:rsidRPr="00293241">
        <w:t>Chairman</w:t>
      </w:r>
    </w:p>
    <w:p w14:paraId="45CBD8E8" w14:textId="77777777" w:rsidR="00DE6406" w:rsidRDefault="00DE6406" w:rsidP="00735BA4">
      <w:pPr>
        <w:spacing w:after="480"/>
        <w:ind w:left="0" w:firstLine="0"/>
        <w:jc w:val="both"/>
      </w:pPr>
      <w:r w:rsidRPr="00293241">
        <w:t>APRA</w:t>
      </w:r>
    </w:p>
    <w:p w14:paraId="0F509C2E" w14:textId="77777777" w:rsidR="00735BA4" w:rsidRPr="00735BA4" w:rsidRDefault="00735BA4" w:rsidP="00DD6B6C">
      <w:pPr>
        <w:keepNext/>
        <w:spacing w:before="120"/>
        <w:ind w:left="0" w:firstLine="0"/>
        <w:jc w:val="both"/>
        <w:rPr>
          <w:b/>
        </w:rPr>
      </w:pPr>
      <w:r w:rsidRPr="00735BA4">
        <w:rPr>
          <w:b/>
        </w:rPr>
        <w:t>Interpretation</w:t>
      </w:r>
    </w:p>
    <w:p w14:paraId="22843A00" w14:textId="77777777" w:rsidR="00735BA4" w:rsidRDefault="00735BA4" w:rsidP="00DD6B6C">
      <w:pPr>
        <w:keepNext/>
        <w:spacing w:before="120"/>
        <w:ind w:left="0" w:firstLine="0"/>
        <w:jc w:val="both"/>
      </w:pPr>
      <w:r>
        <w:t>In this Determination:</w:t>
      </w:r>
    </w:p>
    <w:p w14:paraId="45B1C8B3" w14:textId="77777777" w:rsidR="00735BA4" w:rsidRDefault="00735BA4" w:rsidP="00DD6B6C">
      <w:pPr>
        <w:spacing w:before="120"/>
        <w:ind w:left="0" w:firstLine="0"/>
        <w:jc w:val="both"/>
      </w:pPr>
      <w:r w:rsidRPr="00735BA4">
        <w:rPr>
          <w:b/>
          <w:i/>
        </w:rPr>
        <w:t xml:space="preserve">ADI </w:t>
      </w:r>
      <w:r>
        <w:t>has the meaning given in section 5 of the Act.</w:t>
      </w:r>
    </w:p>
    <w:p w14:paraId="506D456E" w14:textId="77777777" w:rsidR="00735BA4" w:rsidRDefault="00735BA4" w:rsidP="00DD6B6C">
      <w:pPr>
        <w:spacing w:before="120"/>
        <w:ind w:left="0" w:firstLine="0"/>
        <w:jc w:val="both"/>
      </w:pPr>
      <w:r w:rsidRPr="00735BA4">
        <w:rPr>
          <w:b/>
          <w:i/>
        </w:rPr>
        <w:t>APRA</w:t>
      </w:r>
      <w:r>
        <w:t xml:space="preserve"> means the Australian Prudential Regulation Authority.</w:t>
      </w:r>
    </w:p>
    <w:p w14:paraId="0B0D74F7" w14:textId="275A735D" w:rsidR="00CD267A" w:rsidRDefault="00735BA4" w:rsidP="004C6E20">
      <w:pPr>
        <w:spacing w:before="120"/>
        <w:ind w:left="0" w:firstLine="0"/>
        <w:jc w:val="both"/>
        <w:rPr>
          <w:rFonts w:ascii="Arial" w:hAnsi="Arial" w:cs="Arial"/>
          <w:b/>
          <w:sz w:val="32"/>
          <w:szCs w:val="32"/>
        </w:rPr>
      </w:pPr>
      <w:r w:rsidRPr="00735BA4">
        <w:rPr>
          <w:b/>
          <w:i/>
        </w:rPr>
        <w:t>authorised NOHC</w:t>
      </w:r>
      <w:r>
        <w:t xml:space="preserve"> has the meaning given in section 5 of the Act.</w:t>
      </w:r>
    </w:p>
    <w:p w14:paraId="1E4CDFB4" w14:textId="1E3CF8F9" w:rsidR="00735BA4" w:rsidRPr="003B4366" w:rsidRDefault="00CD267A" w:rsidP="003B4366">
      <w:pPr>
        <w:keepNext/>
        <w:spacing w:after="240"/>
        <w:ind w:left="0" w:firstLine="0"/>
        <w:jc w:val="both"/>
        <w:rPr>
          <w:rFonts w:ascii="Arial" w:hAnsi="Arial" w:cs="Arial"/>
          <w:b/>
          <w:sz w:val="32"/>
          <w:szCs w:val="32"/>
        </w:rPr>
      </w:pPr>
      <w:r>
        <w:rPr>
          <w:rFonts w:ascii="Arial" w:hAnsi="Arial" w:cs="Arial"/>
          <w:b/>
          <w:sz w:val="32"/>
          <w:szCs w:val="32"/>
        </w:rPr>
        <w:br w:type="page"/>
      </w:r>
      <w:r w:rsidR="00735BA4" w:rsidRPr="003B4366">
        <w:rPr>
          <w:rFonts w:ascii="Arial" w:hAnsi="Arial" w:cs="Arial"/>
          <w:b/>
          <w:sz w:val="32"/>
          <w:szCs w:val="32"/>
        </w:rPr>
        <w:lastRenderedPageBreak/>
        <w:t xml:space="preserve">Schedule </w:t>
      </w:r>
    </w:p>
    <w:p w14:paraId="0ECD28F0" w14:textId="643C880D" w:rsidR="00735BA4" w:rsidRPr="00293241" w:rsidRDefault="00735BA4" w:rsidP="00735BA4">
      <w:pPr>
        <w:spacing w:after="240"/>
        <w:ind w:left="0" w:firstLine="0"/>
        <w:jc w:val="both"/>
      </w:pPr>
      <w:r w:rsidRPr="003B4366">
        <w:rPr>
          <w:i/>
        </w:rPr>
        <w:t>Prudential Standard APS 330 Public Disclosure</w:t>
      </w:r>
      <w:r>
        <w:t xml:space="preserve"> comprises the </w:t>
      </w:r>
      <w:r w:rsidR="004C6E20">
        <w:t>document</w:t>
      </w:r>
      <w:r>
        <w:t xml:space="preserve"> commencing on the following page.</w:t>
      </w:r>
    </w:p>
    <w:p w14:paraId="20634A08" w14:textId="191A6A86" w:rsidR="00DE6406" w:rsidRDefault="00DE6406" w:rsidP="003B4366">
      <w:pPr>
        <w:spacing w:after="240"/>
        <w:ind w:left="0" w:firstLine="0"/>
        <w:jc w:val="both"/>
        <w:rPr>
          <w:rFonts w:ascii="Verdana" w:hAnsi="Verdana" w:cs="Verdana"/>
          <w:b/>
          <w:sz w:val="28"/>
          <w:szCs w:val="28"/>
        </w:rPr>
        <w:sectPr w:rsidR="00DE6406" w:rsidSect="00735BA4">
          <w:headerReference w:type="default" r:id="rId14"/>
          <w:footerReference w:type="default" r:id="rId15"/>
          <w:footerReference w:type="first" r:id="rId16"/>
          <w:pgSz w:w="11906" w:h="16838"/>
          <w:pgMar w:top="1440" w:right="1797" w:bottom="1440" w:left="1797" w:header="709" w:footer="709" w:gutter="0"/>
          <w:cols w:space="708"/>
          <w:docGrid w:linePitch="360"/>
        </w:sectPr>
      </w:pPr>
    </w:p>
    <w:p w14:paraId="49D04549" w14:textId="549C26ED" w:rsidR="00742F5F" w:rsidRPr="00DE6406" w:rsidRDefault="00735BA4" w:rsidP="00742F5F">
      <w:pPr>
        <w:spacing w:after="240"/>
        <w:jc w:val="both"/>
      </w:pPr>
      <w:r w:rsidRPr="00293241">
        <w:rPr>
          <w:noProof/>
          <w:color w:val="000000"/>
        </w:rPr>
        <w:lastRenderedPageBreak/>
        <w:drawing>
          <wp:inline distT="0" distB="0" distL="0" distR="0" wp14:anchorId="058E468A" wp14:editId="3E34D9F3">
            <wp:extent cx="141922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49D0454B" w14:textId="77777777" w:rsidR="00742F5F" w:rsidRPr="00953F7D" w:rsidRDefault="00742F5F" w:rsidP="00742F5F">
      <w:pPr>
        <w:spacing w:before="120" w:after="240"/>
        <w:jc w:val="both"/>
        <w:rPr>
          <w:rFonts w:ascii="Arial" w:hAnsi="Arial"/>
          <w:b/>
          <w:sz w:val="40"/>
          <w:szCs w:val="40"/>
        </w:rPr>
      </w:pPr>
      <w:r w:rsidRPr="00953F7D">
        <w:rPr>
          <w:rFonts w:ascii="Arial" w:hAnsi="Arial"/>
          <w:b/>
          <w:sz w:val="40"/>
          <w:szCs w:val="40"/>
        </w:rPr>
        <w:t>Prudential Standard APS 330</w:t>
      </w:r>
    </w:p>
    <w:p w14:paraId="49D0454C" w14:textId="77777777" w:rsidR="00742F5F" w:rsidRPr="00953F7D" w:rsidRDefault="00742F5F" w:rsidP="00742F5F">
      <w:pPr>
        <w:spacing w:before="120" w:after="240"/>
        <w:jc w:val="both"/>
        <w:rPr>
          <w:rFonts w:ascii="Arial" w:hAnsi="Arial"/>
          <w:b/>
          <w:sz w:val="40"/>
          <w:szCs w:val="40"/>
        </w:rPr>
      </w:pPr>
      <w:r w:rsidRPr="00953F7D">
        <w:rPr>
          <w:rFonts w:ascii="Arial" w:hAnsi="Arial"/>
          <w:b/>
          <w:sz w:val="40"/>
          <w:szCs w:val="40"/>
        </w:rPr>
        <w:t>Public Disclosure</w:t>
      </w:r>
    </w:p>
    <w:tbl>
      <w:tblPr>
        <w:tblStyle w:val="TableGrid"/>
        <w:tblW w:w="0" w:type="auto"/>
        <w:tblLook w:val="04A0" w:firstRow="1" w:lastRow="0" w:firstColumn="1" w:lastColumn="0" w:noHBand="0" w:noVBand="1"/>
      </w:tblPr>
      <w:tblGrid>
        <w:gridCol w:w="8302"/>
      </w:tblGrid>
      <w:tr w:rsidR="00200AEC" w:rsidRPr="00953F7D" w14:paraId="49D0455A" w14:textId="77777777" w:rsidTr="00681CB2">
        <w:tc>
          <w:tcPr>
            <w:tcW w:w="8302" w:type="dxa"/>
            <w:shd w:val="clear" w:color="auto" w:fill="D9D9D9" w:themeFill="background1" w:themeFillShade="D9"/>
          </w:tcPr>
          <w:p w14:paraId="49D0454D" w14:textId="77777777" w:rsidR="00200AEC" w:rsidRPr="00953F7D" w:rsidRDefault="00200AEC" w:rsidP="00DE6406">
            <w:pPr>
              <w:spacing w:before="240" w:after="360"/>
              <w:ind w:left="0" w:firstLine="0"/>
              <w:jc w:val="both"/>
              <w:rPr>
                <w:rFonts w:ascii="Arial" w:hAnsi="Arial" w:cs="Arial"/>
                <w:b/>
                <w:sz w:val="32"/>
                <w:szCs w:val="32"/>
              </w:rPr>
            </w:pPr>
            <w:r w:rsidRPr="00953F7D">
              <w:rPr>
                <w:rFonts w:ascii="Arial" w:hAnsi="Arial" w:cs="Arial"/>
                <w:b/>
                <w:sz w:val="32"/>
                <w:szCs w:val="32"/>
              </w:rPr>
              <w:t>Objective and key requirements of this Prudential Standard</w:t>
            </w:r>
          </w:p>
          <w:p w14:paraId="49D0454F" w14:textId="559985C4" w:rsidR="00DB6885" w:rsidRPr="00953F7D" w:rsidRDefault="00DB6885" w:rsidP="00DE6406">
            <w:pPr>
              <w:spacing w:after="240"/>
              <w:ind w:left="0" w:firstLine="0"/>
              <w:jc w:val="both"/>
            </w:pPr>
            <w:r w:rsidRPr="00953F7D">
              <w:t>This Prudential Standard requires a locally</w:t>
            </w:r>
            <w:r w:rsidR="00E65637">
              <w:t>-</w:t>
            </w:r>
            <w:r w:rsidRPr="00953F7D">
              <w:t xml:space="preserve">incorporated authorised deposit-taking institution (ADI) to meet minimum requirements for the public disclosure of </w:t>
            </w:r>
            <w:r w:rsidR="00445D9B">
              <w:t xml:space="preserve">key </w:t>
            </w:r>
            <w:r w:rsidRPr="00953F7D">
              <w:t xml:space="preserve">information on its capital, risk exposures, remuneration </w:t>
            </w:r>
            <w:r w:rsidR="008C748E" w:rsidRPr="00953F7D">
              <w:t xml:space="preserve">practices </w:t>
            </w:r>
            <w:r w:rsidRPr="00953F7D">
              <w:t xml:space="preserve">and, where applicable, its </w:t>
            </w:r>
            <w:r w:rsidR="001142D9" w:rsidRPr="00953F7D">
              <w:t>leverage ratio, liquidity coverage r</w:t>
            </w:r>
            <w:r w:rsidRPr="00953F7D">
              <w:t>atio</w:t>
            </w:r>
            <w:r w:rsidR="00445D9B">
              <w:t>, net stable funding ratio</w:t>
            </w:r>
            <w:r w:rsidRPr="00953F7D">
              <w:t xml:space="preserve"> and </w:t>
            </w:r>
            <w:r w:rsidR="001142D9" w:rsidRPr="00953F7D">
              <w:t xml:space="preserve">indicators for the identification of potential </w:t>
            </w:r>
            <w:r w:rsidRPr="00953F7D">
              <w:t>gl</w:t>
            </w:r>
            <w:r w:rsidR="001142D9" w:rsidRPr="00953F7D">
              <w:t>obal systemically important banks</w:t>
            </w:r>
            <w:r w:rsidRPr="00953F7D">
              <w:t xml:space="preserve">, so as to contribute to the transparency of financial markets and to enhance market discipline. </w:t>
            </w:r>
          </w:p>
          <w:p w14:paraId="49D04551" w14:textId="77777777" w:rsidR="00DB6885" w:rsidRPr="00953F7D" w:rsidRDefault="00DB6885" w:rsidP="00DE6406">
            <w:pPr>
              <w:spacing w:after="240"/>
              <w:jc w:val="both"/>
            </w:pPr>
            <w:r w:rsidRPr="00953F7D">
              <w:t xml:space="preserve">The key requirements of this Prudential Standard are that an ADI must disclose: </w:t>
            </w:r>
          </w:p>
          <w:p w14:paraId="49D04552" w14:textId="77777777" w:rsidR="00DB6885" w:rsidRPr="00953F7D" w:rsidRDefault="00DB6885" w:rsidP="00DE6406">
            <w:pPr>
              <w:numPr>
                <w:ilvl w:val="0"/>
                <w:numId w:val="33"/>
              </w:numPr>
              <w:spacing w:before="240" w:after="120"/>
              <w:ind w:left="567" w:hanging="567"/>
              <w:jc w:val="both"/>
            </w:pPr>
            <w:r w:rsidRPr="00953F7D">
              <w:t>the composition of its regulatory capital in a standard form;</w:t>
            </w:r>
          </w:p>
          <w:p w14:paraId="49D04553" w14:textId="77777777" w:rsidR="00DB6885" w:rsidRPr="00953F7D" w:rsidRDefault="00DB6885" w:rsidP="00DE6406">
            <w:pPr>
              <w:numPr>
                <w:ilvl w:val="0"/>
                <w:numId w:val="33"/>
              </w:numPr>
              <w:spacing w:after="120"/>
              <w:ind w:left="567" w:hanging="567"/>
              <w:jc w:val="both"/>
            </w:pPr>
            <w:r w:rsidRPr="00953F7D">
              <w:t>a reconciliation between the composition of its regulatory capital and its audited financial statements;</w:t>
            </w:r>
          </w:p>
          <w:p w14:paraId="49D04554" w14:textId="77777777" w:rsidR="00DB6885" w:rsidRPr="00953F7D" w:rsidRDefault="00DB6885" w:rsidP="00DE6406">
            <w:pPr>
              <w:numPr>
                <w:ilvl w:val="0"/>
                <w:numId w:val="33"/>
              </w:numPr>
              <w:spacing w:after="120"/>
              <w:ind w:left="567" w:hanging="567"/>
              <w:jc w:val="both"/>
            </w:pPr>
            <w:r w:rsidRPr="00953F7D">
              <w:t>the full terms and conditions of its regulatory capital instruments and the main features of these instruments in a standard form;</w:t>
            </w:r>
          </w:p>
          <w:p w14:paraId="49D04555" w14:textId="77777777" w:rsidR="00DB6885" w:rsidRPr="00953F7D" w:rsidRDefault="00DB6885" w:rsidP="00DE6406">
            <w:pPr>
              <w:numPr>
                <w:ilvl w:val="0"/>
                <w:numId w:val="33"/>
              </w:numPr>
              <w:spacing w:after="120"/>
              <w:ind w:left="567" w:hanging="567"/>
              <w:jc w:val="both"/>
            </w:pPr>
            <w:r w:rsidRPr="00953F7D">
              <w:t>quantitative and qualitative information about its capital adequacy, credit and other risks, with the extent of disclosure dependent on whether it has approval to use ‘advanced approaches’ to measure credit risk and operational risk;</w:t>
            </w:r>
          </w:p>
          <w:p w14:paraId="49D04556" w14:textId="77777777" w:rsidR="00DB6885" w:rsidRPr="00953F7D" w:rsidRDefault="00DB6885" w:rsidP="00DE6406">
            <w:pPr>
              <w:numPr>
                <w:ilvl w:val="0"/>
                <w:numId w:val="33"/>
              </w:numPr>
              <w:spacing w:after="120"/>
              <w:ind w:left="567" w:hanging="567"/>
              <w:jc w:val="both"/>
            </w:pPr>
            <w:r w:rsidRPr="00953F7D">
              <w:t xml:space="preserve">where </w:t>
            </w:r>
            <w:r w:rsidR="00C8675A" w:rsidRPr="00953F7D">
              <w:t>applicable</w:t>
            </w:r>
            <w:r w:rsidRPr="00953F7D">
              <w:t xml:space="preserve">, quantitative and qualitative information on its </w:t>
            </w:r>
            <w:r w:rsidR="00296B8D" w:rsidRPr="00953F7D">
              <w:t>l</w:t>
            </w:r>
            <w:r w:rsidRPr="00953F7D">
              <w:t xml:space="preserve">iquidity </w:t>
            </w:r>
            <w:r w:rsidR="00296B8D" w:rsidRPr="00953F7D">
              <w:t>coverage r</w:t>
            </w:r>
            <w:r w:rsidRPr="00953F7D">
              <w:t>atio</w:t>
            </w:r>
            <w:r w:rsidR="00445D9B">
              <w:t xml:space="preserve"> and net stable funding ratio</w:t>
            </w:r>
            <w:r w:rsidRPr="00953F7D">
              <w:t xml:space="preserve">; </w:t>
            </w:r>
          </w:p>
          <w:p w14:paraId="49D04557" w14:textId="77777777" w:rsidR="00DB6885" w:rsidRPr="00953F7D" w:rsidRDefault="00304A33" w:rsidP="00DE6406">
            <w:pPr>
              <w:numPr>
                <w:ilvl w:val="0"/>
                <w:numId w:val="33"/>
              </w:numPr>
              <w:spacing w:after="120"/>
              <w:ind w:left="567" w:hanging="567"/>
              <w:jc w:val="both"/>
            </w:pPr>
            <w:r w:rsidRPr="00953F7D">
              <w:t xml:space="preserve">where </w:t>
            </w:r>
            <w:r w:rsidR="00C8675A" w:rsidRPr="00953F7D">
              <w:t>applicable</w:t>
            </w:r>
            <w:r w:rsidRPr="00953F7D">
              <w:t xml:space="preserve">, </w:t>
            </w:r>
            <w:r w:rsidR="00DB6885" w:rsidRPr="00953F7D">
              <w:t>quantitative and qualitative information about its leverage ratio;</w:t>
            </w:r>
          </w:p>
          <w:p w14:paraId="49D04558" w14:textId="77777777" w:rsidR="00DB6885" w:rsidRPr="00953F7D" w:rsidRDefault="00DB6885" w:rsidP="00DE6406">
            <w:pPr>
              <w:numPr>
                <w:ilvl w:val="0"/>
                <w:numId w:val="33"/>
              </w:numPr>
              <w:spacing w:after="120"/>
              <w:ind w:left="567" w:hanging="567"/>
              <w:jc w:val="both"/>
            </w:pPr>
            <w:r w:rsidRPr="00953F7D">
              <w:t>quantitative and qualitative information on its approach to remuneration, including aggregate information on its remuneration of senior managers and material risk-takers; and</w:t>
            </w:r>
          </w:p>
          <w:p w14:paraId="49D04559" w14:textId="77777777" w:rsidR="00200AEC" w:rsidRPr="00953F7D" w:rsidRDefault="00DB6885" w:rsidP="00DE6406">
            <w:pPr>
              <w:numPr>
                <w:ilvl w:val="0"/>
                <w:numId w:val="33"/>
              </w:numPr>
              <w:spacing w:after="120"/>
              <w:ind w:left="567" w:hanging="567"/>
              <w:jc w:val="both"/>
            </w:pPr>
            <w:r w:rsidRPr="00953F7D">
              <w:t xml:space="preserve">where </w:t>
            </w:r>
            <w:r w:rsidR="00C8675A" w:rsidRPr="00953F7D">
              <w:t>applicable</w:t>
            </w:r>
            <w:r w:rsidRPr="00953F7D">
              <w:t>, quantitative information on the global systemically important banks indicators.</w:t>
            </w:r>
          </w:p>
        </w:tc>
      </w:tr>
    </w:tbl>
    <w:p w14:paraId="2241FEBB" w14:textId="77777777" w:rsidR="00DE6406" w:rsidRDefault="00DE6406" w:rsidP="00904CDC">
      <w:pPr>
        <w:shd w:val="clear" w:color="auto" w:fill="FFFFFF"/>
        <w:spacing w:after="240"/>
        <w:ind w:left="0" w:hanging="284"/>
        <w:jc w:val="both"/>
        <w:rPr>
          <w:rFonts w:ascii="Arial" w:hAnsi="Arial"/>
          <w:b/>
          <w:bCs/>
        </w:rPr>
        <w:sectPr w:rsidR="00DE6406" w:rsidSect="009410BF">
          <w:headerReference w:type="default" r:id="rId17"/>
          <w:footerReference w:type="default" r:id="rId18"/>
          <w:pgSz w:w="11906" w:h="16838"/>
          <w:pgMar w:top="1440" w:right="1797" w:bottom="1440" w:left="1797" w:header="709" w:footer="709" w:gutter="0"/>
          <w:pgNumType w:start="1"/>
          <w:cols w:space="708"/>
          <w:docGrid w:linePitch="360"/>
        </w:sectPr>
      </w:pPr>
    </w:p>
    <w:p w14:paraId="49D0455D" w14:textId="77777777" w:rsidR="00742F5F" w:rsidRPr="00953F7D" w:rsidRDefault="00742F5F" w:rsidP="00904CDC">
      <w:pPr>
        <w:shd w:val="clear" w:color="auto" w:fill="FFFFFF"/>
        <w:spacing w:after="240"/>
        <w:ind w:left="0" w:hanging="284"/>
        <w:jc w:val="both"/>
        <w:rPr>
          <w:rFonts w:ascii="Arial" w:hAnsi="Arial"/>
          <w:b/>
          <w:bCs/>
        </w:rPr>
      </w:pPr>
      <w:r w:rsidRPr="00953F7D">
        <w:rPr>
          <w:rFonts w:ascii="Arial" w:hAnsi="Arial"/>
          <w:b/>
          <w:bCs/>
        </w:rPr>
        <w:lastRenderedPageBreak/>
        <w:t>Table of contents</w:t>
      </w:r>
    </w:p>
    <w:p w14:paraId="66948091" w14:textId="781B3391" w:rsidR="003336A1" w:rsidRPr="00DE6406" w:rsidRDefault="002C0991">
      <w:pPr>
        <w:pStyle w:val="TOC3"/>
        <w:rPr>
          <w:rFonts w:ascii="Arial" w:eastAsiaTheme="minorEastAsia" w:hAnsi="Arial" w:cs="Arial"/>
          <w:sz w:val="22"/>
          <w:szCs w:val="22"/>
        </w:rPr>
      </w:pPr>
      <w:r w:rsidRPr="00DE6406">
        <w:rPr>
          <w:rFonts w:ascii="Arial" w:hAnsi="Arial" w:cs="Arial"/>
          <w:bCs/>
        </w:rPr>
        <w:fldChar w:fldCharType="begin"/>
      </w:r>
      <w:r w:rsidRPr="00DE6406">
        <w:rPr>
          <w:rFonts w:ascii="Arial" w:hAnsi="Arial" w:cs="Arial"/>
          <w:bCs/>
        </w:rPr>
        <w:instrText xml:space="preserve"> TOC \o "1-4" \h \z \u </w:instrText>
      </w:r>
      <w:r w:rsidRPr="00DE6406">
        <w:rPr>
          <w:rFonts w:ascii="Arial" w:hAnsi="Arial" w:cs="Arial"/>
          <w:bCs/>
        </w:rPr>
        <w:fldChar w:fldCharType="separate"/>
      </w:r>
      <w:hyperlink w:anchor="_Toc506285980" w:history="1">
        <w:r w:rsidR="003336A1" w:rsidRPr="00DE6406">
          <w:rPr>
            <w:rStyle w:val="Hyperlink"/>
            <w:rFonts w:ascii="Arial" w:hAnsi="Arial" w:cs="Arial"/>
          </w:rPr>
          <w:t>Authority</w:t>
        </w:r>
        <w:r w:rsidR="003336A1" w:rsidRPr="00DE6406">
          <w:rPr>
            <w:rFonts w:ascii="Arial" w:hAnsi="Arial" w:cs="Arial"/>
            <w:webHidden/>
          </w:rPr>
          <w:tab/>
        </w:r>
        <w:r w:rsidR="003336A1" w:rsidRPr="00DE6406">
          <w:rPr>
            <w:rFonts w:ascii="Arial" w:hAnsi="Arial" w:cs="Arial"/>
            <w:webHidden/>
          </w:rPr>
          <w:fldChar w:fldCharType="begin"/>
        </w:r>
        <w:r w:rsidR="003336A1" w:rsidRPr="00DE6406">
          <w:rPr>
            <w:rFonts w:ascii="Arial" w:hAnsi="Arial" w:cs="Arial"/>
            <w:webHidden/>
          </w:rPr>
          <w:instrText xml:space="preserve"> PAGEREF _Toc506285980 \h </w:instrText>
        </w:r>
        <w:r w:rsidR="003336A1" w:rsidRPr="00DE6406">
          <w:rPr>
            <w:rFonts w:ascii="Arial" w:hAnsi="Arial" w:cs="Arial"/>
            <w:webHidden/>
          </w:rPr>
        </w:r>
        <w:r w:rsidR="003336A1" w:rsidRPr="00DE6406">
          <w:rPr>
            <w:rFonts w:ascii="Arial" w:hAnsi="Arial" w:cs="Arial"/>
            <w:webHidden/>
          </w:rPr>
          <w:fldChar w:fldCharType="separate"/>
        </w:r>
        <w:r w:rsidR="002F7A37">
          <w:rPr>
            <w:rFonts w:ascii="Arial" w:hAnsi="Arial" w:cs="Arial"/>
            <w:webHidden/>
          </w:rPr>
          <w:t>3</w:t>
        </w:r>
        <w:r w:rsidR="003336A1" w:rsidRPr="00DE6406">
          <w:rPr>
            <w:rFonts w:ascii="Arial" w:hAnsi="Arial" w:cs="Arial"/>
            <w:webHidden/>
          </w:rPr>
          <w:fldChar w:fldCharType="end"/>
        </w:r>
      </w:hyperlink>
    </w:p>
    <w:p w14:paraId="6A1538B4" w14:textId="46962D0C" w:rsidR="003336A1" w:rsidRPr="00DE6406" w:rsidRDefault="000714A6">
      <w:pPr>
        <w:pStyle w:val="TOC3"/>
        <w:rPr>
          <w:rFonts w:ascii="Arial" w:eastAsiaTheme="minorEastAsia" w:hAnsi="Arial" w:cs="Arial"/>
          <w:sz w:val="22"/>
          <w:szCs w:val="22"/>
        </w:rPr>
      </w:pPr>
      <w:hyperlink w:anchor="_Toc506285981" w:history="1">
        <w:r w:rsidR="003336A1" w:rsidRPr="00DE6406">
          <w:rPr>
            <w:rStyle w:val="Hyperlink"/>
            <w:rFonts w:ascii="Arial" w:hAnsi="Arial" w:cs="Arial"/>
          </w:rPr>
          <w:t>Application</w:t>
        </w:r>
        <w:r w:rsidR="003336A1" w:rsidRPr="00DE6406">
          <w:rPr>
            <w:rFonts w:ascii="Arial" w:hAnsi="Arial" w:cs="Arial"/>
            <w:webHidden/>
          </w:rPr>
          <w:tab/>
        </w:r>
        <w:r w:rsidR="003336A1" w:rsidRPr="00DE6406">
          <w:rPr>
            <w:rFonts w:ascii="Arial" w:hAnsi="Arial" w:cs="Arial"/>
            <w:webHidden/>
          </w:rPr>
          <w:fldChar w:fldCharType="begin"/>
        </w:r>
        <w:r w:rsidR="003336A1" w:rsidRPr="00DE6406">
          <w:rPr>
            <w:rFonts w:ascii="Arial" w:hAnsi="Arial" w:cs="Arial"/>
            <w:webHidden/>
          </w:rPr>
          <w:instrText xml:space="preserve"> PAGEREF _Toc506285981 \h </w:instrText>
        </w:r>
        <w:r w:rsidR="003336A1" w:rsidRPr="00DE6406">
          <w:rPr>
            <w:rFonts w:ascii="Arial" w:hAnsi="Arial" w:cs="Arial"/>
            <w:webHidden/>
          </w:rPr>
        </w:r>
        <w:r w:rsidR="003336A1" w:rsidRPr="00DE6406">
          <w:rPr>
            <w:rFonts w:ascii="Arial" w:hAnsi="Arial" w:cs="Arial"/>
            <w:webHidden/>
          </w:rPr>
          <w:fldChar w:fldCharType="separate"/>
        </w:r>
        <w:r w:rsidR="002F7A37">
          <w:rPr>
            <w:rFonts w:ascii="Arial" w:hAnsi="Arial" w:cs="Arial"/>
            <w:webHidden/>
          </w:rPr>
          <w:t>3</w:t>
        </w:r>
        <w:r w:rsidR="003336A1" w:rsidRPr="00DE6406">
          <w:rPr>
            <w:rFonts w:ascii="Arial" w:hAnsi="Arial" w:cs="Arial"/>
            <w:webHidden/>
          </w:rPr>
          <w:fldChar w:fldCharType="end"/>
        </w:r>
      </w:hyperlink>
    </w:p>
    <w:p w14:paraId="4B2D3F29" w14:textId="0A4B0A71" w:rsidR="003336A1" w:rsidRPr="00DE6406" w:rsidRDefault="000714A6">
      <w:pPr>
        <w:pStyle w:val="TOC3"/>
        <w:rPr>
          <w:rFonts w:ascii="Arial" w:eastAsiaTheme="minorEastAsia" w:hAnsi="Arial" w:cs="Arial"/>
          <w:sz w:val="22"/>
          <w:szCs w:val="22"/>
        </w:rPr>
      </w:pPr>
      <w:hyperlink w:anchor="_Toc506285982" w:history="1">
        <w:r w:rsidR="003336A1" w:rsidRPr="00DE6406">
          <w:rPr>
            <w:rStyle w:val="Hyperlink"/>
            <w:rFonts w:ascii="Arial" w:hAnsi="Arial" w:cs="Arial"/>
          </w:rPr>
          <w:t>Interpretation</w:t>
        </w:r>
        <w:r w:rsidR="003336A1" w:rsidRPr="00DE6406">
          <w:rPr>
            <w:rFonts w:ascii="Arial" w:hAnsi="Arial" w:cs="Arial"/>
            <w:webHidden/>
          </w:rPr>
          <w:tab/>
        </w:r>
        <w:r w:rsidR="003336A1" w:rsidRPr="00DE6406">
          <w:rPr>
            <w:rFonts w:ascii="Arial" w:hAnsi="Arial" w:cs="Arial"/>
            <w:webHidden/>
          </w:rPr>
          <w:fldChar w:fldCharType="begin"/>
        </w:r>
        <w:r w:rsidR="003336A1" w:rsidRPr="00DE6406">
          <w:rPr>
            <w:rFonts w:ascii="Arial" w:hAnsi="Arial" w:cs="Arial"/>
            <w:webHidden/>
          </w:rPr>
          <w:instrText xml:space="preserve"> PAGEREF _Toc506285982 \h </w:instrText>
        </w:r>
        <w:r w:rsidR="003336A1" w:rsidRPr="00DE6406">
          <w:rPr>
            <w:rFonts w:ascii="Arial" w:hAnsi="Arial" w:cs="Arial"/>
            <w:webHidden/>
          </w:rPr>
        </w:r>
        <w:r w:rsidR="003336A1" w:rsidRPr="00DE6406">
          <w:rPr>
            <w:rFonts w:ascii="Arial" w:hAnsi="Arial" w:cs="Arial"/>
            <w:webHidden/>
          </w:rPr>
          <w:fldChar w:fldCharType="separate"/>
        </w:r>
        <w:r w:rsidR="002F7A37">
          <w:rPr>
            <w:rFonts w:ascii="Arial" w:hAnsi="Arial" w:cs="Arial"/>
            <w:webHidden/>
          </w:rPr>
          <w:t>3</w:t>
        </w:r>
        <w:r w:rsidR="003336A1" w:rsidRPr="00DE6406">
          <w:rPr>
            <w:rFonts w:ascii="Arial" w:hAnsi="Arial" w:cs="Arial"/>
            <w:webHidden/>
          </w:rPr>
          <w:fldChar w:fldCharType="end"/>
        </w:r>
      </w:hyperlink>
    </w:p>
    <w:p w14:paraId="21DCE5B5" w14:textId="7BDC45CC" w:rsidR="003336A1" w:rsidRPr="00DE6406" w:rsidRDefault="000714A6">
      <w:pPr>
        <w:pStyle w:val="TOC3"/>
        <w:rPr>
          <w:rFonts w:ascii="Arial" w:eastAsiaTheme="minorEastAsia" w:hAnsi="Arial" w:cs="Arial"/>
          <w:sz w:val="22"/>
          <w:szCs w:val="22"/>
        </w:rPr>
      </w:pPr>
      <w:hyperlink w:anchor="_Toc506285983" w:history="1">
        <w:r w:rsidR="003336A1" w:rsidRPr="00DE6406">
          <w:rPr>
            <w:rStyle w:val="Hyperlink"/>
            <w:rFonts w:ascii="Arial" w:hAnsi="Arial" w:cs="Arial"/>
          </w:rPr>
          <w:t>Key principles</w:t>
        </w:r>
        <w:r w:rsidR="003336A1" w:rsidRPr="00DE6406">
          <w:rPr>
            <w:rFonts w:ascii="Arial" w:hAnsi="Arial" w:cs="Arial"/>
            <w:webHidden/>
          </w:rPr>
          <w:tab/>
        </w:r>
        <w:r w:rsidR="003336A1" w:rsidRPr="00DE6406">
          <w:rPr>
            <w:rFonts w:ascii="Arial" w:hAnsi="Arial" w:cs="Arial"/>
            <w:webHidden/>
          </w:rPr>
          <w:fldChar w:fldCharType="begin"/>
        </w:r>
        <w:r w:rsidR="003336A1" w:rsidRPr="00DE6406">
          <w:rPr>
            <w:rFonts w:ascii="Arial" w:hAnsi="Arial" w:cs="Arial"/>
            <w:webHidden/>
          </w:rPr>
          <w:instrText xml:space="preserve"> PAGEREF _Toc506285983 \h </w:instrText>
        </w:r>
        <w:r w:rsidR="003336A1" w:rsidRPr="00DE6406">
          <w:rPr>
            <w:rFonts w:ascii="Arial" w:hAnsi="Arial" w:cs="Arial"/>
            <w:webHidden/>
          </w:rPr>
        </w:r>
        <w:r w:rsidR="003336A1" w:rsidRPr="00DE6406">
          <w:rPr>
            <w:rFonts w:ascii="Arial" w:hAnsi="Arial" w:cs="Arial"/>
            <w:webHidden/>
          </w:rPr>
          <w:fldChar w:fldCharType="separate"/>
        </w:r>
        <w:r w:rsidR="002F7A37">
          <w:rPr>
            <w:rFonts w:ascii="Arial" w:hAnsi="Arial" w:cs="Arial"/>
            <w:webHidden/>
          </w:rPr>
          <w:t>3</w:t>
        </w:r>
        <w:r w:rsidR="003336A1" w:rsidRPr="00DE6406">
          <w:rPr>
            <w:rFonts w:ascii="Arial" w:hAnsi="Arial" w:cs="Arial"/>
            <w:webHidden/>
          </w:rPr>
          <w:fldChar w:fldCharType="end"/>
        </w:r>
      </w:hyperlink>
    </w:p>
    <w:p w14:paraId="3265141E" w14:textId="4C6E9E84" w:rsidR="003336A1" w:rsidRPr="00DE6406" w:rsidRDefault="000714A6">
      <w:pPr>
        <w:pStyle w:val="TOC3"/>
        <w:rPr>
          <w:rFonts w:ascii="Arial" w:eastAsiaTheme="minorEastAsia" w:hAnsi="Arial" w:cs="Arial"/>
          <w:sz w:val="22"/>
          <w:szCs w:val="22"/>
        </w:rPr>
      </w:pPr>
      <w:hyperlink w:anchor="_Toc506285984" w:history="1">
        <w:r w:rsidR="003336A1" w:rsidRPr="00DE6406">
          <w:rPr>
            <w:rStyle w:val="Hyperlink"/>
            <w:rFonts w:ascii="Arial" w:hAnsi="Arial" w:cs="Arial"/>
          </w:rPr>
          <w:t>Definitions</w:t>
        </w:r>
        <w:r w:rsidR="003336A1" w:rsidRPr="00DE6406">
          <w:rPr>
            <w:rFonts w:ascii="Arial" w:hAnsi="Arial" w:cs="Arial"/>
            <w:webHidden/>
          </w:rPr>
          <w:tab/>
        </w:r>
        <w:r w:rsidR="003336A1" w:rsidRPr="00DE6406">
          <w:rPr>
            <w:rFonts w:ascii="Arial" w:hAnsi="Arial" w:cs="Arial"/>
            <w:webHidden/>
          </w:rPr>
          <w:fldChar w:fldCharType="begin"/>
        </w:r>
        <w:r w:rsidR="003336A1" w:rsidRPr="00DE6406">
          <w:rPr>
            <w:rFonts w:ascii="Arial" w:hAnsi="Arial" w:cs="Arial"/>
            <w:webHidden/>
          </w:rPr>
          <w:instrText xml:space="preserve"> PAGEREF _Toc506285984 \h </w:instrText>
        </w:r>
        <w:r w:rsidR="003336A1" w:rsidRPr="00DE6406">
          <w:rPr>
            <w:rFonts w:ascii="Arial" w:hAnsi="Arial" w:cs="Arial"/>
            <w:webHidden/>
          </w:rPr>
        </w:r>
        <w:r w:rsidR="003336A1" w:rsidRPr="00DE6406">
          <w:rPr>
            <w:rFonts w:ascii="Arial" w:hAnsi="Arial" w:cs="Arial"/>
            <w:webHidden/>
          </w:rPr>
          <w:fldChar w:fldCharType="separate"/>
        </w:r>
        <w:r w:rsidR="002F7A37">
          <w:rPr>
            <w:rFonts w:ascii="Arial" w:hAnsi="Arial" w:cs="Arial"/>
            <w:webHidden/>
          </w:rPr>
          <w:t>4</w:t>
        </w:r>
        <w:r w:rsidR="003336A1" w:rsidRPr="00DE6406">
          <w:rPr>
            <w:rFonts w:ascii="Arial" w:hAnsi="Arial" w:cs="Arial"/>
            <w:webHidden/>
          </w:rPr>
          <w:fldChar w:fldCharType="end"/>
        </w:r>
      </w:hyperlink>
    </w:p>
    <w:p w14:paraId="1C991F05" w14:textId="5E5D3D8E" w:rsidR="003336A1" w:rsidRPr="00DE6406" w:rsidRDefault="000714A6">
      <w:pPr>
        <w:pStyle w:val="TOC3"/>
        <w:rPr>
          <w:rFonts w:ascii="Arial" w:eastAsiaTheme="minorEastAsia" w:hAnsi="Arial" w:cs="Arial"/>
          <w:sz w:val="22"/>
          <w:szCs w:val="22"/>
        </w:rPr>
      </w:pPr>
      <w:hyperlink w:anchor="_Toc506285986" w:history="1">
        <w:r w:rsidR="003336A1" w:rsidRPr="00DE6406">
          <w:rPr>
            <w:rStyle w:val="Hyperlink"/>
            <w:rFonts w:ascii="Arial" w:hAnsi="Arial" w:cs="Arial"/>
          </w:rPr>
          <w:t>Capital disclosure requirements</w:t>
        </w:r>
        <w:r w:rsidR="003336A1" w:rsidRPr="00DE6406">
          <w:rPr>
            <w:rFonts w:ascii="Arial" w:hAnsi="Arial" w:cs="Arial"/>
            <w:webHidden/>
          </w:rPr>
          <w:tab/>
        </w:r>
        <w:r w:rsidR="003336A1" w:rsidRPr="00DE6406">
          <w:rPr>
            <w:rFonts w:ascii="Arial" w:hAnsi="Arial" w:cs="Arial"/>
            <w:webHidden/>
          </w:rPr>
          <w:fldChar w:fldCharType="begin"/>
        </w:r>
        <w:r w:rsidR="003336A1" w:rsidRPr="00DE6406">
          <w:rPr>
            <w:rFonts w:ascii="Arial" w:hAnsi="Arial" w:cs="Arial"/>
            <w:webHidden/>
          </w:rPr>
          <w:instrText xml:space="preserve"> PAGEREF _Toc506285986 \h </w:instrText>
        </w:r>
        <w:r w:rsidR="003336A1" w:rsidRPr="00DE6406">
          <w:rPr>
            <w:rFonts w:ascii="Arial" w:hAnsi="Arial" w:cs="Arial"/>
            <w:webHidden/>
          </w:rPr>
        </w:r>
        <w:r w:rsidR="003336A1" w:rsidRPr="00DE6406">
          <w:rPr>
            <w:rFonts w:ascii="Arial" w:hAnsi="Arial" w:cs="Arial"/>
            <w:webHidden/>
          </w:rPr>
          <w:fldChar w:fldCharType="separate"/>
        </w:r>
        <w:r w:rsidR="002F7A37">
          <w:rPr>
            <w:rFonts w:ascii="Arial" w:hAnsi="Arial" w:cs="Arial"/>
            <w:webHidden/>
          </w:rPr>
          <w:t>5</w:t>
        </w:r>
        <w:r w:rsidR="003336A1" w:rsidRPr="00DE6406">
          <w:rPr>
            <w:rFonts w:ascii="Arial" w:hAnsi="Arial" w:cs="Arial"/>
            <w:webHidden/>
          </w:rPr>
          <w:fldChar w:fldCharType="end"/>
        </w:r>
      </w:hyperlink>
    </w:p>
    <w:p w14:paraId="3947D3BD" w14:textId="3A0F4914" w:rsidR="003336A1" w:rsidRPr="00DE6406" w:rsidRDefault="000714A6">
      <w:pPr>
        <w:pStyle w:val="TOC3"/>
        <w:rPr>
          <w:rFonts w:ascii="Arial" w:eastAsiaTheme="minorEastAsia" w:hAnsi="Arial" w:cs="Arial"/>
          <w:sz w:val="22"/>
          <w:szCs w:val="22"/>
        </w:rPr>
      </w:pPr>
      <w:hyperlink w:anchor="_Toc506285987" w:history="1">
        <w:r w:rsidR="003336A1" w:rsidRPr="00DE6406">
          <w:rPr>
            <w:rStyle w:val="Hyperlink"/>
            <w:rFonts w:ascii="Arial" w:hAnsi="Arial" w:cs="Arial"/>
          </w:rPr>
          <w:t>Risk exposure and assessment disclosures</w:t>
        </w:r>
        <w:r w:rsidR="003336A1" w:rsidRPr="00DE6406">
          <w:rPr>
            <w:rFonts w:ascii="Arial" w:hAnsi="Arial" w:cs="Arial"/>
            <w:webHidden/>
          </w:rPr>
          <w:tab/>
        </w:r>
        <w:r w:rsidR="003336A1" w:rsidRPr="00DE6406">
          <w:rPr>
            <w:rFonts w:ascii="Arial" w:hAnsi="Arial" w:cs="Arial"/>
            <w:webHidden/>
          </w:rPr>
          <w:fldChar w:fldCharType="begin"/>
        </w:r>
        <w:r w:rsidR="003336A1" w:rsidRPr="00DE6406">
          <w:rPr>
            <w:rFonts w:ascii="Arial" w:hAnsi="Arial" w:cs="Arial"/>
            <w:webHidden/>
          </w:rPr>
          <w:instrText xml:space="preserve"> PAGEREF _Toc506285987 \h </w:instrText>
        </w:r>
        <w:r w:rsidR="003336A1" w:rsidRPr="00DE6406">
          <w:rPr>
            <w:rFonts w:ascii="Arial" w:hAnsi="Arial" w:cs="Arial"/>
            <w:webHidden/>
          </w:rPr>
        </w:r>
        <w:r w:rsidR="003336A1" w:rsidRPr="00DE6406">
          <w:rPr>
            <w:rFonts w:ascii="Arial" w:hAnsi="Arial" w:cs="Arial"/>
            <w:webHidden/>
          </w:rPr>
          <w:fldChar w:fldCharType="separate"/>
        </w:r>
        <w:r w:rsidR="002F7A37">
          <w:rPr>
            <w:rFonts w:ascii="Arial" w:hAnsi="Arial" w:cs="Arial"/>
            <w:webHidden/>
          </w:rPr>
          <w:t>6</w:t>
        </w:r>
        <w:r w:rsidR="003336A1" w:rsidRPr="00DE6406">
          <w:rPr>
            <w:rFonts w:ascii="Arial" w:hAnsi="Arial" w:cs="Arial"/>
            <w:webHidden/>
          </w:rPr>
          <w:fldChar w:fldCharType="end"/>
        </w:r>
      </w:hyperlink>
    </w:p>
    <w:p w14:paraId="1392DA19" w14:textId="77734B98" w:rsidR="003336A1" w:rsidRPr="00DE6406" w:rsidRDefault="000714A6">
      <w:pPr>
        <w:pStyle w:val="TOC3"/>
        <w:rPr>
          <w:rFonts w:ascii="Arial" w:eastAsiaTheme="minorEastAsia" w:hAnsi="Arial" w:cs="Arial"/>
          <w:sz w:val="22"/>
          <w:szCs w:val="22"/>
        </w:rPr>
      </w:pPr>
      <w:hyperlink w:anchor="_Toc506285988" w:history="1">
        <w:r w:rsidR="003336A1" w:rsidRPr="00DE6406">
          <w:rPr>
            <w:rStyle w:val="Hyperlink"/>
            <w:rFonts w:ascii="Arial" w:hAnsi="Arial" w:cs="Arial"/>
          </w:rPr>
          <w:t>Leverage ratio disclosures</w:t>
        </w:r>
        <w:r w:rsidR="003336A1" w:rsidRPr="00DE6406">
          <w:rPr>
            <w:rFonts w:ascii="Arial" w:hAnsi="Arial" w:cs="Arial"/>
            <w:webHidden/>
          </w:rPr>
          <w:tab/>
        </w:r>
        <w:r w:rsidR="003336A1" w:rsidRPr="00DE6406">
          <w:rPr>
            <w:rFonts w:ascii="Arial" w:hAnsi="Arial" w:cs="Arial"/>
            <w:webHidden/>
          </w:rPr>
          <w:fldChar w:fldCharType="begin"/>
        </w:r>
        <w:r w:rsidR="003336A1" w:rsidRPr="00DE6406">
          <w:rPr>
            <w:rFonts w:ascii="Arial" w:hAnsi="Arial" w:cs="Arial"/>
            <w:webHidden/>
          </w:rPr>
          <w:instrText xml:space="preserve"> PAGEREF _Toc506285988 \h </w:instrText>
        </w:r>
        <w:r w:rsidR="003336A1" w:rsidRPr="00DE6406">
          <w:rPr>
            <w:rFonts w:ascii="Arial" w:hAnsi="Arial" w:cs="Arial"/>
            <w:webHidden/>
          </w:rPr>
        </w:r>
        <w:r w:rsidR="003336A1" w:rsidRPr="00DE6406">
          <w:rPr>
            <w:rFonts w:ascii="Arial" w:hAnsi="Arial" w:cs="Arial"/>
            <w:webHidden/>
          </w:rPr>
          <w:fldChar w:fldCharType="separate"/>
        </w:r>
        <w:r w:rsidR="002F7A37">
          <w:rPr>
            <w:rFonts w:ascii="Arial" w:hAnsi="Arial" w:cs="Arial"/>
            <w:webHidden/>
          </w:rPr>
          <w:t>6</w:t>
        </w:r>
        <w:r w:rsidR="003336A1" w:rsidRPr="00DE6406">
          <w:rPr>
            <w:rFonts w:ascii="Arial" w:hAnsi="Arial" w:cs="Arial"/>
            <w:webHidden/>
          </w:rPr>
          <w:fldChar w:fldCharType="end"/>
        </w:r>
      </w:hyperlink>
    </w:p>
    <w:p w14:paraId="03C59BCC" w14:textId="1D28036D" w:rsidR="003336A1" w:rsidRPr="00DE6406" w:rsidRDefault="000714A6">
      <w:pPr>
        <w:pStyle w:val="TOC3"/>
        <w:rPr>
          <w:rFonts w:ascii="Arial" w:eastAsiaTheme="minorEastAsia" w:hAnsi="Arial" w:cs="Arial"/>
          <w:sz w:val="22"/>
          <w:szCs w:val="22"/>
        </w:rPr>
      </w:pPr>
      <w:hyperlink w:anchor="_Toc506285989" w:history="1">
        <w:r w:rsidR="003336A1" w:rsidRPr="00DE6406">
          <w:rPr>
            <w:rStyle w:val="Hyperlink"/>
            <w:rFonts w:ascii="Arial" w:hAnsi="Arial" w:cs="Arial"/>
          </w:rPr>
          <w:t>Liquidity disclosures</w:t>
        </w:r>
        <w:r w:rsidR="003336A1" w:rsidRPr="00DE6406">
          <w:rPr>
            <w:rFonts w:ascii="Arial" w:hAnsi="Arial" w:cs="Arial"/>
            <w:webHidden/>
          </w:rPr>
          <w:tab/>
        </w:r>
        <w:r w:rsidR="003336A1" w:rsidRPr="00DE6406">
          <w:rPr>
            <w:rFonts w:ascii="Arial" w:hAnsi="Arial" w:cs="Arial"/>
            <w:webHidden/>
          </w:rPr>
          <w:fldChar w:fldCharType="begin"/>
        </w:r>
        <w:r w:rsidR="003336A1" w:rsidRPr="00DE6406">
          <w:rPr>
            <w:rFonts w:ascii="Arial" w:hAnsi="Arial" w:cs="Arial"/>
            <w:webHidden/>
          </w:rPr>
          <w:instrText xml:space="preserve"> PAGEREF _Toc506285989 \h </w:instrText>
        </w:r>
        <w:r w:rsidR="003336A1" w:rsidRPr="00DE6406">
          <w:rPr>
            <w:rFonts w:ascii="Arial" w:hAnsi="Arial" w:cs="Arial"/>
            <w:webHidden/>
          </w:rPr>
        </w:r>
        <w:r w:rsidR="003336A1" w:rsidRPr="00DE6406">
          <w:rPr>
            <w:rFonts w:ascii="Arial" w:hAnsi="Arial" w:cs="Arial"/>
            <w:webHidden/>
          </w:rPr>
          <w:fldChar w:fldCharType="separate"/>
        </w:r>
        <w:r w:rsidR="002F7A37">
          <w:rPr>
            <w:rFonts w:ascii="Arial" w:hAnsi="Arial" w:cs="Arial"/>
            <w:webHidden/>
          </w:rPr>
          <w:t>7</w:t>
        </w:r>
        <w:r w:rsidR="003336A1" w:rsidRPr="00DE6406">
          <w:rPr>
            <w:rFonts w:ascii="Arial" w:hAnsi="Arial" w:cs="Arial"/>
            <w:webHidden/>
          </w:rPr>
          <w:fldChar w:fldCharType="end"/>
        </w:r>
      </w:hyperlink>
    </w:p>
    <w:p w14:paraId="188A21CF" w14:textId="1B74668F" w:rsidR="003336A1" w:rsidRPr="00DE6406" w:rsidRDefault="000714A6">
      <w:pPr>
        <w:pStyle w:val="TOC3"/>
        <w:rPr>
          <w:rFonts w:ascii="Arial" w:eastAsiaTheme="minorEastAsia" w:hAnsi="Arial" w:cs="Arial"/>
          <w:sz w:val="22"/>
          <w:szCs w:val="22"/>
        </w:rPr>
      </w:pPr>
      <w:hyperlink w:anchor="_Toc506286000" w:history="1">
        <w:r w:rsidR="003336A1" w:rsidRPr="00DE6406">
          <w:rPr>
            <w:rStyle w:val="Hyperlink"/>
            <w:rFonts w:ascii="Arial" w:hAnsi="Arial" w:cs="Arial"/>
          </w:rPr>
          <w:t>Remuneration disclosures</w:t>
        </w:r>
        <w:r w:rsidR="003336A1" w:rsidRPr="00DE6406">
          <w:rPr>
            <w:rFonts w:ascii="Arial" w:hAnsi="Arial" w:cs="Arial"/>
            <w:webHidden/>
          </w:rPr>
          <w:tab/>
        </w:r>
        <w:r w:rsidR="003336A1" w:rsidRPr="00DE6406">
          <w:rPr>
            <w:rFonts w:ascii="Arial" w:hAnsi="Arial" w:cs="Arial"/>
            <w:webHidden/>
          </w:rPr>
          <w:fldChar w:fldCharType="begin"/>
        </w:r>
        <w:r w:rsidR="003336A1" w:rsidRPr="00DE6406">
          <w:rPr>
            <w:rFonts w:ascii="Arial" w:hAnsi="Arial" w:cs="Arial"/>
            <w:webHidden/>
          </w:rPr>
          <w:instrText xml:space="preserve"> PAGEREF _Toc506286000 \h </w:instrText>
        </w:r>
        <w:r w:rsidR="003336A1" w:rsidRPr="00DE6406">
          <w:rPr>
            <w:rFonts w:ascii="Arial" w:hAnsi="Arial" w:cs="Arial"/>
            <w:webHidden/>
          </w:rPr>
        </w:r>
        <w:r w:rsidR="003336A1" w:rsidRPr="00DE6406">
          <w:rPr>
            <w:rFonts w:ascii="Arial" w:hAnsi="Arial" w:cs="Arial"/>
            <w:webHidden/>
          </w:rPr>
          <w:fldChar w:fldCharType="separate"/>
        </w:r>
        <w:r w:rsidR="002F7A37">
          <w:rPr>
            <w:rFonts w:ascii="Arial" w:hAnsi="Arial" w:cs="Arial"/>
            <w:webHidden/>
          </w:rPr>
          <w:t>7</w:t>
        </w:r>
        <w:r w:rsidR="003336A1" w:rsidRPr="00DE6406">
          <w:rPr>
            <w:rFonts w:ascii="Arial" w:hAnsi="Arial" w:cs="Arial"/>
            <w:webHidden/>
          </w:rPr>
          <w:fldChar w:fldCharType="end"/>
        </w:r>
      </w:hyperlink>
    </w:p>
    <w:p w14:paraId="340DEAB5" w14:textId="7A32D2B5" w:rsidR="003336A1" w:rsidRPr="00DE6406" w:rsidRDefault="000714A6">
      <w:pPr>
        <w:pStyle w:val="TOC3"/>
        <w:rPr>
          <w:rFonts w:ascii="Arial" w:eastAsiaTheme="minorEastAsia" w:hAnsi="Arial" w:cs="Arial"/>
          <w:sz w:val="22"/>
          <w:szCs w:val="22"/>
        </w:rPr>
      </w:pPr>
      <w:hyperlink w:anchor="_Toc506286003" w:history="1">
        <w:r w:rsidR="003336A1" w:rsidRPr="00DE6406">
          <w:rPr>
            <w:rStyle w:val="Hyperlink"/>
            <w:rFonts w:ascii="Arial" w:hAnsi="Arial" w:cs="Arial"/>
          </w:rPr>
          <w:t>Disclosures for the identification of potential G-SIBs</w:t>
        </w:r>
        <w:r w:rsidR="003336A1" w:rsidRPr="00DE6406">
          <w:rPr>
            <w:rFonts w:ascii="Arial" w:hAnsi="Arial" w:cs="Arial"/>
            <w:webHidden/>
          </w:rPr>
          <w:tab/>
        </w:r>
        <w:r w:rsidR="003336A1" w:rsidRPr="00DE6406">
          <w:rPr>
            <w:rFonts w:ascii="Arial" w:hAnsi="Arial" w:cs="Arial"/>
            <w:webHidden/>
          </w:rPr>
          <w:fldChar w:fldCharType="begin"/>
        </w:r>
        <w:r w:rsidR="003336A1" w:rsidRPr="00DE6406">
          <w:rPr>
            <w:rFonts w:ascii="Arial" w:hAnsi="Arial" w:cs="Arial"/>
            <w:webHidden/>
          </w:rPr>
          <w:instrText xml:space="preserve"> PAGEREF _Toc506286003 \h </w:instrText>
        </w:r>
        <w:r w:rsidR="003336A1" w:rsidRPr="00DE6406">
          <w:rPr>
            <w:rFonts w:ascii="Arial" w:hAnsi="Arial" w:cs="Arial"/>
            <w:webHidden/>
          </w:rPr>
        </w:r>
        <w:r w:rsidR="003336A1" w:rsidRPr="00DE6406">
          <w:rPr>
            <w:rFonts w:ascii="Arial" w:hAnsi="Arial" w:cs="Arial"/>
            <w:webHidden/>
          </w:rPr>
          <w:fldChar w:fldCharType="separate"/>
        </w:r>
        <w:r w:rsidR="002F7A37">
          <w:rPr>
            <w:rFonts w:ascii="Arial" w:hAnsi="Arial" w:cs="Arial"/>
            <w:webHidden/>
          </w:rPr>
          <w:t>8</w:t>
        </w:r>
        <w:r w:rsidR="003336A1" w:rsidRPr="00DE6406">
          <w:rPr>
            <w:rFonts w:ascii="Arial" w:hAnsi="Arial" w:cs="Arial"/>
            <w:webHidden/>
          </w:rPr>
          <w:fldChar w:fldCharType="end"/>
        </w:r>
      </w:hyperlink>
    </w:p>
    <w:p w14:paraId="14F1EFFB" w14:textId="0ACA6DEE" w:rsidR="003336A1" w:rsidRPr="00DE6406" w:rsidRDefault="000714A6">
      <w:pPr>
        <w:pStyle w:val="TOC3"/>
        <w:rPr>
          <w:rFonts w:ascii="Arial" w:eastAsiaTheme="minorEastAsia" w:hAnsi="Arial" w:cs="Arial"/>
          <w:sz w:val="22"/>
          <w:szCs w:val="22"/>
        </w:rPr>
      </w:pPr>
      <w:hyperlink w:anchor="_Toc506286004" w:history="1">
        <w:r w:rsidR="003336A1" w:rsidRPr="00DE6406">
          <w:rPr>
            <w:rStyle w:val="Hyperlink"/>
            <w:rFonts w:ascii="Arial" w:hAnsi="Arial" w:cs="Arial"/>
          </w:rPr>
          <w:t>General requirements</w:t>
        </w:r>
        <w:r w:rsidR="003336A1" w:rsidRPr="00DE6406">
          <w:rPr>
            <w:rFonts w:ascii="Arial" w:hAnsi="Arial" w:cs="Arial"/>
            <w:webHidden/>
          </w:rPr>
          <w:tab/>
        </w:r>
        <w:r w:rsidR="003336A1" w:rsidRPr="00DE6406">
          <w:rPr>
            <w:rFonts w:ascii="Arial" w:hAnsi="Arial" w:cs="Arial"/>
            <w:webHidden/>
          </w:rPr>
          <w:fldChar w:fldCharType="begin"/>
        </w:r>
        <w:r w:rsidR="003336A1" w:rsidRPr="00DE6406">
          <w:rPr>
            <w:rFonts w:ascii="Arial" w:hAnsi="Arial" w:cs="Arial"/>
            <w:webHidden/>
          </w:rPr>
          <w:instrText xml:space="preserve"> PAGEREF _Toc506286004 \h </w:instrText>
        </w:r>
        <w:r w:rsidR="003336A1" w:rsidRPr="00DE6406">
          <w:rPr>
            <w:rFonts w:ascii="Arial" w:hAnsi="Arial" w:cs="Arial"/>
            <w:webHidden/>
          </w:rPr>
        </w:r>
        <w:r w:rsidR="003336A1" w:rsidRPr="00DE6406">
          <w:rPr>
            <w:rFonts w:ascii="Arial" w:hAnsi="Arial" w:cs="Arial"/>
            <w:webHidden/>
          </w:rPr>
          <w:fldChar w:fldCharType="separate"/>
        </w:r>
        <w:r w:rsidR="002F7A37">
          <w:rPr>
            <w:rFonts w:ascii="Arial" w:hAnsi="Arial" w:cs="Arial"/>
            <w:webHidden/>
          </w:rPr>
          <w:t>8</w:t>
        </w:r>
        <w:r w:rsidR="003336A1" w:rsidRPr="00DE6406">
          <w:rPr>
            <w:rFonts w:ascii="Arial" w:hAnsi="Arial" w:cs="Arial"/>
            <w:webHidden/>
          </w:rPr>
          <w:fldChar w:fldCharType="end"/>
        </w:r>
      </w:hyperlink>
    </w:p>
    <w:p w14:paraId="73FF41B8" w14:textId="08BDD3CB" w:rsidR="003336A1" w:rsidRPr="00DE6406" w:rsidRDefault="000714A6">
      <w:pPr>
        <w:pStyle w:val="TOC3"/>
        <w:rPr>
          <w:rFonts w:ascii="Arial" w:eastAsiaTheme="minorEastAsia" w:hAnsi="Arial" w:cs="Arial"/>
          <w:sz w:val="22"/>
          <w:szCs w:val="22"/>
        </w:rPr>
      </w:pPr>
      <w:hyperlink w:anchor="_Toc506286032" w:history="1">
        <w:r w:rsidR="003336A1" w:rsidRPr="00DE6406">
          <w:rPr>
            <w:rStyle w:val="Hyperlink"/>
            <w:rFonts w:ascii="Arial" w:hAnsi="Arial" w:cs="Arial"/>
            <w:iCs/>
          </w:rPr>
          <w:t>Attachment A</w:t>
        </w:r>
        <w:r w:rsidR="0063203B" w:rsidRPr="00DE6406">
          <w:rPr>
            <w:rStyle w:val="Hyperlink"/>
            <w:rFonts w:ascii="Arial" w:hAnsi="Arial" w:cs="Arial"/>
            <w:iCs/>
          </w:rPr>
          <w:t xml:space="preserve"> Capital disclosure template</w:t>
        </w:r>
        <w:r w:rsidR="003336A1" w:rsidRPr="00DE6406">
          <w:rPr>
            <w:rFonts w:ascii="Arial" w:hAnsi="Arial" w:cs="Arial"/>
            <w:webHidden/>
          </w:rPr>
          <w:tab/>
        </w:r>
        <w:r w:rsidR="003336A1" w:rsidRPr="00DE6406">
          <w:rPr>
            <w:rFonts w:ascii="Arial" w:hAnsi="Arial" w:cs="Arial"/>
            <w:webHidden/>
          </w:rPr>
          <w:fldChar w:fldCharType="begin"/>
        </w:r>
        <w:r w:rsidR="003336A1" w:rsidRPr="00DE6406">
          <w:rPr>
            <w:rFonts w:ascii="Arial" w:hAnsi="Arial" w:cs="Arial"/>
            <w:webHidden/>
          </w:rPr>
          <w:instrText xml:space="preserve"> PAGEREF _Toc506286032 \h </w:instrText>
        </w:r>
        <w:r w:rsidR="003336A1" w:rsidRPr="00DE6406">
          <w:rPr>
            <w:rFonts w:ascii="Arial" w:hAnsi="Arial" w:cs="Arial"/>
            <w:webHidden/>
          </w:rPr>
        </w:r>
        <w:r w:rsidR="003336A1" w:rsidRPr="00DE6406">
          <w:rPr>
            <w:rFonts w:ascii="Arial" w:hAnsi="Arial" w:cs="Arial"/>
            <w:webHidden/>
          </w:rPr>
          <w:fldChar w:fldCharType="separate"/>
        </w:r>
        <w:r w:rsidR="002F7A37">
          <w:rPr>
            <w:rFonts w:ascii="Arial" w:hAnsi="Arial" w:cs="Arial"/>
            <w:webHidden/>
          </w:rPr>
          <w:t>14</w:t>
        </w:r>
        <w:r w:rsidR="003336A1" w:rsidRPr="00DE6406">
          <w:rPr>
            <w:rFonts w:ascii="Arial" w:hAnsi="Arial" w:cs="Arial"/>
            <w:webHidden/>
          </w:rPr>
          <w:fldChar w:fldCharType="end"/>
        </w:r>
      </w:hyperlink>
    </w:p>
    <w:p w14:paraId="04BA260A" w14:textId="5207EBA9" w:rsidR="003336A1" w:rsidRPr="00DE6406" w:rsidRDefault="000714A6">
      <w:pPr>
        <w:pStyle w:val="TOC3"/>
        <w:rPr>
          <w:rFonts w:ascii="Arial" w:eastAsiaTheme="minorEastAsia" w:hAnsi="Arial" w:cs="Arial"/>
          <w:sz w:val="22"/>
          <w:szCs w:val="22"/>
        </w:rPr>
      </w:pPr>
      <w:hyperlink w:anchor="_Toc506286034" w:history="1">
        <w:r w:rsidR="003336A1" w:rsidRPr="00DE6406">
          <w:rPr>
            <w:rStyle w:val="Hyperlink"/>
            <w:rFonts w:ascii="Arial" w:hAnsi="Arial" w:cs="Arial"/>
          </w:rPr>
          <w:t>Attachment B</w:t>
        </w:r>
        <w:r w:rsidR="0063203B" w:rsidRPr="00DE6406">
          <w:rPr>
            <w:rStyle w:val="Hyperlink"/>
            <w:rFonts w:ascii="Arial" w:hAnsi="Arial" w:cs="Arial"/>
          </w:rPr>
          <w:t xml:space="preserve"> Main features of capital instruments</w:t>
        </w:r>
        <w:r w:rsidR="003336A1" w:rsidRPr="00DE6406">
          <w:rPr>
            <w:rFonts w:ascii="Arial" w:hAnsi="Arial" w:cs="Arial"/>
            <w:webHidden/>
          </w:rPr>
          <w:tab/>
        </w:r>
        <w:r w:rsidR="003336A1" w:rsidRPr="00DE6406">
          <w:rPr>
            <w:rFonts w:ascii="Arial" w:hAnsi="Arial" w:cs="Arial"/>
            <w:webHidden/>
          </w:rPr>
          <w:fldChar w:fldCharType="begin"/>
        </w:r>
        <w:r w:rsidR="003336A1" w:rsidRPr="00DE6406">
          <w:rPr>
            <w:rFonts w:ascii="Arial" w:hAnsi="Arial" w:cs="Arial"/>
            <w:webHidden/>
          </w:rPr>
          <w:instrText xml:space="preserve"> PAGEREF _Toc506286034 \h </w:instrText>
        </w:r>
        <w:r w:rsidR="003336A1" w:rsidRPr="00DE6406">
          <w:rPr>
            <w:rFonts w:ascii="Arial" w:hAnsi="Arial" w:cs="Arial"/>
            <w:webHidden/>
          </w:rPr>
        </w:r>
        <w:r w:rsidR="003336A1" w:rsidRPr="00DE6406">
          <w:rPr>
            <w:rFonts w:ascii="Arial" w:hAnsi="Arial" w:cs="Arial"/>
            <w:webHidden/>
          </w:rPr>
          <w:fldChar w:fldCharType="separate"/>
        </w:r>
        <w:r w:rsidR="002F7A37">
          <w:rPr>
            <w:rFonts w:ascii="Arial" w:hAnsi="Arial" w:cs="Arial"/>
            <w:webHidden/>
          </w:rPr>
          <w:t>26</w:t>
        </w:r>
        <w:r w:rsidR="003336A1" w:rsidRPr="00DE6406">
          <w:rPr>
            <w:rFonts w:ascii="Arial" w:hAnsi="Arial" w:cs="Arial"/>
            <w:webHidden/>
          </w:rPr>
          <w:fldChar w:fldCharType="end"/>
        </w:r>
      </w:hyperlink>
    </w:p>
    <w:p w14:paraId="069D1C65" w14:textId="21F72013" w:rsidR="003336A1" w:rsidRPr="00DE6406" w:rsidRDefault="000714A6">
      <w:pPr>
        <w:pStyle w:val="TOC3"/>
        <w:rPr>
          <w:rFonts w:ascii="Arial" w:eastAsiaTheme="minorEastAsia" w:hAnsi="Arial" w:cs="Arial"/>
          <w:sz w:val="22"/>
          <w:szCs w:val="22"/>
        </w:rPr>
      </w:pPr>
      <w:hyperlink w:anchor="_Toc506286036" w:history="1">
        <w:r w:rsidR="003336A1" w:rsidRPr="00DE6406">
          <w:rPr>
            <w:rStyle w:val="Hyperlink"/>
            <w:rFonts w:ascii="Arial" w:hAnsi="Arial" w:cs="Arial"/>
          </w:rPr>
          <w:t>Attachment C</w:t>
        </w:r>
        <w:r w:rsidR="0063203B" w:rsidRPr="00DE6406">
          <w:rPr>
            <w:rStyle w:val="Hyperlink"/>
            <w:rFonts w:ascii="Arial" w:hAnsi="Arial" w:cs="Arial"/>
          </w:rPr>
          <w:t xml:space="preserve"> Risk exposures and asses</w:t>
        </w:r>
        <w:r w:rsidR="004666F5" w:rsidRPr="00DE6406">
          <w:rPr>
            <w:rStyle w:val="Hyperlink"/>
            <w:rFonts w:ascii="Arial" w:hAnsi="Arial" w:cs="Arial"/>
          </w:rPr>
          <w:t>s</w:t>
        </w:r>
        <w:r w:rsidR="0063203B" w:rsidRPr="00DE6406">
          <w:rPr>
            <w:rStyle w:val="Hyperlink"/>
            <w:rFonts w:ascii="Arial" w:hAnsi="Arial" w:cs="Arial"/>
          </w:rPr>
          <w:t>ment (all ADIs)</w:t>
        </w:r>
        <w:r w:rsidR="003336A1" w:rsidRPr="00DE6406">
          <w:rPr>
            <w:rFonts w:ascii="Arial" w:hAnsi="Arial" w:cs="Arial"/>
            <w:webHidden/>
          </w:rPr>
          <w:tab/>
        </w:r>
        <w:r w:rsidR="003336A1" w:rsidRPr="00DE6406">
          <w:rPr>
            <w:rFonts w:ascii="Arial" w:hAnsi="Arial" w:cs="Arial"/>
            <w:webHidden/>
          </w:rPr>
          <w:fldChar w:fldCharType="begin"/>
        </w:r>
        <w:r w:rsidR="003336A1" w:rsidRPr="00DE6406">
          <w:rPr>
            <w:rFonts w:ascii="Arial" w:hAnsi="Arial" w:cs="Arial"/>
            <w:webHidden/>
          </w:rPr>
          <w:instrText xml:space="preserve"> PAGEREF _Toc506286036 \h </w:instrText>
        </w:r>
        <w:r w:rsidR="003336A1" w:rsidRPr="00DE6406">
          <w:rPr>
            <w:rFonts w:ascii="Arial" w:hAnsi="Arial" w:cs="Arial"/>
            <w:webHidden/>
          </w:rPr>
        </w:r>
        <w:r w:rsidR="003336A1" w:rsidRPr="00DE6406">
          <w:rPr>
            <w:rFonts w:ascii="Arial" w:hAnsi="Arial" w:cs="Arial"/>
            <w:webHidden/>
          </w:rPr>
          <w:fldChar w:fldCharType="separate"/>
        </w:r>
        <w:r w:rsidR="002F7A37">
          <w:rPr>
            <w:rFonts w:ascii="Arial" w:hAnsi="Arial" w:cs="Arial"/>
            <w:webHidden/>
          </w:rPr>
          <w:t>31</w:t>
        </w:r>
        <w:r w:rsidR="003336A1" w:rsidRPr="00DE6406">
          <w:rPr>
            <w:rFonts w:ascii="Arial" w:hAnsi="Arial" w:cs="Arial"/>
            <w:webHidden/>
          </w:rPr>
          <w:fldChar w:fldCharType="end"/>
        </w:r>
      </w:hyperlink>
    </w:p>
    <w:p w14:paraId="283D45D5" w14:textId="45A87F66" w:rsidR="003336A1" w:rsidRPr="00DE6406" w:rsidRDefault="000714A6">
      <w:pPr>
        <w:pStyle w:val="TOC3"/>
        <w:rPr>
          <w:rFonts w:ascii="Arial" w:eastAsiaTheme="minorEastAsia" w:hAnsi="Arial" w:cs="Arial"/>
          <w:sz w:val="22"/>
          <w:szCs w:val="22"/>
        </w:rPr>
      </w:pPr>
      <w:hyperlink w:anchor="_Toc506286038" w:history="1">
        <w:r w:rsidR="003336A1" w:rsidRPr="00DE6406">
          <w:rPr>
            <w:rStyle w:val="Hyperlink"/>
            <w:rFonts w:ascii="Arial" w:hAnsi="Arial" w:cs="Arial"/>
          </w:rPr>
          <w:t>Attachment D</w:t>
        </w:r>
        <w:r w:rsidR="0063203B" w:rsidRPr="00DE6406">
          <w:rPr>
            <w:rStyle w:val="Hyperlink"/>
            <w:rFonts w:ascii="Arial" w:hAnsi="Arial" w:cs="Arial"/>
          </w:rPr>
          <w:t xml:space="preserve"> Risk exposures and assessment (ADIs with IRB and AMA approval)</w:t>
        </w:r>
        <w:r w:rsidR="003336A1" w:rsidRPr="00DE6406">
          <w:rPr>
            <w:rFonts w:ascii="Arial" w:hAnsi="Arial" w:cs="Arial"/>
            <w:webHidden/>
          </w:rPr>
          <w:tab/>
        </w:r>
        <w:r w:rsidR="003336A1" w:rsidRPr="00DE6406">
          <w:rPr>
            <w:rFonts w:ascii="Arial" w:hAnsi="Arial" w:cs="Arial"/>
            <w:webHidden/>
          </w:rPr>
          <w:fldChar w:fldCharType="begin"/>
        </w:r>
        <w:r w:rsidR="003336A1" w:rsidRPr="00DE6406">
          <w:rPr>
            <w:rFonts w:ascii="Arial" w:hAnsi="Arial" w:cs="Arial"/>
            <w:webHidden/>
          </w:rPr>
          <w:instrText xml:space="preserve"> PAGEREF _Toc506286038 \h </w:instrText>
        </w:r>
        <w:r w:rsidR="003336A1" w:rsidRPr="00DE6406">
          <w:rPr>
            <w:rFonts w:ascii="Arial" w:hAnsi="Arial" w:cs="Arial"/>
            <w:webHidden/>
          </w:rPr>
        </w:r>
        <w:r w:rsidR="003336A1" w:rsidRPr="00DE6406">
          <w:rPr>
            <w:rFonts w:ascii="Arial" w:hAnsi="Arial" w:cs="Arial"/>
            <w:webHidden/>
          </w:rPr>
          <w:fldChar w:fldCharType="separate"/>
        </w:r>
        <w:r w:rsidR="002F7A37">
          <w:rPr>
            <w:rFonts w:ascii="Arial" w:hAnsi="Arial" w:cs="Arial"/>
            <w:webHidden/>
          </w:rPr>
          <w:t>33</w:t>
        </w:r>
        <w:r w:rsidR="003336A1" w:rsidRPr="00DE6406">
          <w:rPr>
            <w:rFonts w:ascii="Arial" w:hAnsi="Arial" w:cs="Arial"/>
            <w:webHidden/>
          </w:rPr>
          <w:fldChar w:fldCharType="end"/>
        </w:r>
      </w:hyperlink>
    </w:p>
    <w:p w14:paraId="3D340B02" w14:textId="106E22BE" w:rsidR="003336A1" w:rsidRPr="00DE6406" w:rsidRDefault="000714A6">
      <w:pPr>
        <w:pStyle w:val="TOC3"/>
        <w:rPr>
          <w:rFonts w:ascii="Arial" w:eastAsiaTheme="minorEastAsia" w:hAnsi="Arial" w:cs="Arial"/>
          <w:sz w:val="22"/>
          <w:szCs w:val="22"/>
        </w:rPr>
      </w:pPr>
      <w:hyperlink w:anchor="_Toc506286044" w:history="1">
        <w:r w:rsidR="003336A1" w:rsidRPr="00DE6406">
          <w:rPr>
            <w:rStyle w:val="Hyperlink"/>
            <w:rFonts w:ascii="Arial" w:hAnsi="Arial" w:cs="Arial"/>
          </w:rPr>
          <w:t>Attachment E</w:t>
        </w:r>
        <w:r w:rsidR="0063203B" w:rsidRPr="00DE6406">
          <w:rPr>
            <w:rStyle w:val="Hyperlink"/>
            <w:rFonts w:ascii="Arial" w:hAnsi="Arial" w:cs="Arial"/>
          </w:rPr>
          <w:t xml:space="preserve"> Leverage ratio dis</w:t>
        </w:r>
        <w:r w:rsidR="00CF5644" w:rsidRPr="00DE6406">
          <w:rPr>
            <w:rStyle w:val="Hyperlink"/>
            <w:rFonts w:ascii="Arial" w:hAnsi="Arial" w:cs="Arial"/>
          </w:rPr>
          <w:t>closure</w:t>
        </w:r>
        <w:r w:rsidR="0063203B" w:rsidRPr="00DE6406">
          <w:rPr>
            <w:rStyle w:val="Hyperlink"/>
            <w:rFonts w:ascii="Arial" w:hAnsi="Arial" w:cs="Arial"/>
          </w:rPr>
          <w:t xml:space="preserve"> requirements</w:t>
        </w:r>
        <w:r w:rsidR="003336A1" w:rsidRPr="00DE6406">
          <w:rPr>
            <w:rFonts w:ascii="Arial" w:hAnsi="Arial" w:cs="Arial"/>
            <w:webHidden/>
          </w:rPr>
          <w:tab/>
        </w:r>
        <w:r w:rsidR="003336A1" w:rsidRPr="00DE6406">
          <w:rPr>
            <w:rFonts w:ascii="Arial" w:hAnsi="Arial" w:cs="Arial"/>
            <w:webHidden/>
          </w:rPr>
          <w:fldChar w:fldCharType="begin"/>
        </w:r>
        <w:r w:rsidR="003336A1" w:rsidRPr="00DE6406">
          <w:rPr>
            <w:rFonts w:ascii="Arial" w:hAnsi="Arial" w:cs="Arial"/>
            <w:webHidden/>
          </w:rPr>
          <w:instrText xml:space="preserve"> PAGEREF _Toc506286044 \h </w:instrText>
        </w:r>
        <w:r w:rsidR="003336A1" w:rsidRPr="00DE6406">
          <w:rPr>
            <w:rFonts w:ascii="Arial" w:hAnsi="Arial" w:cs="Arial"/>
            <w:webHidden/>
          </w:rPr>
        </w:r>
        <w:r w:rsidR="003336A1" w:rsidRPr="00DE6406">
          <w:rPr>
            <w:rFonts w:ascii="Arial" w:hAnsi="Arial" w:cs="Arial"/>
            <w:webHidden/>
          </w:rPr>
          <w:fldChar w:fldCharType="separate"/>
        </w:r>
        <w:r w:rsidR="002F7A37">
          <w:rPr>
            <w:rFonts w:ascii="Arial" w:hAnsi="Arial" w:cs="Arial"/>
            <w:webHidden/>
          </w:rPr>
          <w:t>51</w:t>
        </w:r>
        <w:r w:rsidR="003336A1" w:rsidRPr="00DE6406">
          <w:rPr>
            <w:rFonts w:ascii="Arial" w:hAnsi="Arial" w:cs="Arial"/>
            <w:webHidden/>
          </w:rPr>
          <w:fldChar w:fldCharType="end"/>
        </w:r>
      </w:hyperlink>
    </w:p>
    <w:p w14:paraId="1252344C" w14:textId="6A9D7ADC" w:rsidR="003336A1" w:rsidRPr="00DE6406" w:rsidRDefault="000714A6">
      <w:pPr>
        <w:pStyle w:val="TOC3"/>
        <w:rPr>
          <w:rFonts w:ascii="Arial" w:eastAsiaTheme="minorEastAsia" w:hAnsi="Arial" w:cs="Arial"/>
          <w:sz w:val="22"/>
          <w:szCs w:val="22"/>
        </w:rPr>
      </w:pPr>
      <w:hyperlink w:anchor="_Toc506286046" w:history="1">
        <w:r w:rsidR="003336A1" w:rsidRPr="00DE6406">
          <w:rPr>
            <w:rStyle w:val="Hyperlink"/>
            <w:rFonts w:ascii="Arial" w:hAnsi="Arial" w:cs="Arial"/>
          </w:rPr>
          <w:t>Attachment F</w:t>
        </w:r>
        <w:r w:rsidR="0063203B" w:rsidRPr="00DE6406">
          <w:rPr>
            <w:rStyle w:val="Hyperlink"/>
            <w:rFonts w:ascii="Arial" w:hAnsi="Arial" w:cs="Arial"/>
          </w:rPr>
          <w:t xml:space="preserve"> Liqu</w:t>
        </w:r>
        <w:r w:rsidR="00F80D28" w:rsidRPr="00DE6406">
          <w:rPr>
            <w:rStyle w:val="Hyperlink"/>
            <w:rFonts w:ascii="Arial" w:hAnsi="Arial" w:cs="Arial"/>
          </w:rPr>
          <w:t>idity</w:t>
        </w:r>
        <w:r w:rsidR="0063203B" w:rsidRPr="00DE6406">
          <w:rPr>
            <w:rStyle w:val="Hyperlink"/>
            <w:rFonts w:ascii="Arial" w:hAnsi="Arial" w:cs="Arial"/>
          </w:rPr>
          <w:t xml:space="preserve"> disclosures</w:t>
        </w:r>
        <w:r w:rsidR="003336A1" w:rsidRPr="00DE6406">
          <w:rPr>
            <w:rFonts w:ascii="Arial" w:hAnsi="Arial" w:cs="Arial"/>
            <w:webHidden/>
          </w:rPr>
          <w:tab/>
        </w:r>
        <w:r w:rsidR="003336A1" w:rsidRPr="00DE6406">
          <w:rPr>
            <w:rFonts w:ascii="Arial" w:hAnsi="Arial" w:cs="Arial"/>
            <w:webHidden/>
          </w:rPr>
          <w:fldChar w:fldCharType="begin"/>
        </w:r>
        <w:r w:rsidR="003336A1" w:rsidRPr="00DE6406">
          <w:rPr>
            <w:rFonts w:ascii="Arial" w:hAnsi="Arial" w:cs="Arial"/>
            <w:webHidden/>
          </w:rPr>
          <w:instrText xml:space="preserve"> PAGEREF _Toc506286046 \h </w:instrText>
        </w:r>
        <w:r w:rsidR="003336A1" w:rsidRPr="00DE6406">
          <w:rPr>
            <w:rFonts w:ascii="Arial" w:hAnsi="Arial" w:cs="Arial"/>
            <w:webHidden/>
          </w:rPr>
        </w:r>
        <w:r w:rsidR="003336A1" w:rsidRPr="00DE6406">
          <w:rPr>
            <w:rFonts w:ascii="Arial" w:hAnsi="Arial" w:cs="Arial"/>
            <w:webHidden/>
          </w:rPr>
          <w:fldChar w:fldCharType="separate"/>
        </w:r>
        <w:r w:rsidR="002F7A37">
          <w:rPr>
            <w:rFonts w:ascii="Arial" w:hAnsi="Arial" w:cs="Arial"/>
            <w:webHidden/>
          </w:rPr>
          <w:t>55</w:t>
        </w:r>
        <w:r w:rsidR="003336A1" w:rsidRPr="00DE6406">
          <w:rPr>
            <w:rFonts w:ascii="Arial" w:hAnsi="Arial" w:cs="Arial"/>
            <w:webHidden/>
          </w:rPr>
          <w:fldChar w:fldCharType="end"/>
        </w:r>
      </w:hyperlink>
    </w:p>
    <w:p w14:paraId="67DB2DA0" w14:textId="035DEF73" w:rsidR="003336A1" w:rsidRPr="00DE6406" w:rsidRDefault="000714A6">
      <w:pPr>
        <w:pStyle w:val="TOC3"/>
        <w:rPr>
          <w:rFonts w:ascii="Arial" w:eastAsiaTheme="minorEastAsia" w:hAnsi="Arial" w:cs="Arial"/>
          <w:sz w:val="22"/>
          <w:szCs w:val="22"/>
        </w:rPr>
      </w:pPr>
      <w:hyperlink w:anchor="_Toc506286048" w:history="1">
        <w:r w:rsidR="003336A1" w:rsidRPr="00DE6406">
          <w:rPr>
            <w:rStyle w:val="Hyperlink"/>
            <w:rFonts w:ascii="Arial" w:hAnsi="Arial" w:cs="Arial"/>
          </w:rPr>
          <w:t>Attachment G</w:t>
        </w:r>
        <w:r w:rsidR="0063203B" w:rsidRPr="00DE6406">
          <w:rPr>
            <w:rStyle w:val="Hyperlink"/>
            <w:rFonts w:ascii="Arial" w:hAnsi="Arial" w:cs="Arial"/>
          </w:rPr>
          <w:t xml:space="preserve"> Remuneration</w:t>
        </w:r>
        <w:r w:rsidR="003336A1" w:rsidRPr="00DE6406">
          <w:rPr>
            <w:rFonts w:ascii="Arial" w:hAnsi="Arial" w:cs="Arial"/>
            <w:webHidden/>
          </w:rPr>
          <w:tab/>
        </w:r>
        <w:r w:rsidR="003336A1" w:rsidRPr="00DE6406">
          <w:rPr>
            <w:rFonts w:ascii="Arial" w:hAnsi="Arial" w:cs="Arial"/>
            <w:webHidden/>
          </w:rPr>
          <w:fldChar w:fldCharType="begin"/>
        </w:r>
        <w:r w:rsidR="003336A1" w:rsidRPr="00DE6406">
          <w:rPr>
            <w:rFonts w:ascii="Arial" w:hAnsi="Arial" w:cs="Arial"/>
            <w:webHidden/>
          </w:rPr>
          <w:instrText xml:space="preserve"> PAGEREF _Toc506286048 \h </w:instrText>
        </w:r>
        <w:r w:rsidR="003336A1" w:rsidRPr="00DE6406">
          <w:rPr>
            <w:rFonts w:ascii="Arial" w:hAnsi="Arial" w:cs="Arial"/>
            <w:webHidden/>
          </w:rPr>
        </w:r>
        <w:r w:rsidR="003336A1" w:rsidRPr="00DE6406">
          <w:rPr>
            <w:rFonts w:ascii="Arial" w:hAnsi="Arial" w:cs="Arial"/>
            <w:webHidden/>
          </w:rPr>
          <w:fldChar w:fldCharType="separate"/>
        </w:r>
        <w:r w:rsidR="002F7A37">
          <w:rPr>
            <w:rFonts w:ascii="Arial" w:hAnsi="Arial" w:cs="Arial"/>
            <w:webHidden/>
          </w:rPr>
          <w:t>64</w:t>
        </w:r>
        <w:r w:rsidR="003336A1" w:rsidRPr="00DE6406">
          <w:rPr>
            <w:rFonts w:ascii="Arial" w:hAnsi="Arial" w:cs="Arial"/>
            <w:webHidden/>
          </w:rPr>
          <w:fldChar w:fldCharType="end"/>
        </w:r>
      </w:hyperlink>
    </w:p>
    <w:p w14:paraId="5E6A436F" w14:textId="5FA35D94" w:rsidR="003336A1" w:rsidRPr="00DE6406" w:rsidRDefault="000714A6">
      <w:pPr>
        <w:pStyle w:val="TOC3"/>
        <w:rPr>
          <w:rFonts w:ascii="Arial" w:eastAsiaTheme="minorEastAsia" w:hAnsi="Arial" w:cs="Arial"/>
          <w:sz w:val="22"/>
          <w:szCs w:val="22"/>
        </w:rPr>
      </w:pPr>
      <w:hyperlink w:anchor="_Toc506286050" w:history="1">
        <w:r w:rsidR="003336A1" w:rsidRPr="00DE6406">
          <w:rPr>
            <w:rStyle w:val="Hyperlink"/>
            <w:rFonts w:ascii="Arial" w:hAnsi="Arial" w:cs="Arial"/>
          </w:rPr>
          <w:t>Attachment H</w:t>
        </w:r>
        <w:r w:rsidR="0063203B" w:rsidRPr="00DE6406">
          <w:rPr>
            <w:rStyle w:val="Hyperlink"/>
            <w:rFonts w:ascii="Arial" w:hAnsi="Arial" w:cs="Arial"/>
          </w:rPr>
          <w:t xml:space="preserve"> Disclosures for the identification of potential G-SIBs</w:t>
        </w:r>
        <w:r w:rsidR="003336A1" w:rsidRPr="00DE6406">
          <w:rPr>
            <w:rFonts w:ascii="Arial" w:hAnsi="Arial" w:cs="Arial"/>
            <w:webHidden/>
          </w:rPr>
          <w:tab/>
        </w:r>
        <w:r w:rsidR="003336A1" w:rsidRPr="00DE6406">
          <w:rPr>
            <w:rFonts w:ascii="Arial" w:hAnsi="Arial" w:cs="Arial"/>
            <w:webHidden/>
          </w:rPr>
          <w:fldChar w:fldCharType="begin"/>
        </w:r>
        <w:r w:rsidR="003336A1" w:rsidRPr="00DE6406">
          <w:rPr>
            <w:rFonts w:ascii="Arial" w:hAnsi="Arial" w:cs="Arial"/>
            <w:webHidden/>
          </w:rPr>
          <w:instrText xml:space="preserve"> PAGEREF _Toc506286050 \h </w:instrText>
        </w:r>
        <w:r w:rsidR="003336A1" w:rsidRPr="00DE6406">
          <w:rPr>
            <w:rFonts w:ascii="Arial" w:hAnsi="Arial" w:cs="Arial"/>
            <w:webHidden/>
          </w:rPr>
        </w:r>
        <w:r w:rsidR="003336A1" w:rsidRPr="00DE6406">
          <w:rPr>
            <w:rFonts w:ascii="Arial" w:hAnsi="Arial" w:cs="Arial"/>
            <w:webHidden/>
          </w:rPr>
          <w:fldChar w:fldCharType="separate"/>
        </w:r>
        <w:r w:rsidR="002F7A37">
          <w:rPr>
            <w:rFonts w:ascii="Arial" w:hAnsi="Arial" w:cs="Arial"/>
            <w:webHidden/>
          </w:rPr>
          <w:t>67</w:t>
        </w:r>
        <w:r w:rsidR="003336A1" w:rsidRPr="00DE6406">
          <w:rPr>
            <w:rFonts w:ascii="Arial" w:hAnsi="Arial" w:cs="Arial"/>
            <w:webHidden/>
          </w:rPr>
          <w:fldChar w:fldCharType="end"/>
        </w:r>
      </w:hyperlink>
    </w:p>
    <w:p w14:paraId="778159DD" w14:textId="77777777" w:rsidR="00DE6406" w:rsidRDefault="000714A6">
      <w:pPr>
        <w:pStyle w:val="TOC3"/>
        <w:rPr>
          <w:rFonts w:ascii="Arial" w:hAnsi="Arial" w:cs="Arial"/>
        </w:rPr>
        <w:sectPr w:rsidR="00DE6406" w:rsidSect="008D3C2B">
          <w:pgSz w:w="11906" w:h="16838"/>
          <w:pgMar w:top="1440" w:right="1797" w:bottom="1440" w:left="1797" w:header="709" w:footer="709" w:gutter="0"/>
          <w:cols w:space="708"/>
          <w:docGrid w:linePitch="360"/>
        </w:sectPr>
      </w:pPr>
      <w:hyperlink w:anchor="_Toc506286052" w:history="1">
        <w:r w:rsidR="003336A1" w:rsidRPr="00DE6406">
          <w:rPr>
            <w:rStyle w:val="Hyperlink"/>
            <w:rFonts w:ascii="Arial" w:hAnsi="Arial" w:cs="Arial"/>
          </w:rPr>
          <w:t>Attachment I</w:t>
        </w:r>
        <w:r w:rsidR="0063203B" w:rsidRPr="00DE6406">
          <w:rPr>
            <w:rStyle w:val="Hyperlink"/>
            <w:rFonts w:ascii="Arial" w:hAnsi="Arial" w:cs="Arial"/>
          </w:rPr>
          <w:t xml:space="preserve"> Frequency </w:t>
        </w:r>
        <w:r w:rsidR="00F80D28" w:rsidRPr="00DE6406">
          <w:rPr>
            <w:rStyle w:val="Hyperlink"/>
            <w:rFonts w:ascii="Arial" w:hAnsi="Arial" w:cs="Arial"/>
          </w:rPr>
          <w:t>and</w:t>
        </w:r>
        <w:r w:rsidR="0063203B" w:rsidRPr="00DE6406">
          <w:rPr>
            <w:rStyle w:val="Hyperlink"/>
            <w:rFonts w:ascii="Arial" w:hAnsi="Arial" w:cs="Arial"/>
          </w:rPr>
          <w:t xml:space="preserve"> timing</w:t>
        </w:r>
        <w:r w:rsidR="00F80D28" w:rsidRPr="00DE6406">
          <w:rPr>
            <w:rStyle w:val="Hyperlink"/>
            <w:rFonts w:ascii="Arial" w:hAnsi="Arial" w:cs="Arial"/>
          </w:rPr>
          <w:t xml:space="preserve"> of disclosure requir</w:t>
        </w:r>
        <w:r w:rsidR="00CF5644" w:rsidRPr="00DE6406">
          <w:rPr>
            <w:rStyle w:val="Hyperlink"/>
            <w:rFonts w:ascii="Arial" w:hAnsi="Arial" w:cs="Arial"/>
          </w:rPr>
          <w:t>e</w:t>
        </w:r>
        <w:r w:rsidR="00F80D28" w:rsidRPr="00DE6406">
          <w:rPr>
            <w:rStyle w:val="Hyperlink"/>
            <w:rFonts w:ascii="Arial" w:hAnsi="Arial" w:cs="Arial"/>
          </w:rPr>
          <w:t>ments</w:t>
        </w:r>
        <w:r w:rsidR="003336A1" w:rsidRPr="00DE6406">
          <w:rPr>
            <w:rFonts w:ascii="Arial" w:hAnsi="Arial" w:cs="Arial"/>
            <w:webHidden/>
          </w:rPr>
          <w:tab/>
        </w:r>
        <w:r w:rsidR="003336A1" w:rsidRPr="00DE6406">
          <w:rPr>
            <w:rFonts w:ascii="Arial" w:hAnsi="Arial" w:cs="Arial"/>
            <w:webHidden/>
          </w:rPr>
          <w:fldChar w:fldCharType="begin"/>
        </w:r>
        <w:r w:rsidR="003336A1" w:rsidRPr="00DE6406">
          <w:rPr>
            <w:rFonts w:ascii="Arial" w:hAnsi="Arial" w:cs="Arial"/>
            <w:webHidden/>
          </w:rPr>
          <w:instrText xml:space="preserve"> PAGEREF _Toc506286052 \h </w:instrText>
        </w:r>
        <w:r w:rsidR="003336A1" w:rsidRPr="00DE6406">
          <w:rPr>
            <w:rFonts w:ascii="Arial" w:hAnsi="Arial" w:cs="Arial"/>
            <w:webHidden/>
          </w:rPr>
        </w:r>
        <w:r w:rsidR="003336A1" w:rsidRPr="00DE6406">
          <w:rPr>
            <w:rFonts w:ascii="Arial" w:hAnsi="Arial" w:cs="Arial"/>
            <w:webHidden/>
          </w:rPr>
          <w:fldChar w:fldCharType="separate"/>
        </w:r>
        <w:r w:rsidR="002F7A37">
          <w:rPr>
            <w:rFonts w:ascii="Arial" w:hAnsi="Arial" w:cs="Arial"/>
            <w:webHidden/>
          </w:rPr>
          <w:t>68</w:t>
        </w:r>
        <w:r w:rsidR="003336A1" w:rsidRPr="00DE6406">
          <w:rPr>
            <w:rFonts w:ascii="Arial" w:hAnsi="Arial" w:cs="Arial"/>
            <w:webHidden/>
          </w:rPr>
          <w:fldChar w:fldCharType="end"/>
        </w:r>
      </w:hyperlink>
    </w:p>
    <w:p w14:paraId="49D04575" w14:textId="77777777" w:rsidR="00742F5F" w:rsidRPr="00953F7D" w:rsidRDefault="002C0991" w:rsidP="001C27A1">
      <w:pPr>
        <w:pStyle w:val="Heading3"/>
        <w:spacing w:before="120" w:after="240"/>
        <w:jc w:val="both"/>
        <w:rPr>
          <w:bCs w:val="0"/>
        </w:rPr>
      </w:pPr>
      <w:r w:rsidRPr="00DE6406">
        <w:rPr>
          <w:bCs w:val="0"/>
          <w:szCs w:val="24"/>
        </w:rPr>
        <w:fldChar w:fldCharType="end"/>
      </w:r>
      <w:bookmarkStart w:id="1" w:name="_Toc179099592"/>
      <w:bookmarkStart w:id="2" w:name="_Toc179099991"/>
      <w:bookmarkStart w:id="3" w:name="_Toc506285980"/>
      <w:r w:rsidR="00742F5F" w:rsidRPr="00953F7D">
        <w:rPr>
          <w:b/>
          <w:szCs w:val="24"/>
        </w:rPr>
        <w:t>Authority</w:t>
      </w:r>
      <w:bookmarkEnd w:id="1"/>
      <w:bookmarkEnd w:id="2"/>
      <w:bookmarkEnd w:id="3"/>
    </w:p>
    <w:p w14:paraId="49D04576" w14:textId="77777777" w:rsidR="00742F5F" w:rsidRPr="00953F7D" w:rsidRDefault="00742F5F" w:rsidP="001B7620">
      <w:pPr>
        <w:pStyle w:val="BodyText"/>
        <w:rPr>
          <w:rFonts w:ascii="Arial" w:hAnsi="Arial"/>
          <w:b/>
        </w:rPr>
      </w:pPr>
      <w:bookmarkStart w:id="4" w:name="_Ref503966105"/>
      <w:r w:rsidRPr="00953F7D">
        <w:t xml:space="preserve">This Prudential Standard is made under section 11AF of the </w:t>
      </w:r>
      <w:r w:rsidRPr="00953F7D">
        <w:rPr>
          <w:i/>
        </w:rPr>
        <w:t xml:space="preserve">Banking Act 1959 </w:t>
      </w:r>
      <w:r w:rsidRPr="00953F7D">
        <w:t xml:space="preserve">(the </w:t>
      </w:r>
      <w:r w:rsidRPr="00953F7D">
        <w:rPr>
          <w:b/>
        </w:rPr>
        <w:t>Banking Act</w:t>
      </w:r>
      <w:r w:rsidRPr="00953F7D">
        <w:t>).</w:t>
      </w:r>
      <w:bookmarkEnd w:id="4"/>
    </w:p>
    <w:p w14:paraId="49D04577" w14:textId="77777777" w:rsidR="00742F5F" w:rsidRPr="00953F7D" w:rsidRDefault="00742F5F" w:rsidP="00742F5F">
      <w:pPr>
        <w:pStyle w:val="Heading3"/>
        <w:spacing w:before="120" w:after="240"/>
        <w:jc w:val="both"/>
        <w:rPr>
          <w:b/>
          <w:szCs w:val="24"/>
        </w:rPr>
      </w:pPr>
      <w:bookmarkStart w:id="5" w:name="_Toc179099593"/>
      <w:bookmarkStart w:id="6" w:name="_Toc179099992"/>
      <w:bookmarkStart w:id="7" w:name="_Toc506285981"/>
      <w:r w:rsidRPr="00953F7D">
        <w:rPr>
          <w:b/>
          <w:szCs w:val="24"/>
        </w:rPr>
        <w:t>Application</w:t>
      </w:r>
      <w:bookmarkEnd w:id="5"/>
      <w:bookmarkEnd w:id="6"/>
      <w:bookmarkEnd w:id="7"/>
    </w:p>
    <w:p w14:paraId="49D04578" w14:textId="7A0F88A7" w:rsidR="00742F5F" w:rsidRPr="00953F7D" w:rsidRDefault="00742F5F" w:rsidP="001B7620">
      <w:pPr>
        <w:pStyle w:val="BodyText"/>
        <w:rPr>
          <w:rFonts w:ascii="Arial" w:hAnsi="Arial"/>
        </w:rPr>
      </w:pPr>
      <w:r w:rsidRPr="00953F7D">
        <w:t xml:space="preserve">This Prudential Standard applies to all </w:t>
      </w:r>
      <w:r w:rsidRPr="009C3F64">
        <w:rPr>
          <w:b/>
        </w:rPr>
        <w:t>locally</w:t>
      </w:r>
      <w:r w:rsidR="001410AB">
        <w:rPr>
          <w:b/>
        </w:rPr>
        <w:t>-</w:t>
      </w:r>
      <w:r w:rsidRPr="009C3F64">
        <w:rPr>
          <w:b/>
        </w:rPr>
        <w:t>incorporated ADIs</w:t>
      </w:r>
      <w:r w:rsidRPr="00953F7D">
        <w:t xml:space="preserve"> other than </w:t>
      </w:r>
      <w:r w:rsidRPr="009C3F64">
        <w:rPr>
          <w:b/>
        </w:rPr>
        <w:t xml:space="preserve">purchased payment facility providers </w:t>
      </w:r>
      <w:r w:rsidRPr="000E0523">
        <w:t>(</w:t>
      </w:r>
      <w:r w:rsidRPr="009C3F64">
        <w:rPr>
          <w:b/>
        </w:rPr>
        <w:t>PPF providers</w:t>
      </w:r>
      <w:r w:rsidRPr="000E0523">
        <w:t>)</w:t>
      </w:r>
      <w:bookmarkStart w:id="8" w:name="_Ref351106955"/>
      <w:r w:rsidR="00B80CE7" w:rsidRPr="00953F7D">
        <w:t>.</w:t>
      </w:r>
    </w:p>
    <w:p w14:paraId="49D04579" w14:textId="6079A9D5" w:rsidR="00742F5F" w:rsidRPr="00953F7D" w:rsidRDefault="00742F5F" w:rsidP="001B7620">
      <w:pPr>
        <w:pStyle w:val="BodyText"/>
      </w:pPr>
      <w:r w:rsidRPr="00953F7D">
        <w:t>Where a locally</w:t>
      </w:r>
      <w:r w:rsidR="001410AB">
        <w:t>-</w:t>
      </w:r>
      <w:r w:rsidRPr="00953F7D">
        <w:t xml:space="preserve">incorporated ADI is a </w:t>
      </w:r>
      <w:r w:rsidRPr="000E0523">
        <w:rPr>
          <w:b/>
        </w:rPr>
        <w:t>subsidiary</w:t>
      </w:r>
      <w:r w:rsidRPr="00953F7D">
        <w:t xml:space="preserve"> of an </w:t>
      </w:r>
      <w:r w:rsidRPr="00953F7D">
        <w:rPr>
          <w:b/>
        </w:rPr>
        <w:t>authorised NOHC</w:t>
      </w:r>
      <w:r w:rsidRPr="00953F7D">
        <w:t xml:space="preserve">, the authorised NOHC must ensure that the requirements in this Prudential Standard are met on a </w:t>
      </w:r>
      <w:r w:rsidRPr="00953F7D">
        <w:rPr>
          <w:b/>
        </w:rPr>
        <w:t>Level 2</w:t>
      </w:r>
      <w:r w:rsidRPr="00953F7D">
        <w:t xml:space="preserve"> basis.</w:t>
      </w:r>
      <w:bookmarkEnd w:id="8"/>
    </w:p>
    <w:p w14:paraId="49D0457A" w14:textId="4E2F5179" w:rsidR="00742F5F" w:rsidRPr="00953F7D" w:rsidRDefault="00742F5F" w:rsidP="001B7620">
      <w:pPr>
        <w:pStyle w:val="BodyText"/>
        <w:rPr>
          <w:rFonts w:ascii="Arial" w:hAnsi="Arial"/>
          <w:b/>
        </w:rPr>
      </w:pPr>
      <w:bookmarkStart w:id="9" w:name="_Ref351107388"/>
      <w:r w:rsidRPr="00953F7D">
        <w:t xml:space="preserve">Where an </w:t>
      </w:r>
      <w:r w:rsidRPr="000E0523">
        <w:rPr>
          <w:b/>
        </w:rPr>
        <w:t xml:space="preserve">ADI </w:t>
      </w:r>
      <w:r w:rsidRPr="00953F7D">
        <w:t xml:space="preserve">has no authorised NOHC, or any other subsidiaries other than those making up an </w:t>
      </w:r>
      <w:r w:rsidRPr="00953F7D">
        <w:rPr>
          <w:b/>
        </w:rPr>
        <w:t xml:space="preserve">Extended Licensed Entity </w:t>
      </w:r>
      <w:r w:rsidRPr="00953F7D">
        <w:t>(</w:t>
      </w:r>
      <w:r w:rsidRPr="00953F7D">
        <w:rPr>
          <w:b/>
        </w:rPr>
        <w:t>ELE</w:t>
      </w:r>
      <w:r w:rsidRPr="00953F7D">
        <w:t xml:space="preserve">), the ADI must comply with this Prudential Standard on a </w:t>
      </w:r>
      <w:r w:rsidRPr="00953F7D">
        <w:rPr>
          <w:b/>
        </w:rPr>
        <w:t>Level 1</w:t>
      </w:r>
      <w:r w:rsidRPr="00953F7D">
        <w:t xml:space="preserve"> basis; otherwise, a reference to an ADI in this Prudential Standard is a reference to the </w:t>
      </w:r>
      <w:r w:rsidRPr="000E0523">
        <w:rPr>
          <w:b/>
        </w:rPr>
        <w:t>group</w:t>
      </w:r>
      <w:r w:rsidRPr="00953F7D">
        <w:t xml:space="preserve"> of which the ADI is a member on a Level 2 basis. An ADI within a Level 2 group </w:t>
      </w:r>
      <w:r w:rsidR="000E0523">
        <w:t>is</w:t>
      </w:r>
      <w:r w:rsidRPr="00953F7D">
        <w:t xml:space="preserve"> not required to fulfil the requirements set out in this Prudential Standard on a Level 1 basis, unless specifically required to do so by APRA.</w:t>
      </w:r>
      <w:bookmarkEnd w:id="9"/>
    </w:p>
    <w:p w14:paraId="49D0457B" w14:textId="77777777" w:rsidR="00742F5F" w:rsidRPr="00953F7D" w:rsidRDefault="00742F5F" w:rsidP="00742F5F">
      <w:pPr>
        <w:pStyle w:val="Heading3"/>
        <w:keepNext w:val="0"/>
        <w:keepLines/>
        <w:spacing w:before="120" w:after="240"/>
        <w:jc w:val="both"/>
        <w:rPr>
          <w:b/>
          <w:szCs w:val="24"/>
        </w:rPr>
      </w:pPr>
      <w:bookmarkStart w:id="10" w:name="_Toc506285982"/>
      <w:bookmarkStart w:id="11" w:name="_Toc179099596"/>
      <w:bookmarkStart w:id="12" w:name="_Toc179099996"/>
      <w:bookmarkStart w:id="13" w:name="OLE_LINK5"/>
      <w:r w:rsidRPr="00953F7D">
        <w:rPr>
          <w:b/>
          <w:szCs w:val="24"/>
        </w:rPr>
        <w:t>Interpretation</w:t>
      </w:r>
      <w:bookmarkEnd w:id="10"/>
    </w:p>
    <w:p w14:paraId="49D0457C" w14:textId="77777777" w:rsidR="00742F5F" w:rsidRPr="00953F7D" w:rsidRDefault="00742F5F" w:rsidP="001B7620">
      <w:pPr>
        <w:pStyle w:val="BodyText"/>
        <w:rPr>
          <w:b/>
        </w:rPr>
      </w:pPr>
      <w:r w:rsidRPr="00953F7D">
        <w:t xml:space="preserve">Terms that are defined in </w:t>
      </w:r>
      <w:r w:rsidRPr="00953F7D">
        <w:rPr>
          <w:i/>
        </w:rPr>
        <w:t xml:space="preserve">Prudential Standard APS 001 Definitions </w:t>
      </w:r>
      <w:r w:rsidRPr="00953F7D">
        <w:t>(APS 001)</w:t>
      </w:r>
      <w:r w:rsidRPr="00953F7D">
        <w:rPr>
          <w:i/>
        </w:rPr>
        <w:t xml:space="preserve"> </w:t>
      </w:r>
      <w:r w:rsidRPr="00953F7D">
        <w:t>appear in bold the first time they are used in this Prudential Standard</w:t>
      </w:r>
      <w:r w:rsidRPr="00953F7D">
        <w:rPr>
          <w:i/>
        </w:rPr>
        <w:t xml:space="preserve">. </w:t>
      </w:r>
    </w:p>
    <w:p w14:paraId="49D0457D" w14:textId="77777777" w:rsidR="007A692B" w:rsidRDefault="006A3464" w:rsidP="001B7620">
      <w:pPr>
        <w:pStyle w:val="BodyText"/>
      </w:pPr>
      <w:r w:rsidRPr="00953F7D">
        <w:t>Where this Prudential Standard provides for APRA to exercise a power or discretion, this power o</w:t>
      </w:r>
      <w:r w:rsidR="00430119" w:rsidRPr="00953F7D">
        <w:t>r</w:t>
      </w:r>
      <w:r w:rsidRPr="00953F7D">
        <w:t xml:space="preserve"> discretion </w:t>
      </w:r>
      <w:r w:rsidR="00242034" w:rsidRPr="00953F7D">
        <w:t xml:space="preserve">will </w:t>
      </w:r>
      <w:r w:rsidRPr="00953F7D">
        <w:t xml:space="preserve">be exercised in writing. </w:t>
      </w:r>
    </w:p>
    <w:p w14:paraId="49D0457E" w14:textId="72736840" w:rsidR="008A5007" w:rsidRPr="00953F7D" w:rsidRDefault="008A5007" w:rsidP="008A5007">
      <w:pPr>
        <w:pStyle w:val="BodyText"/>
      </w:pPr>
      <w:r>
        <w:t>In this Prudential Standard, unless the contrary intention appears, a reference to an Act, Regulations, Prudential Standard</w:t>
      </w:r>
      <w:r w:rsidR="00D63AA5">
        <w:t xml:space="preserve">, </w:t>
      </w:r>
      <w:r>
        <w:t xml:space="preserve"> Prudential Practice Guide</w:t>
      </w:r>
      <w:r w:rsidR="00D63AA5">
        <w:t xml:space="preserve">, or </w:t>
      </w:r>
      <w:r w:rsidR="00D63AA5">
        <w:rPr>
          <w:b/>
        </w:rPr>
        <w:t>Australian Accounting Standard</w:t>
      </w:r>
      <w:r>
        <w:t xml:space="preserve"> is a reference to the Act, Regulations, Prudential Standard</w:t>
      </w:r>
      <w:r w:rsidR="00D63AA5">
        <w:t>,</w:t>
      </w:r>
      <w:r>
        <w:t xml:space="preserve"> Prudential Practice Guide</w:t>
      </w:r>
      <w:r w:rsidR="00D63AA5">
        <w:t xml:space="preserve"> or Australian Accounting Standard</w:t>
      </w:r>
      <w:r>
        <w:t xml:space="preserve"> as in force from time to time.</w:t>
      </w:r>
    </w:p>
    <w:p w14:paraId="49D0457F" w14:textId="77777777" w:rsidR="00742F5F" w:rsidRPr="00953F7D" w:rsidRDefault="00742F5F" w:rsidP="00742F5F">
      <w:pPr>
        <w:pStyle w:val="Heading3"/>
        <w:spacing w:before="120" w:after="240"/>
        <w:jc w:val="both"/>
        <w:rPr>
          <w:b/>
          <w:szCs w:val="24"/>
        </w:rPr>
      </w:pPr>
      <w:bookmarkStart w:id="14" w:name="_Toc506285983"/>
      <w:r w:rsidRPr="00953F7D">
        <w:rPr>
          <w:b/>
          <w:szCs w:val="24"/>
        </w:rPr>
        <w:t>Key principles</w:t>
      </w:r>
      <w:bookmarkEnd w:id="11"/>
      <w:bookmarkEnd w:id="12"/>
      <w:bookmarkEnd w:id="14"/>
    </w:p>
    <w:p w14:paraId="49D04580" w14:textId="77777777" w:rsidR="00F65C2D" w:rsidRPr="00953F7D" w:rsidRDefault="00742F5F" w:rsidP="001B7620">
      <w:pPr>
        <w:pStyle w:val="BodyText"/>
        <w:rPr>
          <w:rFonts w:ascii="Arial" w:hAnsi="Arial"/>
          <w:b/>
        </w:rPr>
      </w:pPr>
      <w:bookmarkStart w:id="15" w:name="_Ref358286935"/>
      <w:r w:rsidRPr="00953F7D">
        <w:t>An ADI must make accurate, high quality and timely public disclosures of information on its</w:t>
      </w:r>
      <w:r w:rsidR="00F65C2D" w:rsidRPr="00953F7D">
        <w:t>:</w:t>
      </w:r>
      <w:r w:rsidRPr="00953F7D">
        <w:t xml:space="preserve"> </w:t>
      </w:r>
    </w:p>
    <w:p w14:paraId="49D04581" w14:textId="77777777" w:rsidR="00F65C2D" w:rsidRPr="00953F7D" w:rsidRDefault="00F65C2D" w:rsidP="00E9482F">
      <w:pPr>
        <w:numPr>
          <w:ilvl w:val="1"/>
          <w:numId w:val="1"/>
        </w:numPr>
        <w:spacing w:after="240"/>
        <w:jc w:val="both"/>
        <w:rPr>
          <w:rFonts w:ascii="Arial" w:hAnsi="Arial"/>
          <w:b/>
          <w:bCs/>
        </w:rPr>
      </w:pPr>
      <w:r w:rsidRPr="00953F7D">
        <w:rPr>
          <w:bCs/>
        </w:rPr>
        <w:t>risk profile;</w:t>
      </w:r>
      <w:r w:rsidR="00742F5F" w:rsidRPr="00953F7D">
        <w:rPr>
          <w:bCs/>
        </w:rPr>
        <w:t xml:space="preserve"> </w:t>
      </w:r>
    </w:p>
    <w:p w14:paraId="49D04582" w14:textId="77777777" w:rsidR="00F65C2D" w:rsidRPr="00953F7D" w:rsidRDefault="00F65C2D" w:rsidP="00E9482F">
      <w:pPr>
        <w:numPr>
          <w:ilvl w:val="1"/>
          <w:numId w:val="1"/>
        </w:numPr>
        <w:spacing w:after="240"/>
        <w:jc w:val="both"/>
        <w:rPr>
          <w:rFonts w:ascii="Arial" w:hAnsi="Arial"/>
          <w:b/>
          <w:bCs/>
        </w:rPr>
      </w:pPr>
      <w:r w:rsidRPr="00953F7D">
        <w:rPr>
          <w:bCs/>
        </w:rPr>
        <w:t>risk management;</w:t>
      </w:r>
      <w:r w:rsidR="00742F5F" w:rsidRPr="00953F7D">
        <w:rPr>
          <w:bCs/>
        </w:rPr>
        <w:t xml:space="preserve"> </w:t>
      </w:r>
    </w:p>
    <w:p w14:paraId="49D04583" w14:textId="77777777" w:rsidR="00F65C2D" w:rsidRPr="00953F7D" w:rsidRDefault="00F65C2D" w:rsidP="00E9482F">
      <w:pPr>
        <w:numPr>
          <w:ilvl w:val="1"/>
          <w:numId w:val="1"/>
        </w:numPr>
        <w:spacing w:after="240"/>
        <w:jc w:val="both"/>
        <w:rPr>
          <w:rFonts w:ascii="Arial" w:hAnsi="Arial"/>
          <w:b/>
          <w:bCs/>
        </w:rPr>
      </w:pPr>
      <w:r w:rsidRPr="00953F7D">
        <w:rPr>
          <w:bCs/>
        </w:rPr>
        <w:t>capital adequacy;</w:t>
      </w:r>
      <w:r w:rsidR="00742F5F" w:rsidRPr="00953F7D">
        <w:rPr>
          <w:bCs/>
        </w:rPr>
        <w:t xml:space="preserve"> </w:t>
      </w:r>
    </w:p>
    <w:p w14:paraId="49D04584" w14:textId="77777777" w:rsidR="00F65C2D" w:rsidRPr="00953F7D" w:rsidRDefault="00742F5F" w:rsidP="00E9482F">
      <w:pPr>
        <w:numPr>
          <w:ilvl w:val="1"/>
          <w:numId w:val="1"/>
        </w:numPr>
        <w:spacing w:after="240"/>
        <w:jc w:val="both"/>
        <w:rPr>
          <w:rFonts w:ascii="Arial" w:hAnsi="Arial"/>
          <w:b/>
          <w:bCs/>
        </w:rPr>
      </w:pPr>
      <w:r w:rsidRPr="00953F7D">
        <w:rPr>
          <w:bCs/>
        </w:rPr>
        <w:t>capital instruments</w:t>
      </w:r>
      <w:r w:rsidR="00F65C2D" w:rsidRPr="00953F7D">
        <w:rPr>
          <w:bCs/>
        </w:rPr>
        <w:t>;</w:t>
      </w:r>
      <w:r w:rsidR="00CA2175" w:rsidRPr="00953F7D">
        <w:rPr>
          <w:bCs/>
        </w:rPr>
        <w:t xml:space="preserve"> </w:t>
      </w:r>
    </w:p>
    <w:p w14:paraId="49D04585" w14:textId="77777777" w:rsidR="00F65C2D" w:rsidRPr="00953F7D" w:rsidRDefault="00742F5F" w:rsidP="00E9482F">
      <w:pPr>
        <w:numPr>
          <w:ilvl w:val="1"/>
          <w:numId w:val="1"/>
        </w:numPr>
        <w:spacing w:after="240"/>
        <w:jc w:val="both"/>
        <w:rPr>
          <w:rFonts w:ascii="Arial" w:hAnsi="Arial"/>
          <w:b/>
          <w:bCs/>
        </w:rPr>
      </w:pPr>
      <w:r w:rsidRPr="00953F7D">
        <w:rPr>
          <w:bCs/>
        </w:rPr>
        <w:t>remuneration practices</w:t>
      </w:r>
      <w:r w:rsidR="00F65C2D" w:rsidRPr="00953F7D">
        <w:rPr>
          <w:bCs/>
        </w:rPr>
        <w:t>;</w:t>
      </w:r>
      <w:r w:rsidR="009E78A7" w:rsidRPr="00953F7D">
        <w:rPr>
          <w:bCs/>
        </w:rPr>
        <w:t xml:space="preserve"> </w:t>
      </w:r>
      <w:r w:rsidR="00F65C2D" w:rsidRPr="00953F7D">
        <w:rPr>
          <w:bCs/>
        </w:rPr>
        <w:t>and</w:t>
      </w:r>
      <w:r w:rsidR="00995242" w:rsidRPr="00953F7D">
        <w:rPr>
          <w:bCs/>
        </w:rPr>
        <w:t>,</w:t>
      </w:r>
      <w:r w:rsidR="009E78A7" w:rsidRPr="00953F7D">
        <w:rPr>
          <w:bCs/>
        </w:rPr>
        <w:t xml:space="preserve"> </w:t>
      </w:r>
    </w:p>
    <w:p w14:paraId="49D04586" w14:textId="77777777" w:rsidR="00F65C2D" w:rsidRPr="00953F7D" w:rsidRDefault="009E78A7" w:rsidP="00F65C2D">
      <w:pPr>
        <w:spacing w:after="240"/>
        <w:ind w:firstLine="0"/>
        <w:jc w:val="both"/>
        <w:rPr>
          <w:bCs/>
        </w:rPr>
      </w:pPr>
      <w:r w:rsidRPr="00953F7D">
        <w:rPr>
          <w:bCs/>
        </w:rPr>
        <w:t xml:space="preserve">where applicable, </w:t>
      </w:r>
      <w:r w:rsidR="0075657D" w:rsidRPr="00953F7D">
        <w:rPr>
          <w:bCs/>
        </w:rPr>
        <w:t xml:space="preserve">on </w:t>
      </w:r>
      <w:r w:rsidR="006E2FDA" w:rsidRPr="00953F7D">
        <w:rPr>
          <w:bCs/>
        </w:rPr>
        <w:t>its</w:t>
      </w:r>
      <w:r w:rsidR="00F65C2D" w:rsidRPr="00953F7D">
        <w:rPr>
          <w:bCs/>
        </w:rPr>
        <w:t>:</w:t>
      </w:r>
      <w:r w:rsidR="006E2FDA" w:rsidRPr="00953F7D">
        <w:rPr>
          <w:bCs/>
        </w:rPr>
        <w:t xml:space="preserve"> </w:t>
      </w:r>
    </w:p>
    <w:p w14:paraId="49D04587" w14:textId="77777777" w:rsidR="00F65C2D" w:rsidRPr="00953F7D" w:rsidRDefault="007C014D" w:rsidP="00E9482F">
      <w:pPr>
        <w:numPr>
          <w:ilvl w:val="1"/>
          <w:numId w:val="1"/>
        </w:numPr>
        <w:spacing w:after="240"/>
        <w:jc w:val="both"/>
        <w:rPr>
          <w:bCs/>
        </w:rPr>
      </w:pPr>
      <w:r w:rsidRPr="00953F7D">
        <w:rPr>
          <w:bCs/>
        </w:rPr>
        <w:t>leverage ratio</w:t>
      </w:r>
      <w:r w:rsidR="00F65C2D" w:rsidRPr="00953F7D">
        <w:rPr>
          <w:bCs/>
        </w:rPr>
        <w:t>;</w:t>
      </w:r>
      <w:r w:rsidRPr="00953F7D">
        <w:rPr>
          <w:bCs/>
        </w:rPr>
        <w:t xml:space="preserve"> </w:t>
      </w:r>
    </w:p>
    <w:p w14:paraId="49D04588" w14:textId="77777777" w:rsidR="00F65C2D" w:rsidRPr="00953F7D" w:rsidRDefault="00CD5F93" w:rsidP="00E9482F">
      <w:pPr>
        <w:numPr>
          <w:ilvl w:val="1"/>
          <w:numId w:val="1"/>
        </w:numPr>
        <w:spacing w:after="240"/>
        <w:jc w:val="both"/>
        <w:rPr>
          <w:rFonts w:ascii="Arial" w:hAnsi="Arial"/>
          <w:b/>
          <w:bCs/>
        </w:rPr>
      </w:pPr>
      <w:r w:rsidRPr="00953F7D">
        <w:rPr>
          <w:bCs/>
        </w:rPr>
        <w:t>liquidity coverage ratio (</w:t>
      </w:r>
      <w:r w:rsidR="006E2FDA" w:rsidRPr="00953F7D">
        <w:rPr>
          <w:bCs/>
        </w:rPr>
        <w:t>LCR</w:t>
      </w:r>
      <w:r w:rsidRPr="00953F7D">
        <w:rPr>
          <w:bCs/>
        </w:rPr>
        <w:t>)</w:t>
      </w:r>
      <w:r w:rsidR="008A5007">
        <w:rPr>
          <w:bCs/>
        </w:rPr>
        <w:t xml:space="preserve"> and net stable funding ratio (NSFR)</w:t>
      </w:r>
      <w:r w:rsidR="00F65C2D" w:rsidRPr="00953F7D">
        <w:rPr>
          <w:bCs/>
        </w:rPr>
        <w:t>;</w:t>
      </w:r>
      <w:r w:rsidR="00CA6E01" w:rsidRPr="00953F7D">
        <w:rPr>
          <w:bCs/>
        </w:rPr>
        <w:t xml:space="preserve"> and</w:t>
      </w:r>
      <w:r w:rsidR="007010DD" w:rsidRPr="00953F7D">
        <w:rPr>
          <w:bCs/>
        </w:rPr>
        <w:t xml:space="preserve"> </w:t>
      </w:r>
    </w:p>
    <w:p w14:paraId="49D04589" w14:textId="77777777" w:rsidR="00F65C2D" w:rsidRPr="00953F7D" w:rsidRDefault="007010DD" w:rsidP="00E9482F">
      <w:pPr>
        <w:pStyle w:val="ListParagraph"/>
        <w:numPr>
          <w:ilvl w:val="1"/>
          <w:numId w:val="1"/>
        </w:numPr>
        <w:spacing w:after="240"/>
        <w:jc w:val="both"/>
        <w:rPr>
          <w:rFonts w:ascii="Arial" w:hAnsi="Arial"/>
          <w:b/>
          <w:bCs/>
        </w:rPr>
      </w:pPr>
      <w:r w:rsidRPr="00953F7D">
        <w:rPr>
          <w:bCs/>
        </w:rPr>
        <w:t>global systemically important bank</w:t>
      </w:r>
      <w:r w:rsidR="00CA6E01" w:rsidRPr="00953F7D">
        <w:rPr>
          <w:bCs/>
        </w:rPr>
        <w:t xml:space="preserve"> </w:t>
      </w:r>
      <w:r w:rsidRPr="00953F7D">
        <w:rPr>
          <w:bCs/>
        </w:rPr>
        <w:t>(</w:t>
      </w:r>
      <w:r w:rsidR="009E78A7" w:rsidRPr="00953F7D">
        <w:rPr>
          <w:bCs/>
        </w:rPr>
        <w:t>G-SIB</w:t>
      </w:r>
      <w:r w:rsidRPr="00953F7D">
        <w:rPr>
          <w:bCs/>
        </w:rPr>
        <w:t>)</w:t>
      </w:r>
      <w:r w:rsidR="009E78A7" w:rsidRPr="00953F7D">
        <w:rPr>
          <w:bCs/>
        </w:rPr>
        <w:t xml:space="preserve"> indicators</w:t>
      </w:r>
      <w:r w:rsidR="00CA6E01" w:rsidRPr="00953F7D">
        <w:rPr>
          <w:bCs/>
        </w:rPr>
        <w:t>,</w:t>
      </w:r>
      <w:r w:rsidR="00742F5F" w:rsidRPr="00953F7D">
        <w:rPr>
          <w:bCs/>
        </w:rPr>
        <w:t xml:space="preserve"> </w:t>
      </w:r>
    </w:p>
    <w:p w14:paraId="49D0458A" w14:textId="77777777" w:rsidR="00742F5F" w:rsidRPr="00953F7D" w:rsidRDefault="00742F5F" w:rsidP="00F65C2D">
      <w:pPr>
        <w:spacing w:after="240"/>
        <w:ind w:firstLine="0"/>
        <w:jc w:val="both"/>
        <w:rPr>
          <w:rFonts w:ascii="Arial" w:hAnsi="Arial"/>
          <w:b/>
          <w:bCs/>
        </w:rPr>
      </w:pPr>
      <w:r w:rsidRPr="00953F7D">
        <w:rPr>
          <w:bCs/>
        </w:rPr>
        <w:t>so as to contribute to the transparency of financial markets and to enhance market discipline.</w:t>
      </w:r>
      <w:bookmarkEnd w:id="15"/>
    </w:p>
    <w:p w14:paraId="49D0458B" w14:textId="77777777" w:rsidR="00742F5F" w:rsidRPr="00953F7D" w:rsidRDefault="00742F5F" w:rsidP="001B7620">
      <w:pPr>
        <w:pStyle w:val="BodyText"/>
      </w:pPr>
      <w:bookmarkStart w:id="16" w:name="_Ref358286942"/>
      <w:r w:rsidRPr="00953F7D">
        <w:t>An ADI’s public disclosures must be consistent with the scope and complexity of its operations and the sophistication of its risk management systems and processes.</w:t>
      </w:r>
      <w:bookmarkEnd w:id="16"/>
    </w:p>
    <w:p w14:paraId="49D0458C" w14:textId="77777777" w:rsidR="00742F5F" w:rsidRPr="00953F7D" w:rsidRDefault="00742F5F" w:rsidP="00742F5F">
      <w:pPr>
        <w:pStyle w:val="Heading3"/>
        <w:spacing w:before="120" w:after="240"/>
        <w:jc w:val="both"/>
        <w:rPr>
          <w:b/>
        </w:rPr>
      </w:pPr>
      <w:bookmarkStart w:id="17" w:name="_Toc506285984"/>
      <w:bookmarkStart w:id="18" w:name="_Toc179099273"/>
      <w:bookmarkStart w:id="19" w:name="_Toc179099598"/>
      <w:bookmarkStart w:id="20" w:name="_Toc179099998"/>
      <w:bookmarkStart w:id="21" w:name="_Toc179100087"/>
      <w:bookmarkEnd w:id="13"/>
      <w:r w:rsidRPr="00953F7D">
        <w:rPr>
          <w:b/>
          <w:szCs w:val="24"/>
        </w:rPr>
        <w:t>Definitions</w:t>
      </w:r>
      <w:bookmarkEnd w:id="17"/>
    </w:p>
    <w:p w14:paraId="49D0458D" w14:textId="77777777" w:rsidR="00742F5F" w:rsidRPr="00953F7D" w:rsidRDefault="00742F5F" w:rsidP="001B7620">
      <w:pPr>
        <w:pStyle w:val="BodyText"/>
      </w:pPr>
      <w:bookmarkStart w:id="22" w:name="_Ref406398104"/>
      <w:r w:rsidRPr="00953F7D">
        <w:t>For the purposes of this Prudential Standard:</w:t>
      </w:r>
      <w:bookmarkEnd w:id="22"/>
    </w:p>
    <w:p w14:paraId="49D0458E" w14:textId="77777777" w:rsidR="008A5007" w:rsidRDefault="008A5007" w:rsidP="008A5007">
      <w:pPr>
        <w:pStyle w:val="Bodytextlist"/>
      </w:pPr>
      <w:bookmarkStart w:id="23" w:name="_Toc506285985"/>
      <w:r>
        <w:rPr>
          <w:bCs w:val="0"/>
          <w:lang w:val="en-AU" w:eastAsia="en-AU"/>
        </w:rPr>
        <w:t>‘</w:t>
      </w:r>
      <w:r w:rsidRPr="008A5007">
        <w:rPr>
          <w:bCs w:val="0"/>
          <w:lang w:val="en-AU" w:eastAsia="en-AU"/>
        </w:rPr>
        <w:t>accounting standards’ means</w:t>
      </w:r>
      <w:r>
        <w:rPr>
          <w:bCs w:val="0"/>
          <w:lang w:val="en-AU" w:eastAsia="en-AU"/>
        </w:rPr>
        <w:t xml:space="preserve"> </w:t>
      </w:r>
      <w:r w:rsidRPr="00C71C0C">
        <w:rPr>
          <w:bCs w:val="0"/>
          <w:lang w:val="en-AU" w:eastAsia="en-AU"/>
        </w:rPr>
        <w:t>Australian Accounting Standards</w:t>
      </w:r>
      <w:r w:rsidRPr="008A5007">
        <w:rPr>
          <w:bCs w:val="0"/>
          <w:lang w:val="en-AU" w:eastAsia="en-AU"/>
        </w:rPr>
        <w:t>;</w:t>
      </w:r>
      <w:bookmarkEnd w:id="23"/>
    </w:p>
    <w:p w14:paraId="49D0458F" w14:textId="4B6F2B9F"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 xml:space="preserve">‘annual directors’ report’ is the directors’ report for a financial year required under the </w:t>
      </w:r>
      <w:r w:rsidRPr="008A5007">
        <w:rPr>
          <w:b/>
        </w:rPr>
        <w:t>Corporations Act</w:t>
      </w:r>
      <w:r w:rsidRPr="00953F7D">
        <w:t>;</w:t>
      </w:r>
    </w:p>
    <w:p w14:paraId="49D04590" w14:textId="77777777"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‘annual financial report’ has the meaning given in the Corporations Act;</w:t>
      </w:r>
    </w:p>
    <w:p w14:paraId="49D04591" w14:textId="77777777"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 xml:space="preserve">‘AT1’ refers to </w:t>
      </w:r>
      <w:r w:rsidRPr="00953F7D">
        <w:rPr>
          <w:b/>
        </w:rPr>
        <w:t>Additional Tier 1 Capital</w:t>
      </w:r>
      <w:r w:rsidRPr="00953F7D">
        <w:t>;</w:t>
      </w:r>
    </w:p>
    <w:p w14:paraId="49D04592" w14:textId="77777777" w:rsidR="00742AAE" w:rsidRPr="00953F7D" w:rsidRDefault="00742AAE"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‘the Basel Committee’ refers to the Basel Committee on Banking Supervision;</w:t>
      </w:r>
    </w:p>
    <w:p w14:paraId="49D04593" w14:textId="77777777"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 xml:space="preserve">‘the Basel II framework’ refers to the document </w:t>
      </w:r>
      <w:r w:rsidRPr="00953F7D">
        <w:rPr>
          <w:i/>
        </w:rPr>
        <w:t>International Convergence of Capital Measurement and Capital Standards</w:t>
      </w:r>
      <w:r w:rsidRPr="00953F7D">
        <w:t xml:space="preserve">: </w:t>
      </w:r>
      <w:r w:rsidRPr="00953F7D">
        <w:rPr>
          <w:i/>
        </w:rPr>
        <w:t>A Revised Framework</w:t>
      </w:r>
      <w:r w:rsidRPr="00953F7D">
        <w:t>, Comprehensive Version¸ June 2006, published by the Basel Committee;</w:t>
      </w:r>
    </w:p>
    <w:p w14:paraId="49D04594" w14:textId="77777777"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 xml:space="preserve">‘Basel III’ refers to the document </w:t>
      </w:r>
      <w:r w:rsidRPr="00953F7D">
        <w:rPr>
          <w:i/>
        </w:rPr>
        <w:t>Basel III: A global regulatory framework for more resilient banks and banking systems</w:t>
      </w:r>
      <w:r w:rsidRPr="00953F7D">
        <w:t>, revised version, June 2011, published by the Basel Committee;</w:t>
      </w:r>
    </w:p>
    <w:p w14:paraId="49D04595" w14:textId="77777777"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‘capital disclosures’ means the disclosures in Attachments A and B;</w:t>
      </w:r>
    </w:p>
    <w:p w14:paraId="49D04596" w14:textId="77777777"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w:t>
      </w:r>
      <w:r w:rsidR="009C081C" w:rsidRPr="00953F7D">
        <w:t xml:space="preserve">capital </w:t>
      </w:r>
      <w:r w:rsidRPr="00953F7D">
        <w:t>disclosure template’ means Table 1 in Attachment A;</w:t>
      </w:r>
    </w:p>
    <w:p w14:paraId="49D04597" w14:textId="77777777"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 xml:space="preserve">‘CET1’ refers to </w:t>
      </w:r>
      <w:r w:rsidRPr="00953F7D">
        <w:rPr>
          <w:b/>
        </w:rPr>
        <w:t>Common Equity Tier 1 Capital</w:t>
      </w:r>
      <w:r w:rsidRPr="00953F7D">
        <w:t>;</w:t>
      </w:r>
    </w:p>
    <w:p w14:paraId="49D04598" w14:textId="77777777"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‘directors’ report’ has the meaning given in the Corporations Act;</w:t>
      </w:r>
    </w:p>
    <w:p w14:paraId="49D04599" w14:textId="77777777"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‘financial report’ is as defined in the Corporations Act;</w:t>
      </w:r>
    </w:p>
    <w:p w14:paraId="49D0459A" w14:textId="77777777"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‘financial statement’ is as defined in the Corporations Act;</w:t>
      </w:r>
    </w:p>
    <w:p w14:paraId="49D0459B" w14:textId="77777777" w:rsidR="00CC5FF7" w:rsidRPr="00953F7D" w:rsidRDefault="00CC5FF7"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w:t>
      </w:r>
      <w:r w:rsidR="00ED68F1" w:rsidRPr="00953F7D">
        <w:t>d</w:t>
      </w:r>
      <w:r w:rsidRPr="00953F7D">
        <w:t>isclosure</w:t>
      </w:r>
      <w:r w:rsidR="00242034" w:rsidRPr="00953F7D">
        <w:t>s for the identification of potential</w:t>
      </w:r>
      <w:r w:rsidR="004A780F" w:rsidRPr="00953F7D">
        <w:t xml:space="preserve"> G-SIBs</w:t>
      </w:r>
      <w:r w:rsidRPr="00953F7D">
        <w:t xml:space="preserve">’ means the disclosures in Attachment H; </w:t>
      </w:r>
    </w:p>
    <w:p w14:paraId="49D0459C" w14:textId="77777777" w:rsidR="00EB68E5" w:rsidRPr="00953F7D" w:rsidRDefault="00EB68E5"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 xml:space="preserve">‘HQLA’ </w:t>
      </w:r>
      <w:r w:rsidR="00551597" w:rsidRPr="00953F7D">
        <w:t xml:space="preserve">means </w:t>
      </w:r>
      <w:r w:rsidRPr="00953F7D">
        <w:t>high-quality liquid assets</w:t>
      </w:r>
      <w:r w:rsidR="00551597" w:rsidRPr="00953F7D">
        <w:t xml:space="preserve"> determined in accordance with </w:t>
      </w:r>
      <w:r w:rsidR="008A5007" w:rsidRPr="008A5007">
        <w:rPr>
          <w:i/>
        </w:rPr>
        <w:t>Prudential Standard</w:t>
      </w:r>
      <w:r w:rsidR="008A5007">
        <w:t xml:space="preserve"> </w:t>
      </w:r>
      <w:r w:rsidR="00551597" w:rsidRPr="00953F7D">
        <w:rPr>
          <w:i/>
        </w:rPr>
        <w:t xml:space="preserve">APS 210 Liquidity </w:t>
      </w:r>
      <w:r w:rsidR="00551597" w:rsidRPr="00953F7D">
        <w:t>(APS 210)</w:t>
      </w:r>
      <w:r w:rsidRPr="00953F7D">
        <w:t>;</w:t>
      </w:r>
    </w:p>
    <w:p w14:paraId="49D0459D" w14:textId="77777777" w:rsidR="007942D0" w:rsidRPr="00953F7D" w:rsidRDefault="007942D0"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 xml:space="preserve">‘IRB ADI’ is an ADI with approval from APRA to use the </w:t>
      </w:r>
      <w:r w:rsidRPr="00953F7D">
        <w:rPr>
          <w:b/>
        </w:rPr>
        <w:t>internal ratings-based (IRB) approach to credit risk</w:t>
      </w:r>
      <w:r w:rsidRPr="00953F7D">
        <w:t>;</w:t>
      </w:r>
    </w:p>
    <w:p w14:paraId="49D0459E" w14:textId="77777777" w:rsidR="006E2FDA" w:rsidRPr="00953F7D" w:rsidRDefault="006E2FDA"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‘LCR</w:t>
      </w:r>
      <w:r w:rsidR="002F2773" w:rsidRPr="00953F7D">
        <w:t>’</w:t>
      </w:r>
      <w:r w:rsidRPr="00953F7D">
        <w:t xml:space="preserve"> is as defined in APS 210; </w:t>
      </w:r>
    </w:p>
    <w:p w14:paraId="49D0459F" w14:textId="77777777" w:rsidR="008B68AE" w:rsidRPr="00953F7D" w:rsidRDefault="008B68AE"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bookmarkStart w:id="24" w:name="_Ref406398111"/>
      <w:r w:rsidRPr="00953F7D">
        <w:t xml:space="preserve">‘LCR ADI’ is </w:t>
      </w:r>
      <w:r w:rsidR="00230C6A" w:rsidRPr="00953F7D">
        <w:t xml:space="preserve">an ADI classified as an LCR ADI under </w:t>
      </w:r>
      <w:r w:rsidRPr="00953F7D">
        <w:t>APS 210</w:t>
      </w:r>
      <w:r w:rsidR="005E3270" w:rsidRPr="00953F7D">
        <w:t xml:space="preserve"> but does not include a </w:t>
      </w:r>
      <w:r w:rsidR="005E3270" w:rsidRPr="00953F7D">
        <w:rPr>
          <w:b/>
        </w:rPr>
        <w:t>foreign ADI</w:t>
      </w:r>
      <w:r w:rsidRPr="00953F7D">
        <w:t>;</w:t>
      </w:r>
      <w:bookmarkEnd w:id="24"/>
    </w:p>
    <w:p w14:paraId="49D045A1" w14:textId="77777777" w:rsidR="001C7D0C" w:rsidRPr="00953F7D" w:rsidRDefault="008B68AE"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w:t>
      </w:r>
      <w:r w:rsidR="001C7D0C" w:rsidRPr="00953F7D">
        <w:t xml:space="preserve">leverage ratio’ is as defined in </w:t>
      </w:r>
      <w:r w:rsidR="001C7D0C" w:rsidRPr="00953F7D">
        <w:rPr>
          <w:i/>
        </w:rPr>
        <w:t xml:space="preserve">Prudential Standard APS 110 Capital Adequacy </w:t>
      </w:r>
      <w:r w:rsidR="001C7D0C" w:rsidRPr="00953F7D">
        <w:t>(APS 110);</w:t>
      </w:r>
    </w:p>
    <w:p w14:paraId="49D045A2" w14:textId="77777777" w:rsidR="008B68AE" w:rsidRPr="00953F7D" w:rsidRDefault="008B68AE"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‘leverage ratio disclosures’ means the disclosures in Attachment E;</w:t>
      </w:r>
    </w:p>
    <w:p w14:paraId="49D045A3" w14:textId="77777777" w:rsidR="00742F5F"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‘main features template’ means Table 2 in Attachment B;</w:t>
      </w:r>
    </w:p>
    <w:p w14:paraId="49D045A4" w14:textId="77777777" w:rsidR="008A5007" w:rsidRPr="00953F7D" w:rsidRDefault="008A5007"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t>‘NSFR’ is as defined in APS 210;</w:t>
      </w:r>
    </w:p>
    <w:p w14:paraId="49D045A5" w14:textId="77777777"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 xml:space="preserve">‘prudential disclosures’ means the disclosures in Attachments A to </w:t>
      </w:r>
      <w:r w:rsidR="008048A9" w:rsidRPr="00953F7D">
        <w:t>H</w:t>
      </w:r>
      <w:r w:rsidRPr="00953F7D">
        <w:t xml:space="preserve"> and includes the Regulatory Capital reconciliation prepared in accordance with paragraph </w:t>
      </w:r>
      <w:r w:rsidR="00C12036" w:rsidRPr="00953F7D">
        <w:fldChar w:fldCharType="begin"/>
      </w:r>
      <w:r w:rsidR="00C12036" w:rsidRPr="00953F7D">
        <w:instrText xml:space="preserve"> REF _Ref398210910 \r \h </w:instrText>
      </w:r>
      <w:r w:rsidR="00953F7D">
        <w:instrText xml:space="preserve"> \* MERGEFORMAT </w:instrText>
      </w:r>
      <w:r w:rsidR="00C12036" w:rsidRPr="00953F7D">
        <w:fldChar w:fldCharType="separate"/>
      </w:r>
      <w:r w:rsidR="004356DE">
        <w:t>12</w:t>
      </w:r>
      <w:r w:rsidR="00C12036" w:rsidRPr="00953F7D">
        <w:fldChar w:fldCharType="end"/>
      </w:r>
      <w:r w:rsidRPr="00953F7D">
        <w:t xml:space="preserve"> below; </w:t>
      </w:r>
    </w:p>
    <w:p w14:paraId="49D045A6" w14:textId="77777777"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 xml:space="preserve">‘Regulatory Capital’ is as defined in </w:t>
      </w:r>
      <w:r w:rsidRPr="00953F7D">
        <w:rPr>
          <w:bCs/>
          <w:i/>
          <w:iCs/>
        </w:rPr>
        <w:t>Prudential Standard APS 111 Capital Adequacy: Measurement of Capital</w:t>
      </w:r>
      <w:r w:rsidRPr="00953F7D">
        <w:rPr>
          <w:bCs/>
          <w:iCs/>
        </w:rPr>
        <w:t xml:space="preserve"> (APS 111);</w:t>
      </w:r>
      <w:r w:rsidRPr="00953F7D">
        <w:rPr>
          <w:b/>
          <w:bCs/>
          <w:iCs/>
        </w:rPr>
        <w:t xml:space="preserve"> </w:t>
      </w:r>
    </w:p>
    <w:p w14:paraId="49D045A7" w14:textId="77777777"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 xml:space="preserve">‘Regulatory Capital reconciliation’ means the document to be prepared in accordance with paragraph </w:t>
      </w:r>
      <w:r w:rsidR="00C12036" w:rsidRPr="00953F7D">
        <w:fldChar w:fldCharType="begin"/>
      </w:r>
      <w:r w:rsidR="00C12036" w:rsidRPr="00953F7D">
        <w:instrText xml:space="preserve"> REF _Ref398210910 \r \h </w:instrText>
      </w:r>
      <w:r w:rsidR="00953F7D">
        <w:instrText xml:space="preserve"> \* MERGEFORMAT </w:instrText>
      </w:r>
      <w:r w:rsidR="00C12036" w:rsidRPr="00953F7D">
        <w:fldChar w:fldCharType="separate"/>
      </w:r>
      <w:r w:rsidR="007D232B">
        <w:t>12</w:t>
      </w:r>
      <w:r w:rsidR="00C12036" w:rsidRPr="00953F7D">
        <w:fldChar w:fldCharType="end"/>
      </w:r>
      <w:r w:rsidRPr="00953F7D">
        <w:t xml:space="preserve"> below;</w:t>
      </w:r>
    </w:p>
    <w:p w14:paraId="49D045A8" w14:textId="77777777"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ind w:left="1260" w:hanging="693"/>
        <w:jc w:val="both"/>
      </w:pPr>
      <w:r w:rsidRPr="00953F7D">
        <w:t>‘risk exposure and assessment’ means the disclosures in Attachments C and D;</w:t>
      </w:r>
    </w:p>
    <w:p w14:paraId="49D045A9" w14:textId="77777777"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 xml:space="preserve">‘remuneration disclosures’ means the disclosures in Attachment </w:t>
      </w:r>
      <w:r w:rsidR="00CA6E01" w:rsidRPr="00953F7D">
        <w:t>G</w:t>
      </w:r>
      <w:r w:rsidRPr="00953F7D">
        <w:t>;</w:t>
      </w:r>
    </w:p>
    <w:p w14:paraId="49D045AA" w14:textId="77777777"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 xml:space="preserve">‘T1’ refers to </w:t>
      </w:r>
      <w:r w:rsidRPr="00953F7D">
        <w:rPr>
          <w:b/>
        </w:rPr>
        <w:t>Tier 1 Capital</w:t>
      </w:r>
      <w:r w:rsidRPr="00953F7D">
        <w:t>; and</w:t>
      </w:r>
    </w:p>
    <w:p w14:paraId="49D045AB" w14:textId="77777777" w:rsidR="00742F5F" w:rsidRPr="00953F7D" w:rsidRDefault="00742F5F" w:rsidP="00E9482F">
      <w:pPr>
        <w:numPr>
          <w:ilvl w:val="1"/>
          <w:numId w:val="1"/>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after="240"/>
        <w:jc w:val="both"/>
      </w:pPr>
      <w:r w:rsidRPr="00953F7D">
        <w:t xml:space="preserve">‘T2’ refers to </w:t>
      </w:r>
      <w:r w:rsidRPr="00953F7D">
        <w:rPr>
          <w:b/>
        </w:rPr>
        <w:t>Tier 2 Capital</w:t>
      </w:r>
      <w:r w:rsidRPr="00953F7D">
        <w:t>.</w:t>
      </w:r>
    </w:p>
    <w:p w14:paraId="49D045AC" w14:textId="77777777" w:rsidR="00742F5F" w:rsidRPr="00953F7D" w:rsidRDefault="00742F5F" w:rsidP="00742F5F">
      <w:pPr>
        <w:pStyle w:val="Heading3"/>
        <w:keepLines/>
        <w:spacing w:before="120" w:after="240"/>
        <w:jc w:val="both"/>
        <w:rPr>
          <w:b/>
          <w:szCs w:val="24"/>
        </w:rPr>
      </w:pPr>
      <w:bookmarkStart w:id="25" w:name="_Toc506285986"/>
      <w:r w:rsidRPr="00953F7D">
        <w:rPr>
          <w:b/>
          <w:szCs w:val="24"/>
        </w:rPr>
        <w:t>Capital disclosure requirements</w:t>
      </w:r>
      <w:bookmarkEnd w:id="25"/>
      <w:r w:rsidRPr="00953F7D">
        <w:rPr>
          <w:b/>
          <w:szCs w:val="24"/>
        </w:rPr>
        <w:tab/>
      </w:r>
    </w:p>
    <w:p w14:paraId="49D045AD" w14:textId="77777777" w:rsidR="00742F5F" w:rsidRPr="00953F7D" w:rsidRDefault="00742F5F" w:rsidP="001B7620">
      <w:pPr>
        <w:pStyle w:val="BodyText"/>
      </w:pPr>
      <w:r w:rsidRPr="00953F7D">
        <w:t xml:space="preserve">All ADIs to which this Prudential Standard applies must make the disclosures in Attachments A and B and must disclose the full terms and conditions of instruments included in their Regulatory Capital in accordance with the provisions of this Prudential Standard. </w:t>
      </w:r>
    </w:p>
    <w:p w14:paraId="49D045AF" w14:textId="77777777" w:rsidR="00742F5F" w:rsidRPr="00953F7D" w:rsidRDefault="00742F5F" w:rsidP="001B7620">
      <w:pPr>
        <w:pStyle w:val="BodyText"/>
      </w:pPr>
      <w:bookmarkStart w:id="26" w:name="_Ref351107680"/>
      <w:bookmarkStart w:id="27" w:name="_Ref398210910"/>
      <w:r w:rsidRPr="00953F7D">
        <w:t>All ADIs must prepare and disclose a Regulatory Capital reconciliation. This is a full reconciliation of all Regulatory Capital elements to the ADI’s balance sheet in its audited financial statements. The reconciliation must:</w:t>
      </w:r>
      <w:bookmarkEnd w:id="26"/>
      <w:bookmarkEnd w:id="27"/>
    </w:p>
    <w:p w14:paraId="49D045B0" w14:textId="77777777" w:rsidR="00742F5F" w:rsidRPr="00953F7D" w:rsidRDefault="00742F5F" w:rsidP="00E9482F">
      <w:pPr>
        <w:pStyle w:val="Paragraph"/>
        <w:numPr>
          <w:ilvl w:val="1"/>
          <w:numId w:val="1"/>
        </w:numPr>
        <w:rPr>
          <w:rFonts w:ascii="Times New Roman" w:hAnsi="Times New Roman"/>
          <w:bCs/>
          <w:iCs/>
          <w:sz w:val="24"/>
          <w:szCs w:val="24"/>
        </w:rPr>
      </w:pPr>
      <w:bookmarkStart w:id="28" w:name="_Ref352937753"/>
      <w:r w:rsidRPr="00953F7D">
        <w:rPr>
          <w:rFonts w:ascii="Times New Roman" w:hAnsi="Times New Roman"/>
          <w:bCs/>
          <w:iCs/>
          <w:sz w:val="24"/>
          <w:szCs w:val="24"/>
        </w:rPr>
        <w:t xml:space="preserve">include the reported balance sheet under the regulatory scope of consolidation; </w:t>
      </w:r>
    </w:p>
    <w:p w14:paraId="49D045B1" w14:textId="77777777" w:rsidR="00742F5F" w:rsidRPr="00953F7D" w:rsidRDefault="00742F5F" w:rsidP="00E9482F">
      <w:pPr>
        <w:pStyle w:val="Paragraph"/>
        <w:numPr>
          <w:ilvl w:val="1"/>
          <w:numId w:val="1"/>
        </w:numPr>
        <w:rPr>
          <w:rFonts w:ascii="Times New Roman" w:hAnsi="Times New Roman"/>
          <w:bCs/>
          <w:iCs/>
          <w:sz w:val="24"/>
          <w:szCs w:val="24"/>
        </w:rPr>
      </w:pPr>
      <w:bookmarkStart w:id="29" w:name="_Ref357764832"/>
      <w:r w:rsidRPr="00953F7D">
        <w:rPr>
          <w:rFonts w:ascii="Times New Roman" w:hAnsi="Times New Roman"/>
          <w:bCs/>
          <w:iCs/>
          <w:sz w:val="24"/>
          <w:szCs w:val="24"/>
        </w:rPr>
        <w:t>include a list of legal entities that are included within the accounting scope of consolidation but excluded from the regulatory scope of consolidation and vice-versa. Any entities included in both the regulatory and accounting scope of consolidation where the method of consolidation differs must be listed separately with an explanation of the differences between consolidation methods;</w:t>
      </w:r>
      <w:bookmarkEnd w:id="28"/>
      <w:bookmarkEnd w:id="29"/>
    </w:p>
    <w:p w14:paraId="49D045B2" w14:textId="77777777" w:rsidR="00742F5F" w:rsidRPr="00953F7D" w:rsidRDefault="00742F5F" w:rsidP="00E9482F">
      <w:pPr>
        <w:pStyle w:val="Paragraph"/>
        <w:widowControl w:val="0"/>
        <w:numPr>
          <w:ilvl w:val="1"/>
          <w:numId w:val="1"/>
        </w:numPr>
        <w:rPr>
          <w:rFonts w:ascii="Times New Roman" w:hAnsi="Times New Roman"/>
          <w:bCs/>
          <w:iCs/>
          <w:sz w:val="24"/>
          <w:szCs w:val="24"/>
        </w:rPr>
      </w:pPr>
      <w:bookmarkStart w:id="30" w:name="_Ref352915603"/>
      <w:r w:rsidRPr="00953F7D">
        <w:rPr>
          <w:rFonts w:ascii="Times New Roman" w:hAnsi="Times New Roman"/>
          <w:bCs/>
          <w:iCs/>
          <w:sz w:val="24"/>
          <w:szCs w:val="24"/>
        </w:rPr>
        <w:t xml:space="preserve">expand each line of the balance sheet under the regulatory scope of consolidation to display all components of the </w:t>
      </w:r>
      <w:r w:rsidR="009C081C" w:rsidRPr="00953F7D">
        <w:rPr>
          <w:rFonts w:ascii="Times New Roman" w:hAnsi="Times New Roman"/>
          <w:bCs/>
          <w:iCs/>
          <w:sz w:val="24"/>
          <w:szCs w:val="24"/>
        </w:rPr>
        <w:t xml:space="preserve">capital </w:t>
      </w:r>
      <w:r w:rsidRPr="00953F7D">
        <w:rPr>
          <w:rFonts w:ascii="Times New Roman" w:hAnsi="Times New Roman"/>
          <w:bCs/>
          <w:iCs/>
          <w:sz w:val="24"/>
          <w:szCs w:val="24"/>
        </w:rPr>
        <w:t>disclosure template; and</w:t>
      </w:r>
      <w:bookmarkEnd w:id="30"/>
    </w:p>
    <w:p w14:paraId="49D045B3" w14:textId="77777777" w:rsidR="00742F5F" w:rsidRPr="00953F7D" w:rsidRDefault="00742F5F" w:rsidP="00E9482F">
      <w:pPr>
        <w:pStyle w:val="Paragraph"/>
        <w:widowControl w:val="0"/>
        <w:numPr>
          <w:ilvl w:val="1"/>
          <w:numId w:val="1"/>
        </w:numPr>
        <w:rPr>
          <w:rFonts w:ascii="Times New Roman" w:hAnsi="Times New Roman"/>
          <w:bCs/>
          <w:iCs/>
          <w:sz w:val="24"/>
          <w:szCs w:val="24"/>
        </w:rPr>
      </w:pPr>
      <w:r w:rsidRPr="00953F7D">
        <w:rPr>
          <w:rFonts w:ascii="Times New Roman" w:hAnsi="Times New Roman"/>
          <w:bCs/>
          <w:iCs/>
          <w:sz w:val="24"/>
          <w:szCs w:val="24"/>
        </w:rPr>
        <w:t xml:space="preserve">map each of the components disclosed in (c) to the </w:t>
      </w:r>
      <w:r w:rsidR="009C081C" w:rsidRPr="00953F7D">
        <w:rPr>
          <w:rFonts w:ascii="Times New Roman" w:hAnsi="Times New Roman"/>
          <w:bCs/>
          <w:iCs/>
          <w:sz w:val="24"/>
          <w:szCs w:val="24"/>
        </w:rPr>
        <w:t xml:space="preserve">capital </w:t>
      </w:r>
      <w:r w:rsidRPr="00953F7D">
        <w:rPr>
          <w:rFonts w:ascii="Times New Roman" w:hAnsi="Times New Roman"/>
          <w:bCs/>
          <w:iCs/>
          <w:sz w:val="24"/>
          <w:szCs w:val="24"/>
        </w:rPr>
        <w:t>disclosure template by reference to each line item.</w:t>
      </w:r>
    </w:p>
    <w:p w14:paraId="49D045B4" w14:textId="77777777" w:rsidR="00742F5F" w:rsidRPr="00953F7D" w:rsidRDefault="00742F5F" w:rsidP="001B7620">
      <w:pPr>
        <w:pStyle w:val="BodyText"/>
      </w:pPr>
      <w:r w:rsidRPr="00953F7D">
        <w:t xml:space="preserve">For each entity listed in accordance with paragraph </w:t>
      </w:r>
      <w:r w:rsidRPr="00953F7D">
        <w:fldChar w:fldCharType="begin"/>
      </w:r>
      <w:r w:rsidRPr="00953F7D">
        <w:instrText xml:space="preserve"> REF _Ref357764832 \r \h </w:instrText>
      </w:r>
      <w:r w:rsidR="00953F7D">
        <w:instrText xml:space="preserve"> \* MERGEFORMAT </w:instrText>
      </w:r>
      <w:r w:rsidRPr="00953F7D">
        <w:fldChar w:fldCharType="separate"/>
      </w:r>
      <w:r w:rsidR="007F7EC1">
        <w:t>12(b)</w:t>
      </w:r>
      <w:r w:rsidRPr="00953F7D">
        <w:fldChar w:fldCharType="end"/>
      </w:r>
      <w:r w:rsidR="00EE31F5" w:rsidRPr="00953F7D">
        <w:t xml:space="preserve"> </w:t>
      </w:r>
      <w:r w:rsidRPr="00953F7D">
        <w:t>above, an ADI must disclose:</w:t>
      </w:r>
    </w:p>
    <w:p w14:paraId="49D045B5" w14:textId="77777777" w:rsidR="00742F5F" w:rsidRPr="00953F7D" w:rsidRDefault="00742F5F" w:rsidP="00E9482F">
      <w:pPr>
        <w:numPr>
          <w:ilvl w:val="1"/>
          <w:numId w:val="1"/>
        </w:numPr>
        <w:spacing w:after="240"/>
        <w:jc w:val="both"/>
        <w:rPr>
          <w:bCs/>
          <w:iCs/>
        </w:rPr>
      </w:pPr>
      <w:r w:rsidRPr="00953F7D">
        <w:rPr>
          <w:bCs/>
          <w:iCs/>
        </w:rPr>
        <w:t>total balance sheet assets;</w:t>
      </w:r>
    </w:p>
    <w:p w14:paraId="49D045B6" w14:textId="77777777" w:rsidR="00742F5F" w:rsidRPr="00953F7D" w:rsidRDefault="00742F5F" w:rsidP="00E9482F">
      <w:pPr>
        <w:numPr>
          <w:ilvl w:val="1"/>
          <w:numId w:val="1"/>
        </w:numPr>
        <w:spacing w:after="240"/>
        <w:jc w:val="both"/>
        <w:rPr>
          <w:bCs/>
          <w:iCs/>
        </w:rPr>
      </w:pPr>
      <w:r w:rsidRPr="00953F7D">
        <w:rPr>
          <w:bCs/>
          <w:iCs/>
        </w:rPr>
        <w:t>total balance sheet liabilities; and</w:t>
      </w:r>
    </w:p>
    <w:p w14:paraId="49D045B7" w14:textId="77777777" w:rsidR="00742F5F" w:rsidRPr="00953F7D" w:rsidRDefault="00742F5F" w:rsidP="00E9482F">
      <w:pPr>
        <w:numPr>
          <w:ilvl w:val="1"/>
          <w:numId w:val="1"/>
        </w:numPr>
        <w:spacing w:after="240"/>
        <w:jc w:val="both"/>
        <w:rPr>
          <w:bCs/>
          <w:iCs/>
        </w:rPr>
      </w:pPr>
      <w:r w:rsidRPr="00953F7D">
        <w:rPr>
          <w:bCs/>
          <w:iCs/>
        </w:rPr>
        <w:t>the principal activities of the entity.</w:t>
      </w:r>
    </w:p>
    <w:p w14:paraId="49D045B8" w14:textId="77777777" w:rsidR="00742F5F" w:rsidRPr="00953F7D" w:rsidRDefault="00742F5F" w:rsidP="001B7620">
      <w:pPr>
        <w:pStyle w:val="BodyText"/>
      </w:pPr>
      <w:r w:rsidRPr="00953F7D">
        <w:t>In the case of a Level 2 group, the Regulatory Capital reconciliation must also include:</w:t>
      </w:r>
    </w:p>
    <w:p w14:paraId="49D045B9" w14:textId="77777777" w:rsidR="00742F5F" w:rsidRPr="00953F7D" w:rsidRDefault="00742F5F" w:rsidP="00E9482F">
      <w:pPr>
        <w:pStyle w:val="Paragraph"/>
        <w:numPr>
          <w:ilvl w:val="1"/>
          <w:numId w:val="1"/>
        </w:numPr>
        <w:rPr>
          <w:bCs/>
          <w:iCs/>
        </w:rPr>
      </w:pPr>
      <w:r w:rsidRPr="00953F7D">
        <w:rPr>
          <w:rFonts w:ascii="Times New Roman" w:hAnsi="Times New Roman"/>
          <w:bCs/>
          <w:iCs/>
          <w:sz w:val="24"/>
          <w:szCs w:val="24"/>
        </w:rPr>
        <w:t>details of any restrictions, or other major impediments, on the transfer of funds or Regulatory Capital within the group; and</w:t>
      </w:r>
    </w:p>
    <w:p w14:paraId="49D045BA" w14:textId="77777777" w:rsidR="00742F5F" w:rsidRPr="00953F7D" w:rsidRDefault="00742F5F" w:rsidP="00E9482F">
      <w:pPr>
        <w:pStyle w:val="Paragraph"/>
        <w:numPr>
          <w:ilvl w:val="1"/>
          <w:numId w:val="1"/>
        </w:numPr>
        <w:rPr>
          <w:bCs/>
          <w:iCs/>
        </w:rPr>
      </w:pPr>
      <w:r w:rsidRPr="00953F7D">
        <w:rPr>
          <w:rFonts w:ascii="Times New Roman" w:hAnsi="Times New Roman"/>
          <w:bCs/>
          <w:iCs/>
          <w:sz w:val="24"/>
          <w:szCs w:val="24"/>
        </w:rPr>
        <w:t>the name of the head of the Level 2 group to which this Prudential Standard applies.</w:t>
      </w:r>
    </w:p>
    <w:p w14:paraId="49D045BB" w14:textId="77777777" w:rsidR="00742F5F" w:rsidRPr="00953F7D" w:rsidRDefault="00742F5F" w:rsidP="00742F5F">
      <w:pPr>
        <w:pStyle w:val="Heading3"/>
        <w:spacing w:before="120" w:after="240"/>
        <w:jc w:val="both"/>
      </w:pPr>
      <w:bookmarkStart w:id="31" w:name="_Toc506285987"/>
      <w:r w:rsidRPr="00953F7D">
        <w:rPr>
          <w:b/>
          <w:szCs w:val="24"/>
        </w:rPr>
        <w:t>Risk exposure and assessment disclosures</w:t>
      </w:r>
      <w:bookmarkEnd w:id="31"/>
    </w:p>
    <w:p w14:paraId="49D045BC" w14:textId="77777777" w:rsidR="00742F5F" w:rsidRPr="00953F7D" w:rsidRDefault="00742F5F" w:rsidP="001B7620">
      <w:pPr>
        <w:pStyle w:val="BodyText"/>
        <w:rPr>
          <w:i/>
        </w:rPr>
      </w:pPr>
      <w:r w:rsidRPr="00953F7D">
        <w:rPr>
          <w:lang w:val="en-GB"/>
        </w:rPr>
        <w:t xml:space="preserve">Attachment C </w:t>
      </w:r>
      <w:r w:rsidRPr="00953F7D">
        <w:t xml:space="preserve">sets out the risk exposure and assessment disclosures that must be made by all ADIs to which this Prudential Standard applies. </w:t>
      </w:r>
    </w:p>
    <w:p w14:paraId="49D045BD" w14:textId="7539F480" w:rsidR="00742F5F" w:rsidRPr="00953F7D" w:rsidRDefault="00742F5F" w:rsidP="001B7620">
      <w:pPr>
        <w:pStyle w:val="BodyText"/>
        <w:rPr>
          <w:i/>
        </w:rPr>
      </w:pPr>
      <w:r w:rsidRPr="00953F7D">
        <w:rPr>
          <w:lang w:val="en-GB"/>
        </w:rPr>
        <w:t>Attachment D sets out the additional risk exposure and</w:t>
      </w:r>
      <w:r w:rsidRPr="00953F7D">
        <w:t xml:space="preserve"> assessment disclosures that must be made by a locally</w:t>
      </w:r>
      <w:r w:rsidR="00D40A41">
        <w:t>-</w:t>
      </w:r>
      <w:r w:rsidRPr="00953F7D">
        <w:t>incorporated ADI that has approval from APRA to use the IRB approach to credit risk</w:t>
      </w:r>
      <w:r w:rsidRPr="00953F7D">
        <w:rPr>
          <w:b/>
        </w:rPr>
        <w:t xml:space="preserve"> </w:t>
      </w:r>
      <w:r w:rsidRPr="00953F7D">
        <w:t xml:space="preserve">and the </w:t>
      </w:r>
      <w:r w:rsidRPr="00953F7D">
        <w:rPr>
          <w:b/>
        </w:rPr>
        <w:t xml:space="preserve">AMA </w:t>
      </w:r>
      <w:r w:rsidRPr="00953F7D">
        <w:t xml:space="preserve">approach to </w:t>
      </w:r>
      <w:r w:rsidRPr="00953F7D">
        <w:rPr>
          <w:b/>
        </w:rPr>
        <w:t>operational</w:t>
      </w:r>
      <w:r w:rsidRPr="00953F7D">
        <w:t xml:space="preserve"> </w:t>
      </w:r>
      <w:r w:rsidRPr="00953F7D">
        <w:rPr>
          <w:b/>
        </w:rPr>
        <w:t>risk</w:t>
      </w:r>
      <w:r w:rsidRPr="00953F7D">
        <w:t>.</w:t>
      </w:r>
    </w:p>
    <w:p w14:paraId="49D045BE" w14:textId="77777777" w:rsidR="00321B78" w:rsidRPr="00953F7D" w:rsidRDefault="00321B78" w:rsidP="00742F5F">
      <w:pPr>
        <w:pStyle w:val="Heading3"/>
        <w:keepLines/>
        <w:spacing w:before="120" w:after="240"/>
        <w:jc w:val="both"/>
        <w:rPr>
          <w:b/>
          <w:szCs w:val="24"/>
        </w:rPr>
      </w:pPr>
      <w:bookmarkStart w:id="32" w:name="_Toc506285988"/>
      <w:r w:rsidRPr="00953F7D">
        <w:rPr>
          <w:b/>
          <w:szCs w:val="24"/>
        </w:rPr>
        <w:t>Leverage ratio disclosures</w:t>
      </w:r>
      <w:bookmarkEnd w:id="32"/>
    </w:p>
    <w:p w14:paraId="49D045BF" w14:textId="1F558917" w:rsidR="00052A5E" w:rsidRPr="00953F7D" w:rsidRDefault="006E406B" w:rsidP="001B7620">
      <w:pPr>
        <w:pStyle w:val="BodyText"/>
      </w:pPr>
      <w:bookmarkStart w:id="33" w:name="_Ref398025169"/>
      <w:r w:rsidRPr="00953F7D">
        <w:t>A</w:t>
      </w:r>
      <w:r w:rsidR="00ED7D4D" w:rsidRPr="00953F7D">
        <w:t>n</w:t>
      </w:r>
      <w:r w:rsidRPr="00953F7D">
        <w:t xml:space="preserve"> </w:t>
      </w:r>
      <w:r w:rsidR="000B25EF" w:rsidRPr="00953F7D">
        <w:t xml:space="preserve">IRB </w:t>
      </w:r>
      <w:r w:rsidR="00304A33" w:rsidRPr="00953F7D">
        <w:t>ADI must</w:t>
      </w:r>
      <w:r w:rsidRPr="00953F7D">
        <w:t xml:space="preserve"> make the leverage ratio disclosures in Attachment </w:t>
      </w:r>
      <w:r w:rsidR="001A5A8C" w:rsidRPr="00953F7D">
        <w:t>E</w:t>
      </w:r>
      <w:r w:rsidR="00ED6366" w:rsidRPr="00953F7D">
        <w:t xml:space="preserve"> and </w:t>
      </w:r>
      <w:r w:rsidR="00465E6C" w:rsidRPr="00953F7D">
        <w:t xml:space="preserve">the disclosures in </w:t>
      </w:r>
      <w:r w:rsidR="00ED6366" w:rsidRPr="00953F7D">
        <w:t>paragraph</w:t>
      </w:r>
      <w:r w:rsidR="00932E2B" w:rsidRPr="00953F7D">
        <w:t xml:space="preserve"> </w:t>
      </w:r>
      <w:r w:rsidR="00CF79F3" w:rsidRPr="00953F7D">
        <w:fldChar w:fldCharType="begin"/>
      </w:r>
      <w:r w:rsidR="00CF79F3" w:rsidRPr="00953F7D">
        <w:instrText xml:space="preserve"> REF  _Ref387063899 \h \r  \* MERGEFORMAT </w:instrText>
      </w:r>
      <w:r w:rsidR="00CF79F3" w:rsidRPr="00953F7D">
        <w:fldChar w:fldCharType="separate"/>
      </w:r>
      <w:r w:rsidR="003B4C20">
        <w:t>49</w:t>
      </w:r>
      <w:r w:rsidR="00CF79F3" w:rsidRPr="00953F7D">
        <w:fldChar w:fldCharType="end"/>
      </w:r>
      <w:r w:rsidRPr="00953F7D">
        <w:t>.</w:t>
      </w:r>
      <w:bookmarkEnd w:id="33"/>
    </w:p>
    <w:p w14:paraId="49D045C1" w14:textId="2EAA51D5" w:rsidR="00E2537E" w:rsidRPr="00953F7D" w:rsidRDefault="00B50A81" w:rsidP="00404E8E">
      <w:pPr>
        <w:pStyle w:val="Heading3"/>
        <w:keepLines/>
        <w:spacing w:before="120" w:after="240"/>
        <w:jc w:val="both"/>
        <w:rPr>
          <w:b/>
          <w:szCs w:val="24"/>
        </w:rPr>
      </w:pPr>
      <w:bookmarkStart w:id="34" w:name="_Toc506285989"/>
      <w:r w:rsidRPr="00953F7D">
        <w:rPr>
          <w:b/>
          <w:szCs w:val="24"/>
        </w:rPr>
        <w:t>Liquidity disclosures</w:t>
      </w:r>
      <w:bookmarkEnd w:id="34"/>
    </w:p>
    <w:p w14:paraId="49D045C2" w14:textId="77B974F2" w:rsidR="0038490F" w:rsidRPr="00953F7D" w:rsidRDefault="00B50A81" w:rsidP="0038490F">
      <w:pPr>
        <w:pStyle w:val="BodyText"/>
        <w:rPr>
          <w:lang w:val="en-GB"/>
        </w:rPr>
      </w:pPr>
      <w:bookmarkStart w:id="35" w:name="_Toc387407110"/>
      <w:bookmarkStart w:id="36" w:name="_Toc387407346"/>
      <w:r w:rsidRPr="00953F7D">
        <w:rPr>
          <w:lang w:val="en-GB"/>
        </w:rPr>
        <w:t>An ADI classified as a</w:t>
      </w:r>
      <w:r w:rsidR="00CA2175" w:rsidRPr="00953F7D">
        <w:rPr>
          <w:lang w:val="en-GB"/>
        </w:rPr>
        <w:t>n</w:t>
      </w:r>
      <w:r w:rsidRPr="00953F7D">
        <w:rPr>
          <w:lang w:val="en-GB"/>
        </w:rPr>
        <w:t xml:space="preserve"> LCR </w:t>
      </w:r>
      <w:r w:rsidRPr="00953F7D">
        <w:t>ADI</w:t>
      </w:r>
      <w:r w:rsidR="0075657D" w:rsidRPr="00953F7D">
        <w:rPr>
          <w:rStyle w:val="FootnoteReference"/>
          <w:lang w:val="en-GB"/>
        </w:rPr>
        <w:footnoteReference w:id="2"/>
      </w:r>
      <w:r w:rsidRPr="00953F7D">
        <w:rPr>
          <w:lang w:val="en-GB"/>
        </w:rPr>
        <w:t xml:space="preserve"> for the purposes of APS 210</w:t>
      </w:r>
      <w:r w:rsidRPr="00953F7D">
        <w:rPr>
          <w:i/>
          <w:lang w:val="en-GB"/>
        </w:rPr>
        <w:t xml:space="preserve"> </w:t>
      </w:r>
      <w:r w:rsidR="008D1319" w:rsidRPr="00953F7D">
        <w:rPr>
          <w:lang w:val="en-GB"/>
        </w:rPr>
        <w:t xml:space="preserve">must make the disclosures required in Attachment </w:t>
      </w:r>
      <w:r w:rsidR="00FA4AB2" w:rsidRPr="00953F7D">
        <w:rPr>
          <w:lang w:val="en-GB"/>
        </w:rPr>
        <w:t>F</w:t>
      </w:r>
      <w:r w:rsidR="008D1319" w:rsidRPr="00953F7D">
        <w:rPr>
          <w:lang w:val="en-GB"/>
        </w:rPr>
        <w:t>.</w:t>
      </w:r>
      <w:bookmarkEnd w:id="35"/>
      <w:bookmarkEnd w:id="36"/>
      <w:r w:rsidR="008D1319" w:rsidRPr="00953F7D">
        <w:rPr>
          <w:lang w:val="en-GB"/>
        </w:rPr>
        <w:t xml:space="preserve"> </w:t>
      </w:r>
      <w:bookmarkStart w:id="37" w:name="_Toc387407111"/>
      <w:bookmarkStart w:id="38" w:name="_Toc387407347"/>
      <w:bookmarkStart w:id="39" w:name="_Ref395702149"/>
    </w:p>
    <w:p w14:paraId="49D045C3" w14:textId="77777777" w:rsidR="00221062" w:rsidRPr="00953F7D" w:rsidRDefault="00221062" w:rsidP="0038490F">
      <w:pPr>
        <w:pStyle w:val="BodyText"/>
        <w:rPr>
          <w:lang w:val="en-GB"/>
        </w:rPr>
      </w:pPr>
      <w:r w:rsidRPr="00953F7D">
        <w:t xml:space="preserve">An </w:t>
      </w:r>
      <w:r w:rsidR="00683880" w:rsidRPr="00953F7D">
        <w:t xml:space="preserve">LCR </w:t>
      </w:r>
      <w:r w:rsidRPr="00953F7D">
        <w:t xml:space="preserve">ADI must provide sufficient qualitative discussion to facilitate </w:t>
      </w:r>
      <w:r w:rsidR="008B68AE" w:rsidRPr="00953F7D">
        <w:t xml:space="preserve">users’ </w:t>
      </w:r>
      <w:r w:rsidRPr="00953F7D">
        <w:t>understanding of the</w:t>
      </w:r>
      <w:r w:rsidR="00E12AF6" w:rsidRPr="00953F7D">
        <w:t xml:space="preserve"> LCR disclosures required in Attachment </w:t>
      </w:r>
      <w:r w:rsidR="00FA4AB2" w:rsidRPr="00953F7D">
        <w:t>F</w:t>
      </w:r>
      <w:r w:rsidRPr="00953F7D">
        <w:t>. This may include discussion of:</w:t>
      </w:r>
      <w:bookmarkEnd w:id="37"/>
      <w:bookmarkEnd w:id="38"/>
      <w:bookmarkEnd w:id="39"/>
    </w:p>
    <w:p w14:paraId="49D045C4" w14:textId="77777777" w:rsidR="00221062" w:rsidRPr="00953F7D" w:rsidRDefault="00221062" w:rsidP="00404E8E">
      <w:pPr>
        <w:pStyle w:val="Bodytextlist"/>
      </w:pPr>
      <w:bookmarkStart w:id="40" w:name="_Toc387407112"/>
      <w:bookmarkStart w:id="41" w:name="_Toc387407348"/>
      <w:bookmarkStart w:id="42" w:name="_Toc391024765"/>
      <w:bookmarkStart w:id="43" w:name="_Toc395701840"/>
      <w:bookmarkStart w:id="44" w:name="_Toc506285990"/>
      <w:r w:rsidRPr="00953F7D">
        <w:t>the main drivers of the LCR results and the evolution of the contribution of inputs to the LCR’s calculation over time;</w:t>
      </w:r>
      <w:bookmarkEnd w:id="40"/>
      <w:bookmarkEnd w:id="41"/>
      <w:bookmarkEnd w:id="42"/>
      <w:bookmarkEnd w:id="43"/>
      <w:bookmarkEnd w:id="44"/>
    </w:p>
    <w:p w14:paraId="49D045C5" w14:textId="77777777" w:rsidR="00221062" w:rsidRPr="00953F7D" w:rsidRDefault="00221062" w:rsidP="00404E8E">
      <w:pPr>
        <w:pStyle w:val="Bodytextlist"/>
      </w:pPr>
      <w:bookmarkStart w:id="45" w:name="_Toc387407113"/>
      <w:bookmarkStart w:id="46" w:name="_Toc387407349"/>
      <w:bookmarkStart w:id="47" w:name="_Toc391024766"/>
      <w:bookmarkStart w:id="48" w:name="_Toc395701841"/>
      <w:bookmarkStart w:id="49" w:name="_Toc506285991"/>
      <w:r w:rsidRPr="00953F7D">
        <w:t>intra-period changes as well as changes over time;</w:t>
      </w:r>
      <w:bookmarkEnd w:id="45"/>
      <w:bookmarkEnd w:id="46"/>
      <w:bookmarkEnd w:id="47"/>
      <w:bookmarkEnd w:id="48"/>
      <w:bookmarkEnd w:id="49"/>
    </w:p>
    <w:p w14:paraId="49D045C6" w14:textId="77777777" w:rsidR="00221062" w:rsidRPr="00953F7D" w:rsidRDefault="00221062" w:rsidP="00404E8E">
      <w:pPr>
        <w:pStyle w:val="Bodytextlist"/>
      </w:pPr>
      <w:bookmarkStart w:id="50" w:name="_Toc387407114"/>
      <w:bookmarkStart w:id="51" w:name="_Toc387407350"/>
      <w:bookmarkStart w:id="52" w:name="_Toc391024767"/>
      <w:bookmarkStart w:id="53" w:name="_Toc395701842"/>
      <w:bookmarkStart w:id="54" w:name="_Toc506285992"/>
      <w:r w:rsidRPr="00953F7D">
        <w:t xml:space="preserve">the composition of </w:t>
      </w:r>
      <w:r w:rsidR="00CD5F93" w:rsidRPr="00953F7D">
        <w:t xml:space="preserve">its </w:t>
      </w:r>
      <w:r w:rsidRPr="00953F7D">
        <w:t>HQLA;</w:t>
      </w:r>
      <w:bookmarkEnd w:id="50"/>
      <w:bookmarkEnd w:id="51"/>
      <w:bookmarkEnd w:id="52"/>
      <w:bookmarkEnd w:id="53"/>
      <w:bookmarkEnd w:id="54"/>
    </w:p>
    <w:p w14:paraId="49D045C7" w14:textId="77777777" w:rsidR="000619E3" w:rsidRPr="00953F7D" w:rsidRDefault="000619E3" w:rsidP="00404E8E">
      <w:pPr>
        <w:pStyle w:val="Bodytextlist"/>
      </w:pPr>
      <w:bookmarkStart w:id="55" w:name="_Toc387407115"/>
      <w:bookmarkStart w:id="56" w:name="_Toc387407351"/>
      <w:bookmarkStart w:id="57" w:name="_Toc391024768"/>
      <w:bookmarkStart w:id="58" w:name="_Toc395701843"/>
      <w:bookmarkStart w:id="59" w:name="_Toc506285993"/>
      <w:r w:rsidRPr="00953F7D">
        <w:t>concentration of funding sources;</w:t>
      </w:r>
      <w:bookmarkEnd w:id="55"/>
      <w:bookmarkEnd w:id="56"/>
      <w:bookmarkEnd w:id="57"/>
      <w:bookmarkEnd w:id="58"/>
      <w:bookmarkEnd w:id="59"/>
    </w:p>
    <w:p w14:paraId="49D045C8" w14:textId="77777777" w:rsidR="000619E3" w:rsidRPr="00953F7D" w:rsidRDefault="000619E3" w:rsidP="00404E8E">
      <w:pPr>
        <w:pStyle w:val="Bodytextlist"/>
      </w:pPr>
      <w:bookmarkStart w:id="60" w:name="_Toc387407116"/>
      <w:bookmarkStart w:id="61" w:name="_Toc387407352"/>
      <w:bookmarkStart w:id="62" w:name="_Toc391024769"/>
      <w:bookmarkStart w:id="63" w:name="_Toc395701844"/>
      <w:bookmarkStart w:id="64" w:name="_Toc506285994"/>
      <w:r w:rsidRPr="00953F7D">
        <w:t>derivative exposures and potential collateral calls;</w:t>
      </w:r>
      <w:bookmarkEnd w:id="60"/>
      <w:bookmarkEnd w:id="61"/>
      <w:bookmarkEnd w:id="62"/>
      <w:bookmarkEnd w:id="63"/>
      <w:bookmarkEnd w:id="64"/>
    </w:p>
    <w:p w14:paraId="49D045C9" w14:textId="77777777" w:rsidR="000619E3" w:rsidRPr="00953F7D" w:rsidRDefault="000619E3" w:rsidP="00404E8E">
      <w:pPr>
        <w:pStyle w:val="Bodytextlist"/>
      </w:pPr>
      <w:bookmarkStart w:id="65" w:name="_Toc387407117"/>
      <w:bookmarkStart w:id="66" w:name="_Toc387407353"/>
      <w:bookmarkStart w:id="67" w:name="_Toc391024770"/>
      <w:bookmarkStart w:id="68" w:name="_Toc395701845"/>
      <w:bookmarkStart w:id="69" w:name="_Toc506285995"/>
      <w:r w:rsidRPr="00953F7D">
        <w:t>currency mismatch in the LCR;</w:t>
      </w:r>
      <w:bookmarkEnd w:id="65"/>
      <w:bookmarkEnd w:id="66"/>
      <w:bookmarkEnd w:id="67"/>
      <w:bookmarkEnd w:id="68"/>
      <w:bookmarkEnd w:id="69"/>
    </w:p>
    <w:p w14:paraId="49D045CA" w14:textId="77777777" w:rsidR="00E12AF6" w:rsidRPr="00953F7D" w:rsidRDefault="00FF54C2" w:rsidP="00404E8E">
      <w:pPr>
        <w:pStyle w:val="Bodytextlist"/>
      </w:pPr>
      <w:bookmarkStart w:id="70" w:name="_Toc387407118"/>
      <w:bookmarkStart w:id="71" w:name="_Toc387407354"/>
      <w:bookmarkStart w:id="72" w:name="_Toc391024771"/>
      <w:bookmarkStart w:id="73" w:name="_Toc395701846"/>
      <w:bookmarkStart w:id="74" w:name="_Toc506285996"/>
      <w:r w:rsidRPr="00953F7D">
        <w:t>where appropriate,</w:t>
      </w:r>
      <w:r w:rsidR="000619E3" w:rsidRPr="00953F7D">
        <w:t xml:space="preserve"> the degree of centralisation of liquidity management and interaction between the </w:t>
      </w:r>
      <w:r w:rsidRPr="00953F7D">
        <w:t xml:space="preserve">Level 2 </w:t>
      </w:r>
      <w:r w:rsidR="000619E3" w:rsidRPr="00953F7D">
        <w:t>group</w:t>
      </w:r>
      <w:r w:rsidR="00E12AF6" w:rsidRPr="00953F7D">
        <w:t>’s units; and</w:t>
      </w:r>
      <w:bookmarkEnd w:id="70"/>
      <w:bookmarkEnd w:id="71"/>
      <w:bookmarkEnd w:id="72"/>
      <w:bookmarkEnd w:id="73"/>
      <w:bookmarkEnd w:id="74"/>
    </w:p>
    <w:p w14:paraId="49D045CB" w14:textId="77777777" w:rsidR="00B50A81" w:rsidRPr="00953F7D" w:rsidRDefault="00E12AF6" w:rsidP="00404E8E">
      <w:pPr>
        <w:pStyle w:val="Bodytextlist"/>
      </w:pPr>
      <w:bookmarkStart w:id="75" w:name="_Toc387407119"/>
      <w:bookmarkStart w:id="76" w:name="_Toc387407355"/>
      <w:bookmarkStart w:id="77" w:name="_Toc391024772"/>
      <w:bookmarkStart w:id="78" w:name="_Toc395701847"/>
      <w:bookmarkStart w:id="79" w:name="_Toc506285997"/>
      <w:r w:rsidRPr="00953F7D">
        <w:t xml:space="preserve">other inflows and outflows in the LCR calculation that are not captured in the LCR </w:t>
      </w:r>
      <w:r w:rsidR="009C081C" w:rsidRPr="00953F7D">
        <w:t>disclosure</w:t>
      </w:r>
      <w:r w:rsidRPr="00953F7D">
        <w:t xml:space="preserve"> template but which the ADI considers to be relevant for its liquidity profile.</w:t>
      </w:r>
      <w:bookmarkEnd w:id="75"/>
      <w:bookmarkEnd w:id="76"/>
      <w:bookmarkEnd w:id="77"/>
      <w:bookmarkEnd w:id="78"/>
      <w:bookmarkEnd w:id="79"/>
      <w:r w:rsidRPr="00953F7D">
        <w:t xml:space="preserve"> </w:t>
      </w:r>
    </w:p>
    <w:p w14:paraId="49D045CC" w14:textId="77777777" w:rsidR="00BA0ABA" w:rsidRDefault="00BA0ABA" w:rsidP="00BA0ABA">
      <w:pPr>
        <w:pStyle w:val="BodyText"/>
      </w:pPr>
      <w:r>
        <w:t xml:space="preserve">An </w:t>
      </w:r>
      <w:r w:rsidRPr="00BA0ABA">
        <w:t>LCR ADI must provide sufficient qualitative discussion to facilitate users’ understanding of the NSFR disclosures required in Attachment F. This may include discussion of:</w:t>
      </w:r>
    </w:p>
    <w:p w14:paraId="49D045CD" w14:textId="77777777" w:rsidR="00BA0ABA" w:rsidRDefault="00BA0ABA" w:rsidP="0034612C">
      <w:pPr>
        <w:pStyle w:val="Bodytextlist"/>
      </w:pPr>
      <w:bookmarkStart w:id="80" w:name="_Toc506285998"/>
      <w:r w:rsidRPr="00BA0ABA">
        <w:t>the drivers of their NSFR results and the reasons for intra-period changes as well as the changes over time (e.g. changes in strategies, funding structure, circumstances); and</w:t>
      </w:r>
      <w:bookmarkEnd w:id="80"/>
    </w:p>
    <w:p w14:paraId="49D045CE" w14:textId="77777777" w:rsidR="00BA0ABA" w:rsidRPr="00953F7D" w:rsidRDefault="00BA0ABA" w:rsidP="0034612C">
      <w:pPr>
        <w:pStyle w:val="Bodytextlist"/>
      </w:pPr>
      <w:bookmarkStart w:id="81" w:name="_Toc506285999"/>
      <w:r w:rsidRPr="00BA0ABA">
        <w:t>the composition of the ADI’s interdependent assets and liabilities and to what extent these transactions are interrelated.</w:t>
      </w:r>
      <w:bookmarkEnd w:id="81"/>
    </w:p>
    <w:p w14:paraId="49D045CF" w14:textId="77777777" w:rsidR="00742F5F" w:rsidRPr="00953F7D" w:rsidRDefault="00742F5F" w:rsidP="00742F5F">
      <w:pPr>
        <w:pStyle w:val="Heading3"/>
        <w:keepLines/>
        <w:spacing w:before="120" w:after="240"/>
        <w:jc w:val="both"/>
        <w:rPr>
          <w:b/>
          <w:szCs w:val="24"/>
        </w:rPr>
      </w:pPr>
      <w:bookmarkStart w:id="82" w:name="_Toc506286000"/>
      <w:r w:rsidRPr="00953F7D">
        <w:rPr>
          <w:b/>
          <w:szCs w:val="24"/>
        </w:rPr>
        <w:t>Remuneration disclosures</w:t>
      </w:r>
      <w:bookmarkEnd w:id="82"/>
    </w:p>
    <w:p w14:paraId="49D045D0" w14:textId="77777777" w:rsidR="00742F5F" w:rsidRPr="00953F7D" w:rsidRDefault="00742F5F" w:rsidP="00404E8E">
      <w:pPr>
        <w:pStyle w:val="BodyText"/>
      </w:pPr>
      <w:r w:rsidRPr="00953F7D">
        <w:t xml:space="preserve">An ADI must make the remuneration disclosures in Attachment </w:t>
      </w:r>
      <w:r w:rsidR="006E55AC" w:rsidRPr="00953F7D">
        <w:t>G</w:t>
      </w:r>
      <w:r w:rsidRPr="00953F7D">
        <w:t>.</w:t>
      </w:r>
    </w:p>
    <w:p w14:paraId="49D045D1" w14:textId="77777777" w:rsidR="00742F5F" w:rsidRPr="00953F7D" w:rsidRDefault="00742F5F" w:rsidP="00404E8E">
      <w:pPr>
        <w:pStyle w:val="BodyText"/>
      </w:pPr>
      <w:bookmarkStart w:id="83" w:name="_Ref352244684"/>
      <w:r w:rsidRPr="00953F7D">
        <w:t>For the purposes of the remuneration disclosures:</w:t>
      </w:r>
    </w:p>
    <w:p w14:paraId="49D045D2" w14:textId="77777777" w:rsidR="00E37C31" w:rsidRPr="00953F7D" w:rsidRDefault="00742F5F" w:rsidP="00404E8E">
      <w:pPr>
        <w:pStyle w:val="Bodytextlist"/>
      </w:pPr>
      <w:bookmarkStart w:id="84" w:name="_Toc506286001"/>
      <w:r w:rsidRPr="00953F7D">
        <w:t>a ‘senior manager’ refers to</w:t>
      </w:r>
      <w:r w:rsidR="00E37C31" w:rsidRPr="00953F7D">
        <w:t xml:space="preserve"> each responsible person included in an ADI’s Remuneration Policy under </w:t>
      </w:r>
      <w:r w:rsidR="00E37C31" w:rsidRPr="00953F7D">
        <w:rPr>
          <w:i/>
        </w:rPr>
        <w:t xml:space="preserve">Prudential Standard CPS 510 Governance </w:t>
      </w:r>
      <w:r w:rsidR="00E37C31" w:rsidRPr="00953F7D">
        <w:t>(CPS 510); and</w:t>
      </w:r>
      <w:bookmarkEnd w:id="84"/>
    </w:p>
    <w:p w14:paraId="49D045D3" w14:textId="77777777" w:rsidR="00742F5F" w:rsidRPr="006343FA" w:rsidRDefault="00742F5F" w:rsidP="006343FA">
      <w:pPr>
        <w:pStyle w:val="Bodytextlist"/>
        <w:rPr>
          <w:iCs/>
        </w:rPr>
      </w:pPr>
      <w:bookmarkStart w:id="85" w:name="_Toc506286002"/>
      <w:r w:rsidRPr="00953F7D">
        <w:t>‘material risk-taker’ refers to</w:t>
      </w:r>
      <w:bookmarkEnd w:id="83"/>
      <w:r w:rsidR="00E37C31" w:rsidRPr="00953F7D">
        <w:t xml:space="preserve"> persons included in an ADI’s Remuneration Policy under CPS 510</w:t>
      </w:r>
      <w:r w:rsidR="006343FA">
        <w:t xml:space="preserve"> other than responsible persons and risk and financial control personnel as defined under CPS 510</w:t>
      </w:r>
      <w:r w:rsidR="00E37C31" w:rsidRPr="00953F7D">
        <w:t>.</w:t>
      </w:r>
      <w:bookmarkEnd w:id="85"/>
      <w:r w:rsidR="00E37C31" w:rsidRPr="00953F7D">
        <w:t xml:space="preserve"> </w:t>
      </w:r>
    </w:p>
    <w:p w14:paraId="49D045D4" w14:textId="77777777" w:rsidR="00D9167C" w:rsidRPr="00953F7D" w:rsidRDefault="004A780F" w:rsidP="00742F5F">
      <w:pPr>
        <w:pStyle w:val="Heading3"/>
        <w:keepLines/>
        <w:spacing w:before="120" w:after="240"/>
        <w:jc w:val="both"/>
        <w:rPr>
          <w:b/>
          <w:szCs w:val="24"/>
        </w:rPr>
      </w:pPr>
      <w:bookmarkStart w:id="86" w:name="_Toc506286003"/>
      <w:r w:rsidRPr="00953F7D">
        <w:rPr>
          <w:b/>
          <w:szCs w:val="24"/>
        </w:rPr>
        <w:t>D</w:t>
      </w:r>
      <w:r w:rsidR="00A717D0" w:rsidRPr="00953F7D">
        <w:rPr>
          <w:b/>
          <w:szCs w:val="24"/>
        </w:rPr>
        <w:t>isclosure</w:t>
      </w:r>
      <w:r w:rsidR="00266C95" w:rsidRPr="00953F7D">
        <w:rPr>
          <w:b/>
          <w:szCs w:val="24"/>
        </w:rPr>
        <w:t xml:space="preserve">s for the identification of potential </w:t>
      </w:r>
      <w:r w:rsidRPr="00953F7D">
        <w:rPr>
          <w:b/>
          <w:szCs w:val="24"/>
        </w:rPr>
        <w:t>G-SIBs</w:t>
      </w:r>
      <w:bookmarkEnd w:id="86"/>
    </w:p>
    <w:p w14:paraId="49D045D5" w14:textId="71AD8890" w:rsidR="00A717D0" w:rsidRPr="00953F7D" w:rsidRDefault="006E55AC" w:rsidP="00404E8E">
      <w:pPr>
        <w:pStyle w:val="BodyText"/>
      </w:pPr>
      <w:bookmarkStart w:id="87" w:name="_Ref398025225"/>
      <w:r w:rsidRPr="00953F7D">
        <w:t>I</w:t>
      </w:r>
      <w:r w:rsidR="00D86C26" w:rsidRPr="00953F7D">
        <w:t>f req</w:t>
      </w:r>
      <w:r w:rsidRPr="00953F7D">
        <w:t>uired</w:t>
      </w:r>
      <w:r w:rsidR="00D86C26" w:rsidRPr="00953F7D">
        <w:t xml:space="preserve"> by APRA,</w:t>
      </w:r>
      <w:r w:rsidR="00A717D0" w:rsidRPr="00953F7D">
        <w:t xml:space="preserve"> </w:t>
      </w:r>
      <w:r w:rsidRPr="00953F7D">
        <w:t xml:space="preserve">an ADI </w:t>
      </w:r>
      <w:r w:rsidR="00A717D0" w:rsidRPr="00953F7D">
        <w:t>must make the disclosures</w:t>
      </w:r>
      <w:r w:rsidR="004A780F" w:rsidRPr="00953F7D">
        <w:t xml:space="preserve"> for </w:t>
      </w:r>
      <w:r w:rsidR="00266C95" w:rsidRPr="00953F7D">
        <w:t>the identification of potential</w:t>
      </w:r>
      <w:r w:rsidR="004A780F" w:rsidRPr="00953F7D">
        <w:t xml:space="preserve"> G-SIBs</w:t>
      </w:r>
      <w:r w:rsidR="00A717D0" w:rsidRPr="00953F7D">
        <w:t xml:space="preserve"> in Attachment </w:t>
      </w:r>
      <w:r w:rsidR="00FA4AB2" w:rsidRPr="00953F7D">
        <w:t>H</w:t>
      </w:r>
      <w:r w:rsidR="00C43ED8">
        <w:t>.</w:t>
      </w:r>
      <w:r w:rsidR="00554528" w:rsidRPr="00953F7D">
        <w:rPr>
          <w:rStyle w:val="FootnoteReference"/>
        </w:rPr>
        <w:footnoteReference w:id="3"/>
      </w:r>
      <w:bookmarkEnd w:id="87"/>
      <w:r w:rsidR="00A717D0" w:rsidRPr="00953F7D">
        <w:t xml:space="preserve"> </w:t>
      </w:r>
    </w:p>
    <w:p w14:paraId="49D045D6" w14:textId="77777777" w:rsidR="00742F5F" w:rsidRPr="00953F7D" w:rsidRDefault="00742F5F" w:rsidP="00742F5F">
      <w:pPr>
        <w:pStyle w:val="Heading3"/>
        <w:keepLines/>
        <w:spacing w:before="120" w:after="240"/>
        <w:jc w:val="both"/>
        <w:rPr>
          <w:b/>
          <w:szCs w:val="24"/>
        </w:rPr>
      </w:pPr>
      <w:bookmarkStart w:id="88" w:name="_Toc506286004"/>
      <w:r w:rsidRPr="00953F7D">
        <w:rPr>
          <w:b/>
          <w:szCs w:val="24"/>
        </w:rPr>
        <w:t>General requirements</w:t>
      </w:r>
      <w:bookmarkEnd w:id="88"/>
      <w:r w:rsidRPr="00953F7D">
        <w:rPr>
          <w:b/>
          <w:szCs w:val="24"/>
        </w:rPr>
        <w:t xml:space="preserve"> </w:t>
      </w:r>
    </w:p>
    <w:p w14:paraId="49D045D7" w14:textId="4B9160D1" w:rsidR="00742F5F" w:rsidRPr="00953F7D" w:rsidRDefault="00742F5F" w:rsidP="00404E8E">
      <w:pPr>
        <w:pStyle w:val="BodyText"/>
      </w:pPr>
      <w:bookmarkStart w:id="89" w:name="_Ref358287079"/>
      <w:bookmarkStart w:id="90" w:name="_Ref178758692"/>
      <w:bookmarkEnd w:id="18"/>
      <w:bookmarkEnd w:id="19"/>
      <w:bookmarkEnd w:id="20"/>
      <w:bookmarkEnd w:id="21"/>
      <w:r w:rsidRPr="00953F7D">
        <w:t xml:space="preserve">If APRA is not satisfied that the adequacy or quality of an ADI’s prudential disclosures is consistent with the principles set out in paragraphs </w:t>
      </w:r>
      <w:r w:rsidR="007B24E6" w:rsidRPr="00953F7D">
        <w:fldChar w:fldCharType="begin"/>
      </w:r>
      <w:r w:rsidR="007B24E6" w:rsidRPr="00953F7D">
        <w:instrText xml:space="preserve"> REF _Ref358286935 \r \h  \* MERGEFORMAT </w:instrText>
      </w:r>
      <w:r w:rsidR="007B24E6" w:rsidRPr="00953F7D">
        <w:fldChar w:fldCharType="separate"/>
      </w:r>
      <w:r w:rsidR="007B24E6">
        <w:t>8</w:t>
      </w:r>
      <w:r w:rsidR="007B24E6" w:rsidRPr="00953F7D">
        <w:fldChar w:fldCharType="end"/>
      </w:r>
      <w:r w:rsidRPr="00953F7D">
        <w:t xml:space="preserve"> and </w:t>
      </w:r>
      <w:r w:rsidRPr="00953F7D">
        <w:fldChar w:fldCharType="begin"/>
      </w:r>
      <w:r w:rsidRPr="00953F7D">
        <w:instrText xml:space="preserve"> REF _Ref358286942 \r \h </w:instrText>
      </w:r>
      <w:r w:rsidR="00404E8E" w:rsidRPr="00953F7D">
        <w:instrText xml:space="preserve"> \* MERGEFORMAT </w:instrText>
      </w:r>
      <w:r w:rsidRPr="00953F7D">
        <w:fldChar w:fldCharType="separate"/>
      </w:r>
      <w:r w:rsidR="007D232B">
        <w:t>9</w:t>
      </w:r>
      <w:r w:rsidRPr="00953F7D">
        <w:fldChar w:fldCharType="end"/>
      </w:r>
      <w:r w:rsidRPr="00953F7D">
        <w:t xml:space="preserve"> above or the requirements in paragraph </w:t>
      </w:r>
      <w:r w:rsidRPr="00953F7D">
        <w:fldChar w:fldCharType="begin"/>
      </w:r>
      <w:r w:rsidRPr="00953F7D">
        <w:instrText xml:space="preserve"> REF _Ref358286917 \r \h </w:instrText>
      </w:r>
      <w:r w:rsidR="00404E8E" w:rsidRPr="00953F7D">
        <w:instrText xml:space="preserve"> \* MERGEFORMAT </w:instrText>
      </w:r>
      <w:r w:rsidRPr="00953F7D">
        <w:fldChar w:fldCharType="separate"/>
      </w:r>
      <w:r w:rsidR="00FC473C">
        <w:t>29</w:t>
      </w:r>
      <w:r w:rsidRPr="00953F7D">
        <w:fldChar w:fldCharType="end"/>
      </w:r>
      <w:r w:rsidRPr="00953F7D">
        <w:t xml:space="preserve"> below, APRA may</w:t>
      </w:r>
      <w:r w:rsidR="00116587" w:rsidRPr="00953F7D">
        <w:t xml:space="preserve"> </w:t>
      </w:r>
      <w:r w:rsidRPr="00953F7D">
        <w:t>require the ADI to rectify the disclosures or to disclose further information.</w:t>
      </w:r>
      <w:bookmarkEnd w:id="89"/>
      <w:r w:rsidRPr="00953F7D">
        <w:t xml:space="preserve">  </w:t>
      </w:r>
    </w:p>
    <w:p w14:paraId="49D045D8" w14:textId="77777777" w:rsidR="00742F5F" w:rsidRPr="00953F7D" w:rsidRDefault="00742F5F" w:rsidP="00404E8E">
      <w:pPr>
        <w:pStyle w:val="BodyText"/>
      </w:pPr>
      <w:r w:rsidRPr="00953F7D">
        <w:t>APRA may require an ADI whose risk management practices, capital adequacy position</w:t>
      </w:r>
      <w:r w:rsidR="00786790" w:rsidRPr="00953F7D">
        <w:t xml:space="preserve">, LCR position, </w:t>
      </w:r>
      <w:r w:rsidR="00BA0ABA">
        <w:t xml:space="preserve">NSFR position, </w:t>
      </w:r>
      <w:r w:rsidR="00786790" w:rsidRPr="00953F7D">
        <w:t>leverage ratio</w:t>
      </w:r>
      <w:r w:rsidRPr="00953F7D">
        <w:t xml:space="preserve"> or remuneration practices have changed materially, or are subject to ongoing rapid change, to vary the content and/or frequency of its prudential disclosures.</w:t>
      </w:r>
    </w:p>
    <w:p w14:paraId="49D045D9" w14:textId="77777777" w:rsidR="00742F5F" w:rsidRPr="00953F7D" w:rsidRDefault="00742F5F" w:rsidP="00404E8E">
      <w:pPr>
        <w:pStyle w:val="BodyText"/>
      </w:pPr>
      <w:r w:rsidRPr="00953F7D">
        <w:t>APRA may</w:t>
      </w:r>
      <w:r w:rsidR="00116587" w:rsidRPr="00953F7D">
        <w:t xml:space="preserve"> </w:t>
      </w:r>
      <w:r w:rsidRPr="00953F7D">
        <w:t xml:space="preserve">require a </w:t>
      </w:r>
      <w:r w:rsidRPr="000E0523">
        <w:rPr>
          <w:b/>
        </w:rPr>
        <w:t>foreign-owned ADI</w:t>
      </w:r>
      <w:r w:rsidRPr="00953F7D">
        <w:t xml:space="preserve"> that has IRB and/or AMA approval to increase the content and/or frequency of its prudential disclosures, taking account of:</w:t>
      </w:r>
    </w:p>
    <w:p w14:paraId="49D045DA" w14:textId="77777777" w:rsidR="00742F5F" w:rsidRPr="00953F7D" w:rsidRDefault="00742F5F" w:rsidP="00404E8E">
      <w:pPr>
        <w:pStyle w:val="Bodytextlist"/>
      </w:pPr>
      <w:bookmarkStart w:id="91" w:name="_Toc506286005"/>
      <w:r w:rsidRPr="00953F7D">
        <w:t>the significance of the ADI in the context of the Australian financial system;</w:t>
      </w:r>
      <w:bookmarkEnd w:id="91"/>
    </w:p>
    <w:p w14:paraId="49D045DB" w14:textId="77777777" w:rsidR="00742F5F" w:rsidRPr="00953F7D" w:rsidRDefault="00742F5F" w:rsidP="00404E8E">
      <w:pPr>
        <w:pStyle w:val="Bodytextlist"/>
      </w:pPr>
      <w:bookmarkStart w:id="92" w:name="_Toc506286006"/>
      <w:r w:rsidRPr="00953F7D">
        <w:t>the significance of the ADI in its global banking group; and</w:t>
      </w:r>
      <w:bookmarkEnd w:id="92"/>
    </w:p>
    <w:p w14:paraId="49D045DC" w14:textId="77777777" w:rsidR="00742F5F" w:rsidRPr="00953F7D" w:rsidRDefault="00742F5F" w:rsidP="00404E8E">
      <w:pPr>
        <w:pStyle w:val="Bodytextlist"/>
      </w:pPr>
      <w:bookmarkStart w:id="93" w:name="_Toc506286007"/>
      <w:r w:rsidRPr="00953F7D">
        <w:t>the quality of the disclosure of capital adequacy information by the overseas parent in its home jurisdiction.</w:t>
      </w:r>
      <w:bookmarkEnd w:id="93"/>
    </w:p>
    <w:p w14:paraId="49D045DD" w14:textId="77777777" w:rsidR="00742F5F" w:rsidRPr="00953F7D" w:rsidRDefault="00742F5F" w:rsidP="00742F5F">
      <w:pPr>
        <w:keepNext/>
        <w:spacing w:after="240"/>
        <w:jc w:val="both"/>
        <w:rPr>
          <w:bCs/>
          <w:i/>
          <w:sz w:val="26"/>
          <w:szCs w:val="26"/>
        </w:rPr>
      </w:pPr>
      <w:r w:rsidRPr="00953F7D">
        <w:rPr>
          <w:bCs/>
          <w:i/>
          <w:sz w:val="26"/>
          <w:szCs w:val="26"/>
        </w:rPr>
        <w:t>Disclosure policy</w:t>
      </w:r>
    </w:p>
    <w:p w14:paraId="49D045DE" w14:textId="77777777" w:rsidR="00742F5F" w:rsidRPr="00953F7D" w:rsidRDefault="00742F5F" w:rsidP="00404E8E">
      <w:pPr>
        <w:pStyle w:val="BodyText"/>
        <w:rPr>
          <w:rFonts w:ascii="Arial" w:hAnsi="Arial"/>
          <w:b/>
        </w:rPr>
      </w:pPr>
      <w:r w:rsidRPr="00953F7D">
        <w:t xml:space="preserve">An ADI must have a formal policy relating to its prudential disclosures approved by the </w:t>
      </w:r>
      <w:r w:rsidRPr="00953F7D">
        <w:rPr>
          <w:b/>
        </w:rPr>
        <w:t>Board</w:t>
      </w:r>
      <w:r w:rsidRPr="00953F7D">
        <w:t xml:space="preserve"> that addresses the ADI’s approach to determining the content of its prudential disclosures and the internal controls over the disclosure process.</w:t>
      </w:r>
      <w:bookmarkEnd w:id="90"/>
    </w:p>
    <w:p w14:paraId="49D045DF" w14:textId="77777777" w:rsidR="00742F5F" w:rsidRPr="00953F7D" w:rsidRDefault="00742F5F" w:rsidP="00404E8E">
      <w:pPr>
        <w:pStyle w:val="BodyText"/>
      </w:pPr>
      <w:bookmarkStart w:id="94" w:name="_Ref349202146"/>
      <w:r w:rsidRPr="00953F7D">
        <w:t>An ADI must implement a process for assessing the appropriateness and accuracy of its prudential disclosures, including their validation and frequency. This must be summarised in the ADI’s prudential disclosures policy.</w:t>
      </w:r>
    </w:p>
    <w:p w14:paraId="49D045E0" w14:textId="77777777" w:rsidR="00742F5F" w:rsidRPr="00953F7D" w:rsidRDefault="00742F5F" w:rsidP="00404E8E">
      <w:pPr>
        <w:pStyle w:val="BodyText"/>
        <w:rPr>
          <w:rFonts w:ascii="Arial" w:hAnsi="Arial"/>
        </w:rPr>
      </w:pPr>
      <w:bookmarkStart w:id="95" w:name="_Ref358286917"/>
      <w:r w:rsidRPr="00953F7D">
        <w:t>An ADI must take reasonable steps to ensure that its prudential disclosures reflect its actual risk profile and are consistent with the manner in which its Board and senior management assess and manage its risks. Where the minimum requirements for prudential disclosures set out in this Prudential Standard do not adequately capture this, the ADI must disclose additional information.</w:t>
      </w:r>
      <w:bookmarkEnd w:id="94"/>
      <w:bookmarkEnd w:id="95"/>
      <w:r w:rsidRPr="00953F7D">
        <w:t xml:space="preserve"> </w:t>
      </w:r>
    </w:p>
    <w:p w14:paraId="49D045E1" w14:textId="77777777" w:rsidR="00742F5F" w:rsidRPr="00953F7D" w:rsidRDefault="00742F5F" w:rsidP="00742F5F">
      <w:pPr>
        <w:keepNext/>
        <w:spacing w:after="240"/>
        <w:jc w:val="both"/>
        <w:rPr>
          <w:bCs/>
          <w:i/>
          <w:sz w:val="26"/>
          <w:szCs w:val="26"/>
        </w:rPr>
      </w:pPr>
      <w:r w:rsidRPr="00953F7D">
        <w:rPr>
          <w:bCs/>
          <w:i/>
          <w:sz w:val="26"/>
          <w:szCs w:val="26"/>
        </w:rPr>
        <w:t>Verification of disclosures</w:t>
      </w:r>
      <w:bookmarkStart w:id="96" w:name="_Toc179100001"/>
      <w:bookmarkStart w:id="97" w:name="_Toc179100090"/>
      <w:bookmarkStart w:id="98" w:name="_Toc340674291"/>
    </w:p>
    <w:p w14:paraId="49D045E2" w14:textId="77777777" w:rsidR="00742F5F" w:rsidRPr="00953F7D" w:rsidRDefault="00742F5F" w:rsidP="00404E8E">
      <w:pPr>
        <w:pStyle w:val="BodyText"/>
      </w:pPr>
      <w:r w:rsidRPr="00953F7D">
        <w:t>An ADI must ensure that prudential disclosures are appropriately verified and must take steps necessary to ensure their reliability.</w:t>
      </w:r>
    </w:p>
    <w:p w14:paraId="49D045E3" w14:textId="77777777" w:rsidR="00742F5F" w:rsidRPr="00953F7D" w:rsidRDefault="00742F5F" w:rsidP="00404E8E">
      <w:pPr>
        <w:pStyle w:val="BodyText"/>
      </w:pPr>
      <w:r w:rsidRPr="00953F7D">
        <w:t>An ADI must ensure that its prudential disclosures are consistent with information that has been subject to review by an external auditor and that is lodged or published elsewhere or that has been already supplied to APRA.</w:t>
      </w:r>
    </w:p>
    <w:p w14:paraId="49D045E4" w14:textId="77777777" w:rsidR="00742F5F" w:rsidRPr="00953F7D" w:rsidRDefault="00742F5F" w:rsidP="00404E8E">
      <w:pPr>
        <w:pStyle w:val="BodyText"/>
      </w:pPr>
      <w:r w:rsidRPr="00953F7D">
        <w:t>APRA may require an ADI to commission an independent audit of its prudential disclosures. This may include where APRA has reason to believe that the information being disclosed is incorrect or misleading.</w:t>
      </w:r>
    </w:p>
    <w:p w14:paraId="49D045E5" w14:textId="77777777" w:rsidR="00742F5F" w:rsidRPr="00953F7D" w:rsidRDefault="00742F5F" w:rsidP="00742F5F">
      <w:pPr>
        <w:keepNext/>
        <w:spacing w:after="240"/>
        <w:jc w:val="both"/>
        <w:rPr>
          <w:bCs/>
          <w:i/>
          <w:sz w:val="26"/>
          <w:szCs w:val="26"/>
        </w:rPr>
      </w:pPr>
      <w:r w:rsidRPr="00953F7D">
        <w:rPr>
          <w:bCs/>
          <w:i/>
          <w:sz w:val="26"/>
          <w:szCs w:val="26"/>
        </w:rPr>
        <w:t>Medium of disclosures</w:t>
      </w:r>
    </w:p>
    <w:p w14:paraId="49D045E6" w14:textId="77777777" w:rsidR="00742F5F" w:rsidRPr="00953F7D" w:rsidRDefault="00742F5F" w:rsidP="00404E8E">
      <w:pPr>
        <w:pStyle w:val="BodyText"/>
      </w:pPr>
      <w:r w:rsidRPr="00953F7D">
        <w:t xml:space="preserve">An ADI that has its own website must include a ‘Regulatory Disclosures’ section on its website. </w:t>
      </w:r>
    </w:p>
    <w:p w14:paraId="49D045E7" w14:textId="77777777" w:rsidR="00742F5F" w:rsidRPr="00953F7D" w:rsidRDefault="00742F5F" w:rsidP="00404E8E">
      <w:pPr>
        <w:pStyle w:val="BodyText"/>
      </w:pPr>
      <w:bookmarkStart w:id="99" w:name="_Ref387328839"/>
      <w:r w:rsidRPr="00953F7D">
        <w:t>If:</w:t>
      </w:r>
      <w:bookmarkEnd w:id="99"/>
      <w:r w:rsidRPr="00953F7D">
        <w:t xml:space="preserve"> </w:t>
      </w:r>
    </w:p>
    <w:p w14:paraId="49D045E8" w14:textId="1A91AD9E" w:rsidR="00742F5F" w:rsidRPr="00953F7D" w:rsidRDefault="00742F5F" w:rsidP="00404E8E">
      <w:pPr>
        <w:pStyle w:val="Bodytextlist"/>
      </w:pPr>
      <w:bookmarkStart w:id="100" w:name="_Toc506286008"/>
      <w:r w:rsidRPr="00953F7D">
        <w:t>for paragraph</w:t>
      </w:r>
      <w:r w:rsidR="00D449CB" w:rsidRPr="00953F7D">
        <w:t>s</w:t>
      </w:r>
      <w:r w:rsidR="00026EC1" w:rsidRPr="00953F7D">
        <w:t xml:space="preserve"> </w:t>
      </w:r>
      <w:r w:rsidR="00D449CB" w:rsidRPr="00953F7D">
        <w:fldChar w:fldCharType="begin"/>
      </w:r>
      <w:r w:rsidR="00D449CB" w:rsidRPr="00953F7D">
        <w:instrText xml:space="preserve"> REF _Ref358285880 \r \h </w:instrText>
      </w:r>
      <w:r w:rsidR="00953F7D">
        <w:instrText xml:space="preserve"> \* MERGEFORMAT </w:instrText>
      </w:r>
      <w:r w:rsidR="00D449CB" w:rsidRPr="00953F7D">
        <w:fldChar w:fldCharType="separate"/>
      </w:r>
      <w:r w:rsidR="007D232B">
        <w:t>35</w:t>
      </w:r>
      <w:r w:rsidR="00D449CB" w:rsidRPr="00953F7D">
        <w:fldChar w:fldCharType="end"/>
      </w:r>
      <w:r w:rsidR="00C12036" w:rsidRPr="00953F7D">
        <w:t xml:space="preserve"> and</w:t>
      </w:r>
      <w:r w:rsidR="00D449CB" w:rsidRPr="00953F7D">
        <w:t xml:space="preserve"> </w:t>
      </w:r>
      <w:r w:rsidR="00D449CB" w:rsidRPr="00953F7D">
        <w:fldChar w:fldCharType="begin"/>
      </w:r>
      <w:r w:rsidR="00D449CB" w:rsidRPr="00953F7D">
        <w:instrText xml:space="preserve"> REF _Ref394670391 \r \h </w:instrText>
      </w:r>
      <w:r w:rsidR="00953F7D">
        <w:instrText xml:space="preserve"> \* MERGEFORMAT </w:instrText>
      </w:r>
      <w:r w:rsidR="00D449CB" w:rsidRPr="00953F7D">
        <w:fldChar w:fldCharType="separate"/>
      </w:r>
      <w:r w:rsidR="007D232B">
        <w:t>36</w:t>
      </w:r>
      <w:r w:rsidR="00D449CB" w:rsidRPr="00953F7D">
        <w:fldChar w:fldCharType="end"/>
      </w:r>
      <w:r w:rsidR="005E5916" w:rsidRPr="00953F7D">
        <w:t xml:space="preserve"> below</w:t>
      </w:r>
      <w:r w:rsidRPr="00953F7D">
        <w:t>, an ADI is not required to lodge a financial report or directors’ report under the Corporations Act; or</w:t>
      </w:r>
      <w:bookmarkEnd w:id="100"/>
    </w:p>
    <w:p w14:paraId="49D045E9" w14:textId="34869918" w:rsidR="00742F5F" w:rsidRPr="00953F7D" w:rsidRDefault="00742F5F" w:rsidP="00404E8E">
      <w:pPr>
        <w:pStyle w:val="Bodytextlist"/>
      </w:pPr>
      <w:bookmarkStart w:id="101" w:name="_Toc506286009"/>
      <w:r w:rsidRPr="00953F7D">
        <w:t>for paragraph</w:t>
      </w:r>
      <w:r w:rsidR="00D449CB" w:rsidRPr="00953F7D">
        <w:t>s</w:t>
      </w:r>
      <w:r w:rsidR="00407B70" w:rsidRPr="00953F7D">
        <w:t xml:space="preserve"> </w:t>
      </w:r>
      <w:r w:rsidR="00D449CB" w:rsidRPr="00953F7D">
        <w:fldChar w:fldCharType="begin"/>
      </w:r>
      <w:r w:rsidR="00D449CB" w:rsidRPr="00953F7D">
        <w:instrText xml:space="preserve"> REF _Ref358285880 \r \h </w:instrText>
      </w:r>
      <w:r w:rsidR="00404E8E" w:rsidRPr="00953F7D">
        <w:instrText xml:space="preserve"> \* MERGEFORMAT </w:instrText>
      </w:r>
      <w:r w:rsidR="00D449CB" w:rsidRPr="00953F7D">
        <w:fldChar w:fldCharType="separate"/>
      </w:r>
      <w:r w:rsidR="007D232B">
        <w:t>35</w:t>
      </w:r>
      <w:r w:rsidR="00D449CB" w:rsidRPr="00953F7D">
        <w:fldChar w:fldCharType="end"/>
      </w:r>
      <w:r w:rsidR="00D449CB" w:rsidRPr="00953F7D">
        <w:t xml:space="preserve">, </w:t>
      </w:r>
      <w:r w:rsidR="007A54F5" w:rsidRPr="00953F7D">
        <w:fldChar w:fldCharType="begin"/>
      </w:r>
      <w:r w:rsidR="007A54F5" w:rsidRPr="00953F7D">
        <w:instrText xml:space="preserve"> REF _Ref394670391 \r \h </w:instrText>
      </w:r>
      <w:r w:rsidR="00404E8E" w:rsidRPr="00953F7D">
        <w:instrText xml:space="preserve"> \* MERGEFORMAT </w:instrText>
      </w:r>
      <w:r w:rsidR="007A54F5" w:rsidRPr="00953F7D">
        <w:fldChar w:fldCharType="separate"/>
      </w:r>
      <w:r w:rsidR="007D232B">
        <w:t>36</w:t>
      </w:r>
      <w:r w:rsidR="007A54F5" w:rsidRPr="00953F7D">
        <w:fldChar w:fldCharType="end"/>
      </w:r>
      <w:r w:rsidR="00C12036" w:rsidRPr="00953F7D">
        <w:t xml:space="preserve"> and</w:t>
      </w:r>
      <w:r w:rsidR="007A54F5" w:rsidRPr="00953F7D">
        <w:t xml:space="preserve"> </w:t>
      </w:r>
      <w:r w:rsidR="00D449CB" w:rsidRPr="00953F7D">
        <w:fldChar w:fldCharType="begin"/>
      </w:r>
      <w:r w:rsidR="00D449CB" w:rsidRPr="00953F7D">
        <w:instrText xml:space="preserve"> REF _Ref394670404 \r \h </w:instrText>
      </w:r>
      <w:r w:rsidR="00404E8E" w:rsidRPr="00953F7D">
        <w:instrText xml:space="preserve"> \* MERGEFORMAT </w:instrText>
      </w:r>
      <w:r w:rsidR="00D449CB" w:rsidRPr="00953F7D">
        <w:fldChar w:fldCharType="separate"/>
      </w:r>
      <w:r w:rsidR="007D232B">
        <w:t>37</w:t>
      </w:r>
      <w:r w:rsidR="00D449CB" w:rsidRPr="00953F7D">
        <w:fldChar w:fldCharType="end"/>
      </w:r>
      <w:r w:rsidR="005E5916" w:rsidRPr="00953F7D">
        <w:t xml:space="preserve"> below</w:t>
      </w:r>
      <w:r w:rsidRPr="00953F7D">
        <w:t>, an ADI does not have its own website,</w:t>
      </w:r>
      <w:bookmarkEnd w:id="101"/>
    </w:p>
    <w:p w14:paraId="49D045EA" w14:textId="77777777" w:rsidR="00742F5F" w:rsidRPr="00953F7D" w:rsidRDefault="00742F5F" w:rsidP="005E5916">
      <w:pPr>
        <w:pStyle w:val="ListParagraph"/>
        <w:spacing w:after="240"/>
        <w:ind w:left="567" w:firstLine="0"/>
        <w:contextualSpacing w:val="0"/>
        <w:jc w:val="both"/>
      </w:pPr>
      <w:r w:rsidRPr="00953F7D">
        <w:t>the ADI must obtain APRA’s approval for alternative publication arrangements.</w:t>
      </w:r>
    </w:p>
    <w:p w14:paraId="49D045EB" w14:textId="77777777" w:rsidR="00742F5F" w:rsidRPr="00953F7D" w:rsidRDefault="00742F5F" w:rsidP="00404E8E">
      <w:pPr>
        <w:pStyle w:val="BodyText"/>
      </w:pPr>
      <w:bookmarkStart w:id="102" w:name="_Ref358285880"/>
      <w:r w:rsidRPr="00953F7D">
        <w:t>The disclosures required in Attachment A</w:t>
      </w:r>
      <w:r w:rsidR="00E9548B" w:rsidRPr="00953F7D">
        <w:t xml:space="preserve">, </w:t>
      </w:r>
      <w:r w:rsidRPr="00953F7D">
        <w:t>the Regulatory Capital reconciliation</w:t>
      </w:r>
      <w:r w:rsidR="00683880" w:rsidRPr="00953F7D">
        <w:t xml:space="preserve"> and, if applicable, </w:t>
      </w:r>
      <w:r w:rsidR="0002029A" w:rsidRPr="00953F7D">
        <w:t xml:space="preserve">Attachment </w:t>
      </w:r>
      <w:r w:rsidR="00116587" w:rsidRPr="00953F7D">
        <w:t>E</w:t>
      </w:r>
      <w:r w:rsidR="0018440D" w:rsidRPr="00953F7D">
        <w:rPr>
          <w:rStyle w:val="FootnoteReference"/>
        </w:rPr>
        <w:footnoteReference w:id="4"/>
      </w:r>
      <w:r w:rsidR="003A64B7" w:rsidRPr="00953F7D">
        <w:t xml:space="preserve"> and</w:t>
      </w:r>
      <w:r w:rsidR="00683880" w:rsidRPr="00953F7D">
        <w:t>/or</w:t>
      </w:r>
      <w:r w:rsidR="0002029A" w:rsidRPr="00953F7D">
        <w:t xml:space="preserve"> </w:t>
      </w:r>
      <w:r w:rsidR="00E9548B" w:rsidRPr="00953F7D">
        <w:t xml:space="preserve">Attachment </w:t>
      </w:r>
      <w:r w:rsidR="00116587" w:rsidRPr="00953F7D">
        <w:t>F</w:t>
      </w:r>
      <w:r w:rsidR="003A64B7" w:rsidRPr="00953F7D">
        <w:t xml:space="preserve"> </w:t>
      </w:r>
      <w:r w:rsidRPr="00953F7D">
        <w:t>must be included in:</w:t>
      </w:r>
      <w:bookmarkEnd w:id="102"/>
    </w:p>
    <w:p w14:paraId="49D045EC" w14:textId="77777777" w:rsidR="00742F5F" w:rsidRPr="00953F7D" w:rsidRDefault="00742F5F" w:rsidP="00404E8E">
      <w:pPr>
        <w:pStyle w:val="Bodytextlist"/>
      </w:pPr>
      <w:bookmarkStart w:id="103" w:name="_Toc506286010"/>
      <w:r w:rsidRPr="00953F7D">
        <w:t>an ADI’s financial report; or</w:t>
      </w:r>
      <w:bookmarkEnd w:id="103"/>
    </w:p>
    <w:p w14:paraId="49D045ED" w14:textId="77777777" w:rsidR="00742F5F" w:rsidRPr="00953F7D" w:rsidRDefault="00742F5F" w:rsidP="00404E8E">
      <w:pPr>
        <w:pStyle w:val="Bodytextlist"/>
      </w:pPr>
      <w:bookmarkStart w:id="104" w:name="_Toc506286011"/>
      <w:r w:rsidRPr="00953F7D">
        <w:t>an ADI’s directors’ report; or</w:t>
      </w:r>
      <w:bookmarkEnd w:id="104"/>
    </w:p>
    <w:p w14:paraId="49D045EE" w14:textId="77777777" w:rsidR="00742F5F" w:rsidRPr="00953F7D" w:rsidRDefault="00742F5F" w:rsidP="00404E8E">
      <w:pPr>
        <w:pStyle w:val="Bodytextlist"/>
      </w:pPr>
      <w:bookmarkStart w:id="105" w:name="_Toc506286012"/>
      <w:r w:rsidRPr="00953F7D">
        <w:t>other information accompanying an ADI’s financial report; or</w:t>
      </w:r>
      <w:bookmarkEnd w:id="105"/>
    </w:p>
    <w:p w14:paraId="49D045EF" w14:textId="067FC0B3" w:rsidR="00742F5F" w:rsidRPr="00953F7D" w:rsidRDefault="00742F5F" w:rsidP="00404E8E">
      <w:pPr>
        <w:pStyle w:val="Bodytextlist"/>
      </w:pPr>
      <w:bookmarkStart w:id="106" w:name="_Toc506286013"/>
      <w:r w:rsidRPr="00953F7D">
        <w:t>the Regulatory Disclosures section on the ADI’s website, provided that the financial report, directors’ report or other information accompanying the financial report includes a link to these completed disclosures</w:t>
      </w:r>
      <w:r w:rsidR="000951BE">
        <w:t>.</w:t>
      </w:r>
      <w:r w:rsidRPr="00953F7D">
        <w:rPr>
          <w:rStyle w:val="FootnoteReference"/>
        </w:rPr>
        <w:footnoteReference w:id="5"/>
      </w:r>
      <w:bookmarkEnd w:id="106"/>
    </w:p>
    <w:p w14:paraId="49D045F0" w14:textId="77777777" w:rsidR="004B5F94" w:rsidRPr="00953F7D" w:rsidRDefault="004B5F94" w:rsidP="00404E8E">
      <w:pPr>
        <w:pStyle w:val="BodyText"/>
      </w:pPr>
      <w:bookmarkStart w:id="107" w:name="_Ref394670391"/>
      <w:bookmarkStart w:id="108" w:name="_Ref358285887"/>
      <w:r w:rsidRPr="00953F7D">
        <w:t xml:space="preserve">The disclosures required in Attachment B </w:t>
      </w:r>
      <w:r w:rsidR="00010555" w:rsidRPr="00953F7D">
        <w:t xml:space="preserve">and the full terms and conditions of Regulatory Capital instruments </w:t>
      </w:r>
      <w:r w:rsidRPr="00953F7D">
        <w:t>must be published in full in the Regulatory Disclosures section on an ADI’s website. They must also be published in full</w:t>
      </w:r>
      <w:r w:rsidR="00386BCD" w:rsidRPr="00953F7D">
        <w:t>, or a link to the</w:t>
      </w:r>
      <w:r w:rsidRPr="00953F7D">
        <w:t xml:space="preserve"> disclosures on the Reg</w:t>
      </w:r>
      <w:r w:rsidR="00386BCD" w:rsidRPr="00953F7D">
        <w:t xml:space="preserve">ulatory Disclosures section of the ADI’s website </w:t>
      </w:r>
      <w:r w:rsidR="006F44B1" w:rsidRPr="00953F7D">
        <w:t xml:space="preserve">must be </w:t>
      </w:r>
      <w:r w:rsidR="00386BCD" w:rsidRPr="00953F7D">
        <w:t>included</w:t>
      </w:r>
      <w:r w:rsidR="002B7BFF" w:rsidRPr="00953F7D">
        <w:t xml:space="preserve"> in</w:t>
      </w:r>
      <w:r w:rsidRPr="00953F7D">
        <w:t>:</w:t>
      </w:r>
      <w:bookmarkEnd w:id="107"/>
    </w:p>
    <w:p w14:paraId="49D045F1" w14:textId="77777777" w:rsidR="004B5F94" w:rsidRPr="00953F7D" w:rsidRDefault="004B5F94" w:rsidP="00404E8E">
      <w:pPr>
        <w:pStyle w:val="Bodytextlist"/>
      </w:pPr>
      <w:bookmarkStart w:id="109" w:name="_Toc506286014"/>
      <w:r w:rsidRPr="00953F7D">
        <w:t>an ADI’s financial report; or</w:t>
      </w:r>
      <w:bookmarkEnd w:id="109"/>
    </w:p>
    <w:p w14:paraId="49D045F2" w14:textId="77777777" w:rsidR="004B5F94" w:rsidRPr="00953F7D" w:rsidRDefault="004B5F94" w:rsidP="00404E8E">
      <w:pPr>
        <w:pStyle w:val="Bodytextlist"/>
      </w:pPr>
      <w:bookmarkStart w:id="110" w:name="_Toc506286015"/>
      <w:r w:rsidRPr="00953F7D">
        <w:t>an ADI’s director’s report; or</w:t>
      </w:r>
      <w:bookmarkEnd w:id="110"/>
    </w:p>
    <w:p w14:paraId="49D045F3" w14:textId="77777777" w:rsidR="004B5F94" w:rsidRPr="00953F7D" w:rsidRDefault="004B5F94" w:rsidP="00404E8E">
      <w:pPr>
        <w:pStyle w:val="Bodytextlist"/>
      </w:pPr>
      <w:bookmarkStart w:id="111" w:name="_Toc506286016"/>
      <w:r w:rsidRPr="00953F7D">
        <w:t>other information accompanying an ADI’</w:t>
      </w:r>
      <w:r w:rsidR="00386BCD" w:rsidRPr="00953F7D">
        <w:t>s financial report.</w:t>
      </w:r>
      <w:bookmarkEnd w:id="111"/>
    </w:p>
    <w:p w14:paraId="49D045F4" w14:textId="7386E920" w:rsidR="00742F5F" w:rsidRPr="00953F7D" w:rsidRDefault="00742F5F" w:rsidP="00404E8E">
      <w:pPr>
        <w:pStyle w:val="BodyText"/>
      </w:pPr>
      <w:bookmarkStart w:id="112" w:name="_Ref394670404"/>
      <w:r w:rsidRPr="00953F7D">
        <w:t xml:space="preserve">The disclosures required in Attachments C, D and </w:t>
      </w:r>
      <w:r w:rsidR="00FA4AB2" w:rsidRPr="00953F7D">
        <w:t>G</w:t>
      </w:r>
      <w:r w:rsidRPr="00953F7D">
        <w:t xml:space="preserve"> must be published in full in the Regulatory Disclosures section on</w:t>
      </w:r>
      <w:r w:rsidR="004B5F94" w:rsidRPr="00953F7D">
        <w:t xml:space="preserve"> an</w:t>
      </w:r>
      <w:r w:rsidRPr="00953F7D">
        <w:t xml:space="preserve"> ADI’s website</w:t>
      </w:r>
      <w:r w:rsidR="000951BE">
        <w:t>.</w:t>
      </w:r>
      <w:r w:rsidRPr="00953F7D">
        <w:rPr>
          <w:rStyle w:val="FootnoteReference"/>
          <w:bCs w:val="0"/>
          <w:iCs w:val="0"/>
        </w:rPr>
        <w:footnoteReference w:id="6"/>
      </w:r>
      <w:bookmarkEnd w:id="108"/>
      <w:bookmarkEnd w:id="112"/>
      <w:r w:rsidR="00A63597" w:rsidRPr="00953F7D">
        <w:t xml:space="preserve"> </w:t>
      </w:r>
    </w:p>
    <w:p w14:paraId="49D045F5" w14:textId="77777777" w:rsidR="00742F5F" w:rsidRPr="00953F7D" w:rsidRDefault="00742F5F" w:rsidP="00404E8E">
      <w:pPr>
        <w:pStyle w:val="BodyText"/>
      </w:pPr>
      <w:r w:rsidRPr="00953F7D">
        <w:t>If an ADI is required to prepare and lodge a ‘Remuneration report’ in accordance with the Corporations Act, it may include its remuneration disclosures in that report provided it clearly distinguishes between the disclosures required under the Corporations Act and those required under this Prudential Standard.</w:t>
      </w:r>
    </w:p>
    <w:p w14:paraId="49D045F6" w14:textId="77777777" w:rsidR="003A64B7" w:rsidRPr="00953F7D" w:rsidRDefault="00683880" w:rsidP="00404E8E">
      <w:pPr>
        <w:pStyle w:val="BodyText"/>
      </w:pPr>
      <w:bookmarkStart w:id="113" w:name="_Ref394670429"/>
      <w:r w:rsidRPr="00953F7D">
        <w:t>If applicable, t</w:t>
      </w:r>
      <w:r w:rsidR="003A64B7" w:rsidRPr="00953F7D">
        <w:t>he disclosures required in Attachment H must be included in:</w:t>
      </w:r>
      <w:bookmarkEnd w:id="113"/>
    </w:p>
    <w:p w14:paraId="49D045F7" w14:textId="77777777" w:rsidR="003A64B7" w:rsidRPr="00953F7D" w:rsidRDefault="003A64B7" w:rsidP="00404E8E">
      <w:pPr>
        <w:pStyle w:val="Bodytextlist"/>
      </w:pPr>
      <w:bookmarkStart w:id="114" w:name="_Toc506286017"/>
      <w:r w:rsidRPr="00953F7D">
        <w:t xml:space="preserve">an ADI’s </w:t>
      </w:r>
      <w:r w:rsidR="00242034" w:rsidRPr="00953F7D">
        <w:t xml:space="preserve">annual </w:t>
      </w:r>
      <w:r w:rsidRPr="00953F7D">
        <w:t>financial report; or</w:t>
      </w:r>
      <w:bookmarkEnd w:id="114"/>
    </w:p>
    <w:p w14:paraId="49D045F8" w14:textId="77777777" w:rsidR="003A64B7" w:rsidRPr="00953F7D" w:rsidRDefault="003A64B7" w:rsidP="00404E8E">
      <w:pPr>
        <w:pStyle w:val="Bodytextlist"/>
      </w:pPr>
      <w:bookmarkStart w:id="115" w:name="_Toc506286018"/>
      <w:r w:rsidRPr="00953F7D">
        <w:t xml:space="preserve">the Regulatory Disclosures section on an ADI’s website, provided that the ADI includes a direct link to the published disclosures on its website in the first annual financial report lodged under the Corporations Act after the date the </w:t>
      </w:r>
      <w:r w:rsidR="00554F45" w:rsidRPr="00953F7D">
        <w:t>disclosures are published on the ADI’s</w:t>
      </w:r>
      <w:r w:rsidRPr="00953F7D">
        <w:t xml:space="preserve"> website.</w:t>
      </w:r>
      <w:bookmarkEnd w:id="115"/>
    </w:p>
    <w:p w14:paraId="49D045F9" w14:textId="77777777" w:rsidR="00742F5F" w:rsidRPr="00953F7D" w:rsidRDefault="00742F5F" w:rsidP="00742F5F">
      <w:pPr>
        <w:keepNext/>
        <w:spacing w:after="240"/>
        <w:jc w:val="both"/>
        <w:rPr>
          <w:bCs/>
          <w:i/>
          <w:sz w:val="26"/>
          <w:szCs w:val="26"/>
        </w:rPr>
      </w:pPr>
      <w:r w:rsidRPr="00953F7D">
        <w:rPr>
          <w:bCs/>
          <w:i/>
          <w:sz w:val="26"/>
          <w:szCs w:val="26"/>
        </w:rPr>
        <w:t>Frequency and timing of disclosures</w:t>
      </w:r>
    </w:p>
    <w:p w14:paraId="49D045FA" w14:textId="77777777" w:rsidR="00742F5F" w:rsidRPr="00953F7D" w:rsidRDefault="00742F5F" w:rsidP="00404E8E">
      <w:pPr>
        <w:pStyle w:val="BodyText"/>
      </w:pPr>
      <w:bookmarkStart w:id="116" w:name="_Ref387328906"/>
      <w:r w:rsidRPr="00953F7D">
        <w:t>If:</w:t>
      </w:r>
      <w:bookmarkEnd w:id="116"/>
    </w:p>
    <w:p w14:paraId="49D045FB" w14:textId="7F2F580B" w:rsidR="00742F5F" w:rsidRPr="00953F7D" w:rsidRDefault="00742F5F" w:rsidP="00404E8E">
      <w:pPr>
        <w:pStyle w:val="Bodytextlist"/>
      </w:pPr>
      <w:bookmarkStart w:id="117" w:name="_Toc506286019"/>
      <w:r w:rsidRPr="00953F7D">
        <w:t xml:space="preserve">for the purposes of paragraphs </w:t>
      </w:r>
      <w:r w:rsidRPr="00953F7D">
        <w:fldChar w:fldCharType="begin"/>
      </w:r>
      <w:r w:rsidRPr="00953F7D">
        <w:instrText xml:space="preserve"> REF _Ref358285828 \r \h </w:instrText>
      </w:r>
      <w:r w:rsidR="00953F7D">
        <w:instrText xml:space="preserve"> \* MERGEFORMAT </w:instrText>
      </w:r>
      <w:r w:rsidRPr="00953F7D">
        <w:fldChar w:fldCharType="separate"/>
      </w:r>
      <w:r w:rsidR="003B4C20">
        <w:t>41</w:t>
      </w:r>
      <w:r w:rsidRPr="00953F7D">
        <w:fldChar w:fldCharType="end"/>
      </w:r>
      <w:r w:rsidRPr="00953F7D">
        <w:t>,</w:t>
      </w:r>
      <w:r w:rsidR="001755F0" w:rsidRPr="00953F7D">
        <w:t xml:space="preserve"> </w:t>
      </w:r>
      <w:r w:rsidR="003B4C20">
        <w:t xml:space="preserve">42, </w:t>
      </w:r>
      <w:r w:rsidR="001755F0" w:rsidRPr="00953F7D">
        <w:fldChar w:fldCharType="begin"/>
      </w:r>
      <w:r w:rsidR="001755F0" w:rsidRPr="00953F7D">
        <w:instrText xml:space="preserve"> REF _Ref358285833 \r \h </w:instrText>
      </w:r>
      <w:r w:rsidR="00953F7D">
        <w:instrText xml:space="preserve"> \* MERGEFORMAT </w:instrText>
      </w:r>
      <w:r w:rsidR="001755F0" w:rsidRPr="00953F7D">
        <w:fldChar w:fldCharType="separate"/>
      </w:r>
      <w:r w:rsidR="003B4C20">
        <w:t>43</w:t>
      </w:r>
      <w:r w:rsidR="001755F0" w:rsidRPr="00953F7D">
        <w:fldChar w:fldCharType="end"/>
      </w:r>
      <w:r w:rsidR="001755F0" w:rsidRPr="00953F7D">
        <w:t>,</w:t>
      </w:r>
      <w:r w:rsidRPr="00953F7D">
        <w:t xml:space="preserve"> </w:t>
      </w:r>
      <w:r w:rsidRPr="00953F7D">
        <w:fldChar w:fldCharType="begin"/>
      </w:r>
      <w:r w:rsidRPr="00953F7D">
        <w:instrText xml:space="preserve"> REF _Ref358285846 \r \h </w:instrText>
      </w:r>
      <w:r w:rsidR="00953F7D">
        <w:instrText xml:space="preserve"> \* MERGEFORMAT </w:instrText>
      </w:r>
      <w:r w:rsidRPr="00953F7D">
        <w:fldChar w:fldCharType="separate"/>
      </w:r>
      <w:r w:rsidR="003B4C20">
        <w:t>45</w:t>
      </w:r>
      <w:r w:rsidRPr="00953F7D">
        <w:fldChar w:fldCharType="end"/>
      </w:r>
      <w:r w:rsidR="001755F0" w:rsidRPr="00953F7D">
        <w:t xml:space="preserve"> and</w:t>
      </w:r>
      <w:r w:rsidR="00AA07D0" w:rsidRPr="00953F7D">
        <w:t xml:space="preserve"> </w:t>
      </w:r>
      <w:r w:rsidRPr="00953F7D">
        <w:fldChar w:fldCharType="begin"/>
      </w:r>
      <w:r w:rsidRPr="00953F7D">
        <w:instrText xml:space="preserve"> REF _Ref358285853 \r \h </w:instrText>
      </w:r>
      <w:r w:rsidR="00953F7D">
        <w:instrText xml:space="preserve"> \* MERGEFORMAT </w:instrText>
      </w:r>
      <w:r w:rsidRPr="00953F7D">
        <w:fldChar w:fldCharType="separate"/>
      </w:r>
      <w:r w:rsidR="003B4C20">
        <w:t>48</w:t>
      </w:r>
      <w:r w:rsidRPr="00953F7D">
        <w:fldChar w:fldCharType="end"/>
      </w:r>
      <w:r w:rsidR="001755F0" w:rsidRPr="00953F7D">
        <w:t xml:space="preserve"> </w:t>
      </w:r>
      <w:r w:rsidRPr="00953F7D">
        <w:t>below, an ADI is not required to lodge financial reports under the Corporations Act; or</w:t>
      </w:r>
      <w:bookmarkEnd w:id="117"/>
      <w:r w:rsidRPr="00953F7D">
        <w:t xml:space="preserve"> </w:t>
      </w:r>
    </w:p>
    <w:p w14:paraId="49D045FC" w14:textId="55EBF264" w:rsidR="00742F5F" w:rsidRPr="00953F7D" w:rsidRDefault="00742F5F" w:rsidP="00404E8E">
      <w:pPr>
        <w:pStyle w:val="Bodytextlist"/>
      </w:pPr>
      <w:bookmarkStart w:id="118" w:name="_Toc506286020"/>
      <w:r w:rsidRPr="00953F7D">
        <w:t xml:space="preserve">for the purposes of paragraph </w:t>
      </w:r>
      <w:r w:rsidR="00010555" w:rsidRPr="00953F7D">
        <w:fldChar w:fldCharType="begin"/>
      </w:r>
      <w:r w:rsidR="00010555" w:rsidRPr="00953F7D">
        <w:instrText xml:space="preserve"> REF _Ref394671324 \r \h </w:instrText>
      </w:r>
      <w:r w:rsidR="00404E8E" w:rsidRPr="00953F7D">
        <w:instrText xml:space="preserve"> \* MERGEFORMAT </w:instrText>
      </w:r>
      <w:r w:rsidR="00010555" w:rsidRPr="00953F7D">
        <w:fldChar w:fldCharType="separate"/>
      </w:r>
      <w:r w:rsidR="003B4C20">
        <w:t>51</w:t>
      </w:r>
      <w:r w:rsidR="00010555" w:rsidRPr="00953F7D">
        <w:fldChar w:fldCharType="end"/>
      </w:r>
      <w:r w:rsidR="00010555" w:rsidRPr="00953F7D">
        <w:t xml:space="preserve"> and </w:t>
      </w:r>
      <w:r w:rsidR="00010555" w:rsidRPr="00953F7D">
        <w:fldChar w:fldCharType="begin"/>
      </w:r>
      <w:r w:rsidR="00010555" w:rsidRPr="00953F7D">
        <w:instrText xml:space="preserve"> REF _Ref395607015 \r \h </w:instrText>
      </w:r>
      <w:r w:rsidR="00404E8E" w:rsidRPr="00953F7D">
        <w:instrText xml:space="preserve"> \* MERGEFORMAT </w:instrText>
      </w:r>
      <w:r w:rsidR="00010555" w:rsidRPr="00953F7D">
        <w:fldChar w:fldCharType="separate"/>
      </w:r>
      <w:r w:rsidR="003B4C20">
        <w:t>53</w:t>
      </w:r>
      <w:r w:rsidR="00010555" w:rsidRPr="00953F7D">
        <w:fldChar w:fldCharType="end"/>
      </w:r>
      <w:r w:rsidRPr="00953F7D">
        <w:t xml:space="preserve"> below, an ADI is not required to lodge an annual financial report under the Corporations Act,</w:t>
      </w:r>
      <w:bookmarkEnd w:id="118"/>
    </w:p>
    <w:p w14:paraId="49D045FD" w14:textId="77777777" w:rsidR="00742F5F" w:rsidRPr="00953F7D" w:rsidRDefault="00742F5F" w:rsidP="00E236B3">
      <w:pPr>
        <w:pStyle w:val="Paragraph"/>
        <w:ind w:firstLine="0"/>
        <w:rPr>
          <w:rFonts w:ascii="Times New Roman" w:hAnsi="Times New Roman"/>
          <w:bCs/>
          <w:iCs/>
          <w:sz w:val="24"/>
          <w:szCs w:val="24"/>
        </w:rPr>
      </w:pPr>
      <w:r w:rsidRPr="00953F7D">
        <w:rPr>
          <w:rFonts w:ascii="Times New Roman" w:hAnsi="Times New Roman"/>
          <w:bCs/>
          <w:iCs/>
          <w:sz w:val="24"/>
          <w:szCs w:val="24"/>
          <w:lang w:val="en-AU"/>
        </w:rPr>
        <w:t>the ADI must obtain APRA’s approval for alternative timing for the disclosures.</w:t>
      </w:r>
    </w:p>
    <w:p w14:paraId="2C6AB601" w14:textId="77777777" w:rsidR="00A80B38" w:rsidRPr="00422750" w:rsidRDefault="00742F5F" w:rsidP="00404E8E">
      <w:pPr>
        <w:pStyle w:val="BodyText"/>
      </w:pPr>
      <w:bookmarkStart w:id="119" w:name="_Ref358285828"/>
      <w:r w:rsidRPr="00953F7D">
        <w:t>The disclosures required in Attachment A</w:t>
      </w:r>
      <w:r w:rsidR="006E15F4" w:rsidRPr="00953F7D">
        <w:t xml:space="preserve">, </w:t>
      </w:r>
      <w:r w:rsidRPr="00953F7D">
        <w:t>the Regulatory Capital reconciliation</w:t>
      </w:r>
      <w:r w:rsidR="005B1342" w:rsidRPr="00953F7D">
        <w:t xml:space="preserve"> </w:t>
      </w:r>
      <w:r w:rsidR="00683880" w:rsidRPr="00953F7D">
        <w:t xml:space="preserve">and, if applicable, </w:t>
      </w:r>
      <w:r w:rsidR="005B1342" w:rsidRPr="00953F7D">
        <w:t xml:space="preserve">Attachment </w:t>
      </w:r>
      <w:r w:rsidR="00FA4AB2" w:rsidRPr="00953F7D">
        <w:t>E</w:t>
      </w:r>
      <w:r w:rsidR="0010192A" w:rsidRPr="00953F7D">
        <w:t xml:space="preserve"> </w:t>
      </w:r>
      <w:r w:rsidRPr="00953F7D">
        <w:t>must be made as at the balance sheet date of the corresponding financial report</w:t>
      </w:r>
      <w:r w:rsidR="005A3E69" w:rsidRPr="00953F7D">
        <w:t>.</w:t>
      </w:r>
      <w:r w:rsidRPr="00953F7D">
        <w:t xml:space="preserve"> The disclosures must be made with the same frequency as, and concurrent with, the lodgement of the ADI’s financial reports under the </w:t>
      </w:r>
      <w:r w:rsidRPr="00422750">
        <w:t>Corporations Act</w:t>
      </w:r>
      <w:r w:rsidR="000951BE" w:rsidRPr="00422750">
        <w:t>.</w:t>
      </w:r>
      <w:r w:rsidRPr="00422750">
        <w:rPr>
          <w:rStyle w:val="FootnoteReference"/>
          <w:bCs w:val="0"/>
          <w:iCs w:val="0"/>
        </w:rPr>
        <w:footnoteReference w:id="7"/>
      </w:r>
      <w:bookmarkEnd w:id="119"/>
      <w:r w:rsidR="009249F1" w:rsidRPr="00422750">
        <w:t xml:space="preserve"> </w:t>
      </w:r>
    </w:p>
    <w:p w14:paraId="49D045FE" w14:textId="559DCA32" w:rsidR="00742F5F" w:rsidRPr="00422750" w:rsidRDefault="00A80B38" w:rsidP="00404E8E">
      <w:pPr>
        <w:pStyle w:val="BodyText"/>
      </w:pPr>
      <w:r w:rsidRPr="00422750">
        <w:t xml:space="preserve">The NSFR disclosures required in Attachment F must be made in respect of each quarter for </w:t>
      </w:r>
      <w:r w:rsidR="00EB2CA7" w:rsidRPr="00422750">
        <w:t>two</w:t>
      </w:r>
      <w:r w:rsidRPr="00422750">
        <w:t xml:space="preserve"> consecutive quarters. The disclosure for the second quarter must be made as at the balance sheet date of the corresponding financial report. The disclosures must be made with the same frequency as, and concurrent with, the lodgement of the ADI’s financial reports under the Corporations Act.</w:t>
      </w:r>
      <w:r w:rsidR="00D11C7C" w:rsidRPr="00422750">
        <w:t xml:space="preserve"> </w:t>
      </w:r>
    </w:p>
    <w:p w14:paraId="49D045FF" w14:textId="77777777" w:rsidR="00742F5F" w:rsidRPr="00953F7D" w:rsidRDefault="00742F5F" w:rsidP="00404E8E">
      <w:pPr>
        <w:pStyle w:val="BodyText"/>
      </w:pPr>
      <w:bookmarkStart w:id="120" w:name="_Ref358285833"/>
      <w:r w:rsidRPr="00953F7D">
        <w:t>The disclosures required in Attachment B and the full terms and conditions of Regulatory Capital instruments must be published continuously. The disclosures must be updated within seven calendar days if the following occurs:</w:t>
      </w:r>
      <w:bookmarkEnd w:id="120"/>
    </w:p>
    <w:p w14:paraId="49D04600" w14:textId="77777777" w:rsidR="00742F5F" w:rsidRPr="00953F7D" w:rsidRDefault="00742F5F" w:rsidP="00404E8E">
      <w:pPr>
        <w:pStyle w:val="Bodytextlist"/>
      </w:pPr>
      <w:bookmarkStart w:id="121" w:name="_Toc506286021"/>
      <w:r w:rsidRPr="00953F7D">
        <w:t>a new capital instrument is issued and included in Regulatory Capital; or</w:t>
      </w:r>
      <w:bookmarkEnd w:id="121"/>
    </w:p>
    <w:p w14:paraId="49D04601" w14:textId="77777777" w:rsidR="00042304" w:rsidRPr="00953F7D" w:rsidRDefault="00742F5F" w:rsidP="00404E8E">
      <w:pPr>
        <w:pStyle w:val="Bodytextlist"/>
      </w:pPr>
      <w:bookmarkStart w:id="122" w:name="_Toc506286022"/>
      <w:r w:rsidRPr="00953F7D">
        <w:t>a capital instrument is redeemed, converted into Common Equity Tier 1 Capital, written off or otherwise changes in nature.</w:t>
      </w:r>
      <w:bookmarkStart w:id="123" w:name="_Ref385505214"/>
      <w:bookmarkEnd w:id="122"/>
    </w:p>
    <w:bookmarkEnd w:id="123"/>
    <w:p w14:paraId="49D04602" w14:textId="223BB87F" w:rsidR="00742F5F" w:rsidRPr="00422750" w:rsidRDefault="00742F5F" w:rsidP="00044196">
      <w:pPr>
        <w:pStyle w:val="BodyText"/>
      </w:pPr>
      <w:r w:rsidRPr="00422750">
        <w:t xml:space="preserve">The disclosures required in Attachment C </w:t>
      </w:r>
      <w:r w:rsidR="00DE5910" w:rsidRPr="00422750">
        <w:t xml:space="preserve">and the LCR disclosures in Attachment F </w:t>
      </w:r>
      <w:r w:rsidRPr="00422750">
        <w:t xml:space="preserve">must be published on a quarterly basis. For comparison purposes, all disclosures </w:t>
      </w:r>
      <w:r w:rsidR="00E044BF" w:rsidRPr="00422750">
        <w:t xml:space="preserve">in Attachment C (except for the initial disclosures) </w:t>
      </w:r>
      <w:r w:rsidR="00DE5910" w:rsidRPr="00422750">
        <w:t xml:space="preserve">and the LCR disclosures in Attachment F </w:t>
      </w:r>
      <w:r w:rsidRPr="00422750">
        <w:t xml:space="preserve">must be published together with the </w:t>
      </w:r>
      <w:r w:rsidR="00E044BF" w:rsidRPr="00422750">
        <w:t xml:space="preserve">immediately preceding </w:t>
      </w:r>
      <w:r w:rsidRPr="00422750">
        <w:t>disclosures</w:t>
      </w:r>
      <w:r w:rsidR="00E044BF" w:rsidRPr="00422750">
        <w:t xml:space="preserve"> for</w:t>
      </w:r>
      <w:r w:rsidRPr="00422750">
        <w:t xml:space="preserve"> Attachment C</w:t>
      </w:r>
      <w:r w:rsidR="00044196" w:rsidRPr="00422750">
        <w:t xml:space="preserve"> and the LCR disclosures in Attachment</w:t>
      </w:r>
      <w:r w:rsidR="008B7D02" w:rsidRPr="00422750">
        <w:t xml:space="preserve"> F</w:t>
      </w:r>
      <w:r w:rsidR="006E085D" w:rsidRPr="00422750">
        <w:t>, respectively</w:t>
      </w:r>
      <w:r w:rsidRPr="00422750">
        <w:t xml:space="preserve">. </w:t>
      </w:r>
    </w:p>
    <w:p w14:paraId="49D04603" w14:textId="5A69358A" w:rsidR="00742F5F" w:rsidRPr="00422750" w:rsidRDefault="00742F5F" w:rsidP="00404E8E">
      <w:pPr>
        <w:pStyle w:val="BodyText"/>
      </w:pPr>
      <w:bookmarkStart w:id="124" w:name="_Ref358285846"/>
      <w:r w:rsidRPr="00422750">
        <w:t xml:space="preserve">The disclosures in Attachment C </w:t>
      </w:r>
      <w:r w:rsidR="00D20351" w:rsidRPr="00422750">
        <w:t xml:space="preserve">and the LCR disclosures in Attachment F </w:t>
      </w:r>
      <w:r w:rsidRPr="00422750">
        <w:t>must be published:</w:t>
      </w:r>
      <w:bookmarkEnd w:id="124"/>
    </w:p>
    <w:p w14:paraId="49D04604" w14:textId="77777777" w:rsidR="00742F5F" w:rsidRPr="00953F7D" w:rsidRDefault="00742F5F" w:rsidP="00404E8E">
      <w:pPr>
        <w:pStyle w:val="Bodytextlist"/>
      </w:pPr>
      <w:bookmarkStart w:id="125" w:name="_Toc506286023"/>
      <w:r w:rsidRPr="00953F7D">
        <w:t>concurrently with the lodgement of an ADI’s financial reports under the Corporations Act</w:t>
      </w:r>
      <w:r w:rsidRPr="00953F7D">
        <w:rPr>
          <w:rStyle w:val="FootnoteReference"/>
          <w:bCs w:val="0"/>
          <w:iCs/>
          <w:lang w:val="en-AU"/>
        </w:rPr>
        <w:footnoteReference w:id="8"/>
      </w:r>
      <w:r w:rsidR="0020528E" w:rsidRPr="00953F7D">
        <w:t>;</w:t>
      </w:r>
      <w:r w:rsidRPr="00953F7D">
        <w:t xml:space="preserve"> and</w:t>
      </w:r>
      <w:bookmarkEnd w:id="125"/>
    </w:p>
    <w:p w14:paraId="49D04605" w14:textId="77777777" w:rsidR="00742F5F" w:rsidRPr="00953F7D" w:rsidRDefault="00742F5F" w:rsidP="00404E8E">
      <w:pPr>
        <w:pStyle w:val="Bodytextlist"/>
      </w:pPr>
      <w:bookmarkStart w:id="126" w:name="_Toc506286024"/>
      <w:r w:rsidRPr="00953F7D">
        <w:t xml:space="preserve">for any quarterly period that does not coincide with the lodgement of an ADI’s financial report under the Corporations Act, within 40 </w:t>
      </w:r>
      <w:r w:rsidRPr="001F6B4B">
        <w:rPr>
          <w:b/>
        </w:rPr>
        <w:t>business days</w:t>
      </w:r>
      <w:r w:rsidRPr="00953F7D">
        <w:t xml:space="preserve"> after the end of the period to which they relate.</w:t>
      </w:r>
      <w:bookmarkEnd w:id="126"/>
      <w:r w:rsidRPr="00953F7D">
        <w:t xml:space="preserve"> </w:t>
      </w:r>
    </w:p>
    <w:p w14:paraId="49D04606" w14:textId="77777777" w:rsidR="00742F5F" w:rsidRPr="00953F7D" w:rsidRDefault="00742F5F" w:rsidP="00404E8E">
      <w:pPr>
        <w:pStyle w:val="BodyText"/>
      </w:pPr>
      <w:r w:rsidRPr="00953F7D">
        <w:t xml:space="preserve">The qualitative disclosures required in Attachment D must be published on an annual basis. </w:t>
      </w:r>
    </w:p>
    <w:p w14:paraId="49D04607" w14:textId="77777777" w:rsidR="00742F5F" w:rsidRPr="00953F7D" w:rsidRDefault="00742F5F" w:rsidP="00404E8E">
      <w:pPr>
        <w:pStyle w:val="BodyText"/>
      </w:pPr>
      <w:r w:rsidRPr="00953F7D">
        <w:t xml:space="preserve">The quantitative disclosures required in Attachment D must be published on a semi-annual basis. </w:t>
      </w:r>
      <w:r w:rsidR="00E044BF" w:rsidRPr="00953F7D">
        <w:t xml:space="preserve">For comparison purposes, </w:t>
      </w:r>
      <w:r w:rsidRPr="00953F7D">
        <w:t xml:space="preserve">all </w:t>
      </w:r>
      <w:r w:rsidR="00E044BF" w:rsidRPr="00953F7D">
        <w:t xml:space="preserve">quantitative </w:t>
      </w:r>
      <w:r w:rsidRPr="00953F7D">
        <w:t>disclosures</w:t>
      </w:r>
      <w:r w:rsidR="00E044BF" w:rsidRPr="00953F7D">
        <w:t xml:space="preserve"> for Attachment D (except initial disclosures)</w:t>
      </w:r>
      <w:r w:rsidRPr="00953F7D">
        <w:t xml:space="preserve"> must be published together with the </w:t>
      </w:r>
      <w:r w:rsidR="00E044BF" w:rsidRPr="00953F7D">
        <w:t xml:space="preserve">immediately preceding </w:t>
      </w:r>
      <w:r w:rsidRPr="00953F7D">
        <w:t xml:space="preserve">quantitative disclosures </w:t>
      </w:r>
      <w:r w:rsidR="00E044BF" w:rsidRPr="00953F7D">
        <w:t>for</w:t>
      </w:r>
      <w:r w:rsidRPr="00953F7D">
        <w:t xml:space="preserve"> Attachment D.</w:t>
      </w:r>
    </w:p>
    <w:p w14:paraId="49D04608" w14:textId="40A9A4B0" w:rsidR="00742F5F" w:rsidRPr="00953F7D" w:rsidRDefault="00742F5F" w:rsidP="00404E8E">
      <w:pPr>
        <w:pStyle w:val="BodyText"/>
      </w:pPr>
      <w:bookmarkStart w:id="127" w:name="_Ref358285853"/>
      <w:r w:rsidRPr="00953F7D">
        <w:t>The disclosures in Attachment D must be made concurrently with the lodgement of an ADI’s financial reports under the Corporations Act</w:t>
      </w:r>
      <w:r w:rsidR="00020692">
        <w:t>.</w:t>
      </w:r>
      <w:r w:rsidRPr="00953F7D">
        <w:rPr>
          <w:rStyle w:val="FootnoteReference"/>
          <w:bCs w:val="0"/>
          <w:iCs w:val="0"/>
        </w:rPr>
        <w:footnoteReference w:id="9"/>
      </w:r>
      <w:bookmarkEnd w:id="127"/>
      <w:r w:rsidRPr="00953F7D">
        <w:t xml:space="preserve">  </w:t>
      </w:r>
    </w:p>
    <w:p w14:paraId="49D04609" w14:textId="0F2678C0" w:rsidR="00CB048D" w:rsidRPr="00953F7D" w:rsidRDefault="000A7A9A" w:rsidP="00404E8E">
      <w:pPr>
        <w:pStyle w:val="BodyText"/>
      </w:pPr>
      <w:bookmarkStart w:id="128" w:name="_Ref387063899"/>
      <w:bookmarkStart w:id="129" w:name="_Ref386035461"/>
      <w:r w:rsidRPr="00953F7D">
        <w:t>I</w:t>
      </w:r>
      <w:r w:rsidR="00683880" w:rsidRPr="00953F7D">
        <w:t xml:space="preserve">f required under paragraph </w:t>
      </w:r>
      <w:r w:rsidR="00B579D1" w:rsidRPr="00953F7D">
        <w:fldChar w:fldCharType="begin"/>
      </w:r>
      <w:r w:rsidR="00B579D1" w:rsidRPr="00953F7D">
        <w:instrText xml:space="preserve"> REF _Ref398025169 \r \h </w:instrText>
      </w:r>
      <w:r w:rsidR="00404E8E" w:rsidRPr="00953F7D">
        <w:instrText xml:space="preserve"> \* MERGEFORMAT </w:instrText>
      </w:r>
      <w:r w:rsidR="00B579D1" w:rsidRPr="00953F7D">
        <w:fldChar w:fldCharType="separate"/>
      </w:r>
      <w:r w:rsidR="007D232B">
        <w:t>17</w:t>
      </w:r>
      <w:r w:rsidR="00B579D1" w:rsidRPr="00953F7D">
        <w:fldChar w:fldCharType="end"/>
      </w:r>
      <w:r w:rsidR="00683880" w:rsidRPr="00953F7D">
        <w:t>, i</w:t>
      </w:r>
      <w:r w:rsidRPr="00953F7D">
        <w:t>n addition to the requirements in</w:t>
      </w:r>
      <w:r w:rsidR="00CB048D" w:rsidRPr="00953F7D">
        <w:t xml:space="preserve"> </w:t>
      </w:r>
      <w:r w:rsidR="0011556B" w:rsidRPr="00953F7D">
        <w:t xml:space="preserve">paragraph </w:t>
      </w:r>
      <w:r w:rsidR="0011556B" w:rsidRPr="00953F7D">
        <w:fldChar w:fldCharType="begin"/>
      </w:r>
      <w:r w:rsidR="0011556B" w:rsidRPr="00953F7D">
        <w:instrText xml:space="preserve"> REF _Ref358285828 \r \h </w:instrText>
      </w:r>
      <w:r w:rsidR="00D26094" w:rsidRPr="00953F7D">
        <w:instrText xml:space="preserve"> \* MERGEFORMAT </w:instrText>
      </w:r>
      <w:r w:rsidR="0011556B" w:rsidRPr="00953F7D">
        <w:fldChar w:fldCharType="separate"/>
      </w:r>
      <w:r w:rsidR="007D232B">
        <w:t>41</w:t>
      </w:r>
      <w:r w:rsidR="0011556B" w:rsidRPr="00953F7D">
        <w:fldChar w:fldCharType="end"/>
      </w:r>
      <w:r w:rsidR="0011556B" w:rsidRPr="00953F7D">
        <w:t xml:space="preserve">, </w:t>
      </w:r>
      <w:r w:rsidR="00CB048D" w:rsidRPr="00953F7D">
        <w:t xml:space="preserve">an </w:t>
      </w:r>
      <w:r w:rsidR="00B579D1" w:rsidRPr="00953F7D">
        <w:t xml:space="preserve">IRB </w:t>
      </w:r>
      <w:r w:rsidR="00CB048D" w:rsidRPr="00953F7D">
        <w:t xml:space="preserve">ADI must make the following </w:t>
      </w:r>
      <w:r w:rsidR="00E642DE" w:rsidRPr="00953F7D">
        <w:t xml:space="preserve">quantitative </w:t>
      </w:r>
      <w:r w:rsidR="00CB048D" w:rsidRPr="00953F7D">
        <w:t>disclosures</w:t>
      </w:r>
      <w:r w:rsidR="008D3313" w:rsidRPr="00953F7D">
        <w:t xml:space="preserve"> required</w:t>
      </w:r>
      <w:r w:rsidR="00CB048D" w:rsidRPr="00953F7D">
        <w:t xml:space="preserve"> in Attachment E on a quarterly basis</w:t>
      </w:r>
      <w:r w:rsidR="006F550D" w:rsidRPr="00953F7D">
        <w:t>, commencing no</w:t>
      </w:r>
      <w:r w:rsidR="00B544CD" w:rsidRPr="00953F7D">
        <w:t xml:space="preserve"> </w:t>
      </w:r>
      <w:r w:rsidR="00E642DE" w:rsidRPr="00953F7D">
        <w:t xml:space="preserve">later </w:t>
      </w:r>
      <w:r w:rsidR="00B544CD" w:rsidRPr="00953F7D">
        <w:t>than three months after the commencement of this Prudential Standard</w:t>
      </w:r>
      <w:r w:rsidR="00CB048D" w:rsidRPr="00953F7D">
        <w:t>:</w:t>
      </w:r>
      <w:bookmarkEnd w:id="128"/>
    </w:p>
    <w:p w14:paraId="49D0460A" w14:textId="77777777" w:rsidR="00CB048D" w:rsidRPr="00953F7D" w:rsidRDefault="00CB048D" w:rsidP="00404E8E">
      <w:pPr>
        <w:pStyle w:val="Bodytextlist"/>
      </w:pPr>
      <w:bookmarkStart w:id="130" w:name="_Toc506286025"/>
      <w:r w:rsidRPr="00953F7D">
        <w:t xml:space="preserve">Tier 1 </w:t>
      </w:r>
      <w:r w:rsidR="00001200" w:rsidRPr="00953F7D">
        <w:t>C</w:t>
      </w:r>
      <w:r w:rsidRPr="00953F7D">
        <w:t>apital</w:t>
      </w:r>
      <w:r w:rsidR="00E642DE" w:rsidRPr="00953F7D">
        <w:t xml:space="preserve"> (refer to item 20 in Table 18)</w:t>
      </w:r>
      <w:r w:rsidRPr="00953F7D">
        <w:t>;</w:t>
      </w:r>
      <w:bookmarkEnd w:id="130"/>
    </w:p>
    <w:p w14:paraId="49D0460B" w14:textId="77777777" w:rsidR="00CB048D" w:rsidRPr="00953F7D" w:rsidRDefault="00CB048D" w:rsidP="00404E8E">
      <w:pPr>
        <w:pStyle w:val="Bodytextlist"/>
      </w:pPr>
      <w:bookmarkStart w:id="131" w:name="_Toc506286026"/>
      <w:r w:rsidRPr="00953F7D">
        <w:t>Total exposures</w:t>
      </w:r>
      <w:r w:rsidR="00E642DE" w:rsidRPr="00953F7D">
        <w:t xml:space="preserve"> (refer to item 21 in Table 18)</w:t>
      </w:r>
      <w:r w:rsidRPr="00953F7D">
        <w:t>; and</w:t>
      </w:r>
      <w:bookmarkEnd w:id="131"/>
    </w:p>
    <w:p w14:paraId="49D0460C" w14:textId="77777777" w:rsidR="00CB048D" w:rsidRPr="00953F7D" w:rsidRDefault="00CB048D" w:rsidP="00404E8E">
      <w:pPr>
        <w:pStyle w:val="Bodytextlist"/>
      </w:pPr>
      <w:bookmarkStart w:id="132" w:name="_Toc506286027"/>
      <w:r w:rsidRPr="00953F7D">
        <w:t>leverage ratio</w:t>
      </w:r>
      <w:r w:rsidR="00E642DE" w:rsidRPr="00953F7D">
        <w:t xml:space="preserve"> (refer to item 22 in Table 18)</w:t>
      </w:r>
      <w:r w:rsidRPr="00953F7D">
        <w:rPr>
          <w:rStyle w:val="FootnoteReference"/>
          <w:bCs w:val="0"/>
          <w:iCs/>
        </w:rPr>
        <w:footnoteReference w:id="10"/>
      </w:r>
      <w:r w:rsidR="0020528E" w:rsidRPr="00953F7D">
        <w:t>.</w:t>
      </w:r>
      <w:bookmarkEnd w:id="132"/>
      <w:r w:rsidRPr="00953F7D">
        <w:t xml:space="preserve"> </w:t>
      </w:r>
    </w:p>
    <w:p w14:paraId="49D0460D" w14:textId="57BECD81" w:rsidR="00CB048D" w:rsidRPr="00953F7D" w:rsidRDefault="00CB048D" w:rsidP="00404E8E">
      <w:pPr>
        <w:pStyle w:val="BodyText"/>
      </w:pPr>
      <w:r w:rsidRPr="00953F7D">
        <w:t xml:space="preserve">The disclosures </w:t>
      </w:r>
      <w:r w:rsidR="002F3FB5" w:rsidRPr="00953F7D">
        <w:t xml:space="preserve">required </w:t>
      </w:r>
      <w:r w:rsidR="00701B01" w:rsidRPr="00953F7D">
        <w:t xml:space="preserve">to be made under </w:t>
      </w:r>
      <w:r w:rsidR="0011556B" w:rsidRPr="00953F7D">
        <w:t xml:space="preserve">paragraph </w:t>
      </w:r>
      <w:r w:rsidR="0011556B" w:rsidRPr="00953F7D">
        <w:fldChar w:fldCharType="begin"/>
      </w:r>
      <w:r w:rsidR="0011556B" w:rsidRPr="00953F7D">
        <w:instrText xml:space="preserve"> REF _Ref387063899 \r \h </w:instrText>
      </w:r>
      <w:r w:rsidR="00D26094" w:rsidRPr="00953F7D">
        <w:instrText xml:space="preserve"> \* MERGEFORMAT </w:instrText>
      </w:r>
      <w:r w:rsidR="0011556B" w:rsidRPr="00953F7D">
        <w:fldChar w:fldCharType="separate"/>
      </w:r>
      <w:r w:rsidR="003B4C20">
        <w:t>49</w:t>
      </w:r>
      <w:r w:rsidR="0011556B" w:rsidRPr="00953F7D">
        <w:fldChar w:fldCharType="end"/>
      </w:r>
      <w:r w:rsidR="0011556B" w:rsidRPr="00953F7D">
        <w:t xml:space="preserve"> </w:t>
      </w:r>
      <w:r w:rsidRPr="00953F7D">
        <w:t xml:space="preserve">must be published together with the </w:t>
      </w:r>
      <w:r w:rsidR="00050C46" w:rsidRPr="00953F7D">
        <w:t xml:space="preserve">figures </w:t>
      </w:r>
      <w:r w:rsidRPr="00953F7D">
        <w:t>for the three previous quarterly periods</w:t>
      </w:r>
      <w:r w:rsidR="000951BE">
        <w:t>.</w:t>
      </w:r>
      <w:r w:rsidR="00554528" w:rsidRPr="00953F7D">
        <w:rPr>
          <w:rStyle w:val="FootnoteReference"/>
          <w:bCs w:val="0"/>
          <w:iCs w:val="0"/>
        </w:rPr>
        <w:footnoteReference w:id="11"/>
      </w:r>
      <w:r w:rsidR="00701B01" w:rsidRPr="00953F7D">
        <w:t xml:space="preserve"> For any quarterly period that does not coincide with the lodgement of an ADI’s financial report under the </w:t>
      </w:r>
      <w:r w:rsidR="00050C46" w:rsidRPr="00953F7D">
        <w:t>Corporations</w:t>
      </w:r>
      <w:r w:rsidR="00701B01" w:rsidRPr="00953F7D">
        <w:t xml:space="preserve"> Act, the disclosures must be published within 40 business days after the end of the period to which they relate. </w:t>
      </w:r>
    </w:p>
    <w:p w14:paraId="49D0460E" w14:textId="1EB7A001" w:rsidR="00742F5F" w:rsidRPr="00953F7D" w:rsidRDefault="00742F5F" w:rsidP="00404E8E">
      <w:pPr>
        <w:pStyle w:val="BodyText"/>
      </w:pPr>
      <w:bookmarkStart w:id="133" w:name="_Ref394671324"/>
      <w:r w:rsidRPr="00953F7D">
        <w:t xml:space="preserve">The remuneration disclosures required in Attachment </w:t>
      </w:r>
      <w:r w:rsidR="00CB048D" w:rsidRPr="00953F7D">
        <w:t>G</w:t>
      </w:r>
      <w:r w:rsidRPr="00953F7D">
        <w:t xml:space="preserve"> must be published with the same frequency as, and within three months of lodgement of, the ADI’s annual financial report under the Corporations Act</w:t>
      </w:r>
      <w:r w:rsidR="000951BE">
        <w:t>.</w:t>
      </w:r>
      <w:r w:rsidRPr="00953F7D">
        <w:rPr>
          <w:rStyle w:val="FootnoteReference"/>
          <w:bCs w:val="0"/>
          <w:iCs w:val="0"/>
        </w:rPr>
        <w:footnoteReference w:id="12"/>
      </w:r>
      <w:bookmarkEnd w:id="129"/>
      <w:bookmarkEnd w:id="133"/>
      <w:r w:rsidRPr="00953F7D">
        <w:t xml:space="preserve"> </w:t>
      </w:r>
    </w:p>
    <w:p w14:paraId="49D0460F" w14:textId="77777777" w:rsidR="00742F5F" w:rsidRPr="00953F7D" w:rsidRDefault="00742F5F" w:rsidP="00404E8E">
      <w:pPr>
        <w:pStyle w:val="BodyText"/>
      </w:pPr>
      <w:r w:rsidRPr="00953F7D">
        <w:t>After the initial remuneration disclosure, all subsequent quantitative remuneration disclosures must be published together with the quantitative remuneration disclosures for the previous annual period in accordance with the provisions in this Prudential Standard.</w:t>
      </w:r>
    </w:p>
    <w:p w14:paraId="49D04610" w14:textId="29B1967F" w:rsidR="000F7A32" w:rsidRPr="00953F7D" w:rsidRDefault="00D473C6" w:rsidP="00404E8E">
      <w:pPr>
        <w:pStyle w:val="BodyText"/>
      </w:pPr>
      <w:bookmarkStart w:id="134" w:name="_Ref394671356"/>
      <w:bookmarkStart w:id="135" w:name="_Ref395607015"/>
      <w:r w:rsidRPr="00953F7D">
        <w:t xml:space="preserve">If required under paragraph </w:t>
      </w:r>
      <w:r w:rsidR="00B579D1" w:rsidRPr="00953F7D">
        <w:fldChar w:fldCharType="begin"/>
      </w:r>
      <w:r w:rsidR="00B579D1" w:rsidRPr="00953F7D">
        <w:instrText xml:space="preserve"> REF _Ref398025225 \r \h </w:instrText>
      </w:r>
      <w:r w:rsidR="00953F7D">
        <w:instrText xml:space="preserve"> \* MERGEFORMAT </w:instrText>
      </w:r>
      <w:r w:rsidR="00B579D1" w:rsidRPr="00953F7D">
        <w:fldChar w:fldCharType="separate"/>
      </w:r>
      <w:r w:rsidR="007D232B">
        <w:t>23</w:t>
      </w:r>
      <w:r w:rsidR="00B579D1" w:rsidRPr="00953F7D">
        <w:fldChar w:fldCharType="end"/>
      </w:r>
      <w:r w:rsidRPr="00953F7D">
        <w:t xml:space="preserve">, </w:t>
      </w:r>
      <w:r w:rsidR="00B579D1" w:rsidRPr="00953F7D">
        <w:t>an ADI must</w:t>
      </w:r>
      <w:r w:rsidR="000F7A32" w:rsidRPr="00953F7D">
        <w:t>:</w:t>
      </w:r>
    </w:p>
    <w:p w14:paraId="49D04611" w14:textId="77777777" w:rsidR="000F7A32" w:rsidRPr="00953F7D" w:rsidRDefault="00B579D1" w:rsidP="00664EC6">
      <w:pPr>
        <w:pStyle w:val="Bodytextlist"/>
      </w:pPr>
      <w:bookmarkStart w:id="136" w:name="_Toc506286028"/>
      <w:r w:rsidRPr="00953F7D">
        <w:t xml:space="preserve">make </w:t>
      </w:r>
      <w:r w:rsidR="00D473C6" w:rsidRPr="00953F7D">
        <w:t>t</w:t>
      </w:r>
      <w:r w:rsidR="00273323" w:rsidRPr="00953F7D">
        <w:t xml:space="preserve">he disclosures in Attachment H as at the balance sheet date of the corresponding </w:t>
      </w:r>
      <w:r w:rsidR="00B56BCF" w:rsidRPr="00953F7D">
        <w:t xml:space="preserve">annual </w:t>
      </w:r>
      <w:r w:rsidR="00273323" w:rsidRPr="00953F7D">
        <w:t>financial report</w:t>
      </w:r>
      <w:r w:rsidR="00B56BCF" w:rsidRPr="00953F7D">
        <w:rPr>
          <w:rStyle w:val="FootnoteReference"/>
          <w:bCs w:val="0"/>
          <w:iCs/>
        </w:rPr>
        <w:footnoteReference w:id="13"/>
      </w:r>
      <w:r w:rsidR="000F7A32" w:rsidRPr="00953F7D">
        <w:t>;</w:t>
      </w:r>
      <w:r w:rsidR="00444B9D" w:rsidRPr="00953F7D">
        <w:t xml:space="preserve"> and</w:t>
      </w:r>
      <w:bookmarkEnd w:id="136"/>
    </w:p>
    <w:p w14:paraId="49D04612" w14:textId="77777777" w:rsidR="00FE4868" w:rsidRPr="00953F7D" w:rsidRDefault="00FE4868" w:rsidP="00FE4868">
      <w:pPr>
        <w:pStyle w:val="Bodytextlist"/>
      </w:pPr>
      <w:bookmarkStart w:id="137" w:name="_Toc506286029"/>
      <w:bookmarkEnd w:id="134"/>
      <w:bookmarkEnd w:id="135"/>
      <w:r w:rsidRPr="00953F7D">
        <w:t xml:space="preserve">publish these disclosures not later than 31 July following the </w:t>
      </w:r>
      <w:r w:rsidR="00C5478F" w:rsidRPr="00953F7D">
        <w:t xml:space="preserve">balance sheet </w:t>
      </w:r>
      <w:r w:rsidRPr="00953F7D">
        <w:t>date on which the disclosures are based.</w:t>
      </w:r>
      <w:bookmarkEnd w:id="137"/>
    </w:p>
    <w:p w14:paraId="49D04613" w14:textId="1CDBA052" w:rsidR="00AD4FEA" w:rsidRPr="00953F7D" w:rsidRDefault="00F74F2D" w:rsidP="00404E8E">
      <w:pPr>
        <w:pStyle w:val="BodyText"/>
      </w:pPr>
      <w:r w:rsidRPr="00953F7D">
        <w:t xml:space="preserve">The </w:t>
      </w:r>
      <w:r w:rsidR="0053421C" w:rsidRPr="00953F7D">
        <w:t xml:space="preserve">requirements for the frequency and timing of disclosures in paragraphs </w:t>
      </w:r>
      <w:r w:rsidR="0053421C" w:rsidRPr="00953F7D">
        <w:fldChar w:fldCharType="begin"/>
      </w:r>
      <w:r w:rsidR="0053421C" w:rsidRPr="00953F7D">
        <w:instrText xml:space="preserve"> REF _Ref358285828 \r \h </w:instrText>
      </w:r>
      <w:r w:rsidR="00D26094" w:rsidRPr="00953F7D">
        <w:instrText xml:space="preserve"> \* MERGEFORMAT </w:instrText>
      </w:r>
      <w:r w:rsidR="0053421C" w:rsidRPr="00953F7D">
        <w:fldChar w:fldCharType="separate"/>
      </w:r>
      <w:r w:rsidR="00D20351">
        <w:t>41</w:t>
      </w:r>
      <w:r w:rsidR="0053421C" w:rsidRPr="00953F7D">
        <w:fldChar w:fldCharType="end"/>
      </w:r>
      <w:r w:rsidR="0053421C" w:rsidRPr="00953F7D">
        <w:t xml:space="preserve"> to </w:t>
      </w:r>
      <w:r w:rsidR="00B56BCF" w:rsidRPr="00953F7D">
        <w:fldChar w:fldCharType="begin"/>
      </w:r>
      <w:r w:rsidR="00B56BCF" w:rsidRPr="00953F7D">
        <w:instrText xml:space="preserve"> REF _Ref395607015 \r \h </w:instrText>
      </w:r>
      <w:r w:rsidR="00D26094" w:rsidRPr="00953F7D">
        <w:instrText xml:space="preserve"> \* MERGEFORMAT </w:instrText>
      </w:r>
      <w:r w:rsidR="00B56BCF" w:rsidRPr="00953F7D">
        <w:fldChar w:fldCharType="separate"/>
      </w:r>
      <w:r w:rsidR="007D232B">
        <w:t>52</w:t>
      </w:r>
      <w:r w:rsidR="00B56BCF" w:rsidRPr="00953F7D">
        <w:fldChar w:fldCharType="end"/>
      </w:r>
      <w:r w:rsidR="0053421C" w:rsidRPr="00953F7D">
        <w:t xml:space="preserve"> are summarised in Attachment I. </w:t>
      </w:r>
      <w:r w:rsidRPr="00953F7D">
        <w:t xml:space="preserve"> </w:t>
      </w:r>
    </w:p>
    <w:bookmarkEnd w:id="96"/>
    <w:bookmarkEnd w:id="97"/>
    <w:bookmarkEnd w:id="98"/>
    <w:p w14:paraId="49D04614" w14:textId="77777777" w:rsidR="00742F5F" w:rsidRPr="00953F7D" w:rsidRDefault="00742F5F" w:rsidP="00742F5F">
      <w:pPr>
        <w:keepNext/>
        <w:spacing w:after="240"/>
        <w:jc w:val="both"/>
        <w:rPr>
          <w:bCs/>
          <w:i/>
          <w:sz w:val="26"/>
          <w:szCs w:val="26"/>
        </w:rPr>
      </w:pPr>
      <w:r w:rsidRPr="00953F7D">
        <w:rPr>
          <w:bCs/>
          <w:i/>
          <w:sz w:val="26"/>
          <w:szCs w:val="26"/>
        </w:rPr>
        <w:t>Non-regulatory ratios</w:t>
      </w:r>
    </w:p>
    <w:p w14:paraId="49D04615" w14:textId="77777777" w:rsidR="00742F5F" w:rsidRPr="00953F7D" w:rsidRDefault="00742F5F" w:rsidP="00404E8E">
      <w:pPr>
        <w:pStyle w:val="BodyText"/>
      </w:pPr>
      <w:r w:rsidRPr="00953F7D">
        <w:t>If an ADI publishes capital adequacy ratios:</w:t>
      </w:r>
    </w:p>
    <w:p w14:paraId="49D04616" w14:textId="77777777" w:rsidR="00742F5F" w:rsidRPr="00953F7D" w:rsidRDefault="000F7A32" w:rsidP="00404E8E">
      <w:pPr>
        <w:pStyle w:val="Bodytextlist"/>
      </w:pPr>
      <w:bookmarkStart w:id="138" w:name="_Toc506286030"/>
      <w:r w:rsidRPr="00953F7D">
        <w:t xml:space="preserve">that are </w:t>
      </w:r>
      <w:r w:rsidR="00742F5F" w:rsidRPr="00953F7D">
        <w:t>calculated other than in accordance with APS 110; or</w:t>
      </w:r>
      <w:bookmarkEnd w:id="138"/>
    </w:p>
    <w:p w14:paraId="49D04617" w14:textId="77777777" w:rsidR="00742F5F" w:rsidRPr="00953F7D" w:rsidRDefault="00742F5F" w:rsidP="00404E8E">
      <w:pPr>
        <w:pStyle w:val="Bodytextlist"/>
      </w:pPr>
      <w:bookmarkStart w:id="139" w:name="_Toc506286031"/>
      <w:r w:rsidRPr="00953F7D">
        <w:t>that involve components of Regulatory Capital that are not defined in APS 111 (including terms such as ‘Equity Tier 1’, ‘Core Tier 1’ or ‘Tangible Common Equity’),</w:t>
      </w:r>
      <w:bookmarkEnd w:id="139"/>
      <w:r w:rsidRPr="00953F7D">
        <w:t xml:space="preserve"> </w:t>
      </w:r>
    </w:p>
    <w:p w14:paraId="49D04618" w14:textId="77777777" w:rsidR="00742F5F" w:rsidRPr="00953F7D" w:rsidRDefault="00742F5F" w:rsidP="0011556B">
      <w:pPr>
        <w:pStyle w:val="Paragraph"/>
        <w:ind w:firstLine="0"/>
        <w:rPr>
          <w:rFonts w:ascii="Times New Roman" w:hAnsi="Times New Roman"/>
          <w:bCs/>
          <w:iCs/>
          <w:sz w:val="24"/>
          <w:szCs w:val="24"/>
        </w:rPr>
      </w:pPr>
      <w:r w:rsidRPr="00953F7D">
        <w:rPr>
          <w:rFonts w:ascii="Times New Roman" w:hAnsi="Times New Roman"/>
          <w:bCs/>
          <w:iCs/>
          <w:sz w:val="24"/>
          <w:szCs w:val="24"/>
          <w:lang w:val="en-AU"/>
        </w:rPr>
        <w:t>such publication must include a comprehensive explanation of how these ratios are calculated and details of the elements of capital used. This requirement applies regardless of whether the capital ratios are prudential disclosures made in accordance with this Prudential Standard.</w:t>
      </w:r>
    </w:p>
    <w:p w14:paraId="49D04619" w14:textId="77777777" w:rsidR="00742F5F" w:rsidRPr="00953F7D" w:rsidRDefault="00B05EDF" w:rsidP="00742F5F">
      <w:pPr>
        <w:keepNext/>
        <w:spacing w:after="240"/>
        <w:jc w:val="both"/>
        <w:rPr>
          <w:bCs/>
          <w:i/>
          <w:sz w:val="26"/>
          <w:szCs w:val="26"/>
        </w:rPr>
      </w:pPr>
      <w:r w:rsidRPr="00953F7D">
        <w:rPr>
          <w:bCs/>
          <w:i/>
          <w:sz w:val="26"/>
          <w:szCs w:val="26"/>
        </w:rPr>
        <w:t xml:space="preserve">Public availability </w:t>
      </w:r>
      <w:r w:rsidR="00742F5F" w:rsidRPr="00953F7D">
        <w:rPr>
          <w:bCs/>
          <w:i/>
          <w:sz w:val="26"/>
          <w:szCs w:val="26"/>
        </w:rPr>
        <w:t>of disclosures</w:t>
      </w:r>
    </w:p>
    <w:p w14:paraId="49D0461A" w14:textId="77777777" w:rsidR="00742F5F" w:rsidRPr="00953F7D" w:rsidRDefault="00742F5F" w:rsidP="00404E8E">
      <w:pPr>
        <w:pStyle w:val="BodyText"/>
        <w:rPr>
          <w:rFonts w:cs="Arial"/>
        </w:rPr>
      </w:pPr>
      <w:r w:rsidRPr="00953F7D">
        <w:t>Irrespective of the medium of publication, an ADI must make publicly available its prudential disclosures for a minimum period of 12 months.</w:t>
      </w:r>
    </w:p>
    <w:p w14:paraId="49D0461B" w14:textId="77777777" w:rsidR="00742F5F" w:rsidRPr="00953F7D" w:rsidRDefault="00742F5F" w:rsidP="00742F5F">
      <w:pPr>
        <w:keepNext/>
        <w:spacing w:after="240"/>
        <w:jc w:val="both"/>
        <w:rPr>
          <w:bCs/>
          <w:i/>
          <w:sz w:val="26"/>
          <w:szCs w:val="26"/>
        </w:rPr>
      </w:pPr>
      <w:r w:rsidRPr="00953F7D">
        <w:rPr>
          <w:bCs/>
          <w:i/>
          <w:sz w:val="26"/>
          <w:szCs w:val="26"/>
        </w:rPr>
        <w:t>Materiality</w:t>
      </w:r>
    </w:p>
    <w:p w14:paraId="49D0461C" w14:textId="77777777" w:rsidR="00742F5F" w:rsidRPr="00953F7D" w:rsidRDefault="00742F5F" w:rsidP="00404E8E">
      <w:pPr>
        <w:pStyle w:val="BodyText"/>
        <w:rPr>
          <w:i/>
        </w:rPr>
      </w:pPr>
      <w:r w:rsidRPr="00953F7D">
        <w:t>An ADI, in making a disclosure, must decide w</w:t>
      </w:r>
      <w:r w:rsidR="00FC630E" w:rsidRPr="00953F7D">
        <w:t xml:space="preserve">hich prudential disclosures are </w:t>
      </w:r>
      <w:r w:rsidRPr="00953F7D">
        <w:t xml:space="preserve">material. An ADI is not required to make a prudential disclosure if it considers the matter to be disclosed to be immaterial. Information is regarded as material if its omission or misstatement could change or influence the assessment or decision of a user relying on that information for the purpose of making economic decisions. More generally, an ADI must have regard to materiality as applied in the context of its other public disclosures (for instance, as required under the Corporations Act). </w:t>
      </w:r>
    </w:p>
    <w:p w14:paraId="49D0461D" w14:textId="77777777" w:rsidR="00742F5F" w:rsidRPr="00953F7D" w:rsidRDefault="00742F5F" w:rsidP="00742F5F">
      <w:pPr>
        <w:keepNext/>
        <w:spacing w:after="240"/>
        <w:jc w:val="both"/>
        <w:rPr>
          <w:bCs/>
          <w:i/>
          <w:sz w:val="26"/>
          <w:szCs w:val="26"/>
        </w:rPr>
      </w:pPr>
      <w:bookmarkStart w:id="140" w:name="_Toc179100009"/>
      <w:bookmarkStart w:id="141" w:name="_Toc179100098"/>
      <w:bookmarkStart w:id="142" w:name="_Toc340674297"/>
      <w:r w:rsidRPr="00953F7D">
        <w:rPr>
          <w:bCs/>
          <w:i/>
          <w:sz w:val="26"/>
          <w:szCs w:val="26"/>
        </w:rPr>
        <w:t>Proprietary, confidential and personal information</w:t>
      </w:r>
      <w:bookmarkEnd w:id="140"/>
      <w:bookmarkEnd w:id="141"/>
      <w:bookmarkEnd w:id="142"/>
    </w:p>
    <w:p w14:paraId="49D0461E" w14:textId="77777777" w:rsidR="00742F5F" w:rsidRPr="00953F7D" w:rsidRDefault="00742F5F" w:rsidP="00404E8E">
      <w:pPr>
        <w:pStyle w:val="BodyText"/>
        <w:rPr>
          <w:b/>
          <w:i/>
        </w:rPr>
      </w:pPr>
      <w:r w:rsidRPr="00953F7D">
        <w:t>Proprietary information</w:t>
      </w:r>
      <w:r w:rsidRPr="00953F7D">
        <w:rPr>
          <w:b/>
        </w:rPr>
        <w:t xml:space="preserve"> </w:t>
      </w:r>
      <w:r w:rsidRPr="00953F7D">
        <w:t xml:space="preserve">encompasses information that, if shared with competitors, would render an ADI’s investment in its products/systems less valuable by undermining its competitive position. Confidential information is that which an ADI possesses about customers or other persons that is confidential, being provided under the terms of a legal agreement or counterparty relationship. Personal information is as defined in the </w:t>
      </w:r>
      <w:r w:rsidRPr="00953F7D">
        <w:rPr>
          <w:i/>
        </w:rPr>
        <w:t>Privacy Act 1988</w:t>
      </w:r>
      <w:r w:rsidRPr="00953F7D">
        <w:t>.</w:t>
      </w:r>
    </w:p>
    <w:p w14:paraId="49D0461F" w14:textId="30EB6F9B" w:rsidR="00742F5F" w:rsidRPr="00953F7D" w:rsidRDefault="00742F5F" w:rsidP="00404E8E">
      <w:pPr>
        <w:pStyle w:val="BodyText"/>
        <w:rPr>
          <w:b/>
          <w:i/>
        </w:rPr>
      </w:pPr>
      <w:bookmarkStart w:id="143" w:name="OLE_LINK3"/>
      <w:r w:rsidRPr="00953F7D">
        <w:t>Disclosure of certain items of information required by this Prudential Standard may prejudice the position of an ADI or any other person by making public information that is proprietary, confidential or personal in nature. In such circumstances, the ADI may elect not to disclose this information and to instead disclose more general information about the subject matter of the requirement, together with the fact that, and the reason why, the specific items of information have not been disclosed. Under paragraph</w:t>
      </w:r>
      <w:r w:rsidR="003A3958">
        <w:t xml:space="preserve"> </w:t>
      </w:r>
      <w:r w:rsidR="00D86C26" w:rsidRPr="00953F7D">
        <w:fldChar w:fldCharType="begin"/>
      </w:r>
      <w:r w:rsidR="00D86C26" w:rsidRPr="00953F7D">
        <w:instrText xml:space="preserve"> REF _Ref358287079 \r \h </w:instrText>
      </w:r>
      <w:r w:rsidR="00953F7D">
        <w:instrText xml:space="preserve"> \* MERGEFORMAT </w:instrText>
      </w:r>
      <w:r w:rsidR="00D86C26" w:rsidRPr="00953F7D">
        <w:fldChar w:fldCharType="separate"/>
      </w:r>
      <w:r w:rsidR="007D232B">
        <w:t>24</w:t>
      </w:r>
      <w:r w:rsidR="00D86C26" w:rsidRPr="00953F7D">
        <w:fldChar w:fldCharType="end"/>
      </w:r>
      <w:r w:rsidRPr="00953F7D">
        <w:t xml:space="preserve"> above, APRA may require the ADI to rectify the disclosures or to disclose further information if APRA is not satisfied with the adequacy or quality of the disclosures.  </w:t>
      </w:r>
    </w:p>
    <w:p w14:paraId="49D04620" w14:textId="77777777" w:rsidR="00742F5F" w:rsidRPr="00953F7D" w:rsidRDefault="00742F5F" w:rsidP="00742F5F">
      <w:pPr>
        <w:keepNext/>
        <w:spacing w:after="240"/>
        <w:jc w:val="both"/>
        <w:rPr>
          <w:b/>
          <w:bCs/>
          <w:i/>
          <w:iCs/>
        </w:rPr>
      </w:pPr>
      <w:r w:rsidRPr="00953F7D">
        <w:rPr>
          <w:bCs/>
          <w:i/>
          <w:sz w:val="26"/>
          <w:szCs w:val="26"/>
        </w:rPr>
        <w:t>Adjustments</w:t>
      </w:r>
      <w:r w:rsidRPr="00953F7D">
        <w:rPr>
          <w:bCs/>
          <w:i/>
          <w:iCs/>
        </w:rPr>
        <w:t xml:space="preserve"> and exclusions</w:t>
      </w:r>
    </w:p>
    <w:p w14:paraId="49D04621" w14:textId="3077E960" w:rsidR="0098778E" w:rsidRDefault="00742F5F" w:rsidP="00404E8E">
      <w:pPr>
        <w:pStyle w:val="BodyText"/>
      </w:pPr>
      <w:r w:rsidRPr="00953F7D">
        <w:t>APRA may</w:t>
      </w:r>
      <w:r w:rsidR="0028248D" w:rsidRPr="00953F7D">
        <w:t>,</w:t>
      </w:r>
      <w:r w:rsidRPr="00953F7D">
        <w:t xml:space="preserve"> by notice, adjust or exclude a specific prudential requirement in this Prudential Standard in relation to </w:t>
      </w:r>
      <w:r w:rsidR="00010555" w:rsidRPr="00953F7D">
        <w:t>an</w:t>
      </w:r>
      <w:r w:rsidRPr="00953F7D">
        <w:t xml:space="preserve"> ADI</w:t>
      </w:r>
      <w:r w:rsidR="00F63D51">
        <w:t>.</w:t>
      </w:r>
      <w:r w:rsidRPr="00953F7D">
        <w:rPr>
          <w:rStyle w:val="FootnoteReference"/>
          <w:bCs w:val="0"/>
          <w:iCs w:val="0"/>
        </w:rPr>
        <w:footnoteReference w:id="14"/>
      </w:r>
    </w:p>
    <w:p w14:paraId="49D04622" w14:textId="77777777" w:rsidR="00F43A1D" w:rsidRPr="00953F7D" w:rsidRDefault="00F43A1D" w:rsidP="00F43A1D">
      <w:pPr>
        <w:keepNext/>
        <w:spacing w:after="240"/>
        <w:jc w:val="both"/>
        <w:rPr>
          <w:b/>
          <w:bCs/>
          <w:i/>
          <w:iCs/>
        </w:rPr>
      </w:pPr>
      <w:r>
        <w:rPr>
          <w:bCs/>
          <w:i/>
          <w:sz w:val="26"/>
          <w:szCs w:val="26"/>
        </w:rPr>
        <w:t>Previous exercise of discretion</w:t>
      </w:r>
    </w:p>
    <w:p w14:paraId="49D04623" w14:textId="77777777" w:rsidR="00F43A1D" w:rsidRPr="00953F7D" w:rsidRDefault="00F43A1D" w:rsidP="00F43A1D">
      <w:pPr>
        <w:pStyle w:val="BodyText"/>
      </w:pPr>
      <w:r w:rsidRPr="00F43A1D">
        <w:t>An ADI must contact APRA if it seeks to place reliance, for the purposes of complying with this Prudential Standard, on a previous exemption or other exercise of discretion by APRA under a previous version of this Prudential Standard.</w:t>
      </w:r>
    </w:p>
    <w:p w14:paraId="49D04624" w14:textId="77777777" w:rsidR="0098778E" w:rsidRPr="00953F7D" w:rsidRDefault="0098778E" w:rsidP="00E9482F">
      <w:pPr>
        <w:pStyle w:val="Paragraph"/>
        <w:numPr>
          <w:ilvl w:val="0"/>
          <w:numId w:val="1"/>
        </w:numPr>
        <w:rPr>
          <w:rFonts w:ascii="Times New Roman" w:hAnsi="Times New Roman"/>
          <w:bCs/>
          <w:iCs/>
          <w:sz w:val="24"/>
          <w:szCs w:val="24"/>
        </w:rPr>
        <w:sectPr w:rsidR="0098778E" w:rsidRPr="00953F7D" w:rsidSect="008D3C2B">
          <w:pgSz w:w="11906" w:h="16838"/>
          <w:pgMar w:top="1440" w:right="1797" w:bottom="1440" w:left="1797" w:header="709" w:footer="709" w:gutter="0"/>
          <w:cols w:space="708"/>
          <w:docGrid w:linePitch="360"/>
        </w:sectPr>
      </w:pPr>
    </w:p>
    <w:p w14:paraId="49D04625" w14:textId="77777777" w:rsidR="00742F5F" w:rsidRPr="00953F7D" w:rsidRDefault="00742F5F" w:rsidP="00742F5F">
      <w:pPr>
        <w:pStyle w:val="Heading3"/>
        <w:spacing w:before="120" w:after="360"/>
        <w:jc w:val="both"/>
        <w:rPr>
          <w:b/>
          <w:iCs/>
          <w:sz w:val="32"/>
          <w:szCs w:val="32"/>
        </w:rPr>
      </w:pPr>
      <w:bookmarkStart w:id="144" w:name="_Toc387407123"/>
      <w:bookmarkStart w:id="145" w:name="_Toc387407359"/>
      <w:bookmarkStart w:id="146" w:name="_Toc391024776"/>
      <w:bookmarkStart w:id="147" w:name="_Toc506286032"/>
      <w:bookmarkEnd w:id="143"/>
      <w:r w:rsidRPr="00953F7D">
        <w:rPr>
          <w:b/>
          <w:iCs/>
          <w:sz w:val="32"/>
          <w:szCs w:val="32"/>
        </w:rPr>
        <w:t>Attachment A</w:t>
      </w:r>
      <w:bookmarkEnd w:id="144"/>
      <w:bookmarkEnd w:id="145"/>
      <w:bookmarkEnd w:id="146"/>
      <w:bookmarkEnd w:id="147"/>
    </w:p>
    <w:p w14:paraId="49D04626" w14:textId="77777777" w:rsidR="00742F5F" w:rsidRPr="00953F7D" w:rsidRDefault="009C081C" w:rsidP="00742F5F">
      <w:pPr>
        <w:pStyle w:val="Heading3"/>
        <w:spacing w:before="120" w:after="360"/>
        <w:jc w:val="both"/>
        <w:rPr>
          <w:b/>
          <w:iCs/>
          <w:sz w:val="32"/>
          <w:szCs w:val="32"/>
        </w:rPr>
      </w:pPr>
      <w:bookmarkStart w:id="148" w:name="_Toc352665698"/>
      <w:bookmarkStart w:id="149" w:name="_Toc358286583"/>
      <w:bookmarkStart w:id="150" w:name="_Toc395701852"/>
      <w:bookmarkStart w:id="151" w:name="_Toc506286033"/>
      <w:r w:rsidRPr="00953F7D">
        <w:rPr>
          <w:b/>
          <w:iCs/>
          <w:sz w:val="32"/>
          <w:szCs w:val="32"/>
        </w:rPr>
        <w:t xml:space="preserve">Capital </w:t>
      </w:r>
      <w:r w:rsidR="00742F5F" w:rsidRPr="00953F7D">
        <w:rPr>
          <w:b/>
          <w:iCs/>
          <w:sz w:val="32"/>
          <w:szCs w:val="32"/>
        </w:rPr>
        <w:t>disclosure template</w:t>
      </w:r>
      <w:bookmarkEnd w:id="148"/>
      <w:bookmarkEnd w:id="149"/>
      <w:bookmarkEnd w:id="150"/>
      <w:bookmarkEnd w:id="151"/>
    </w:p>
    <w:p w14:paraId="49D04627" w14:textId="77777777" w:rsidR="00742F5F" w:rsidRPr="00953F7D" w:rsidRDefault="00742F5F" w:rsidP="00044A3D">
      <w:pPr>
        <w:pStyle w:val="BodyText"/>
        <w:numPr>
          <w:ilvl w:val="0"/>
          <w:numId w:val="41"/>
        </w:numPr>
      </w:pPr>
      <w:r w:rsidRPr="00953F7D">
        <w:t>An ADI must complete and disclose Table 1 to the extent applicable.</w:t>
      </w:r>
    </w:p>
    <w:p w14:paraId="49D04628" w14:textId="77777777" w:rsidR="00742F5F" w:rsidRPr="00953F7D" w:rsidRDefault="00742F5F" w:rsidP="00CD5F93">
      <w:pPr>
        <w:keepNext/>
        <w:ind w:firstLine="0"/>
        <w:jc w:val="both"/>
        <w:rPr>
          <w:bCs/>
          <w:iCs/>
          <w:color w:val="000000"/>
        </w:rPr>
      </w:pPr>
      <w:r w:rsidRPr="00953F7D">
        <w:rPr>
          <w:bCs/>
          <w:iCs/>
        </w:rPr>
        <w:t xml:space="preserve">Table 1: </w:t>
      </w:r>
      <w:r w:rsidR="009C081C" w:rsidRPr="00953F7D">
        <w:rPr>
          <w:bCs/>
          <w:iCs/>
        </w:rPr>
        <w:t xml:space="preserve">Capital </w:t>
      </w:r>
      <w:r w:rsidRPr="00953F7D">
        <w:rPr>
          <w:bCs/>
          <w:iCs/>
        </w:rPr>
        <w:t xml:space="preserve">disclosure template </w:t>
      </w:r>
    </w:p>
    <w:p w14:paraId="49D04629" w14:textId="77777777" w:rsidR="00742F5F" w:rsidRPr="00953F7D" w:rsidRDefault="00742F5F" w:rsidP="00742F5F">
      <w:pPr>
        <w:jc w:val="both"/>
        <w:rPr>
          <w:b/>
          <w:bCs/>
          <w:iCs/>
        </w:rPr>
      </w:pP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6237"/>
        <w:gridCol w:w="851"/>
      </w:tblGrid>
      <w:tr w:rsidR="00742F5F" w:rsidRPr="00953F7D" w14:paraId="49D0462C" w14:textId="77777777" w:rsidTr="009C3F64">
        <w:tc>
          <w:tcPr>
            <w:tcW w:w="7371"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49D0462A" w14:textId="77777777" w:rsidR="00742F5F" w:rsidRPr="00953F7D" w:rsidRDefault="00742F5F" w:rsidP="009164E6">
            <w:pPr>
              <w:jc w:val="both"/>
              <w:rPr>
                <w:b/>
                <w:bCs/>
                <w:iCs/>
              </w:rPr>
            </w:pPr>
            <w:r w:rsidRPr="00953F7D">
              <w:rPr>
                <w:b/>
                <w:bCs/>
                <w:iCs/>
              </w:rPr>
              <w:t>Common Equity Tier 1 capital: instruments and reserves</w:t>
            </w:r>
          </w:p>
        </w:tc>
        <w:tc>
          <w:tcPr>
            <w:tcW w:w="851" w:type="dxa"/>
            <w:tcBorders>
              <w:top w:val="single" w:sz="4" w:space="0" w:color="auto"/>
              <w:left w:val="single" w:sz="4" w:space="0" w:color="auto"/>
              <w:bottom w:val="single" w:sz="4" w:space="0" w:color="auto"/>
              <w:right w:val="single" w:sz="4" w:space="0" w:color="auto"/>
            </w:tcBorders>
            <w:shd w:val="clear" w:color="auto" w:fill="BFBFBF"/>
          </w:tcPr>
          <w:p w14:paraId="49D0462B" w14:textId="77777777" w:rsidR="00742F5F" w:rsidRPr="00953F7D" w:rsidRDefault="00742F5F" w:rsidP="009164E6">
            <w:pPr>
              <w:jc w:val="both"/>
              <w:rPr>
                <w:b/>
                <w:bCs/>
                <w:iCs/>
              </w:rPr>
            </w:pPr>
            <w:r w:rsidRPr="00953F7D">
              <w:rPr>
                <w:b/>
                <w:bCs/>
                <w:iCs/>
              </w:rPr>
              <w:t>A$m</w:t>
            </w:r>
          </w:p>
        </w:tc>
      </w:tr>
      <w:tr w:rsidR="00742F5F" w:rsidRPr="00953F7D" w14:paraId="49D04630"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2D" w14:textId="77777777" w:rsidR="00742F5F" w:rsidRPr="00953F7D" w:rsidRDefault="00742F5F" w:rsidP="009164E6">
            <w:pPr>
              <w:jc w:val="both"/>
              <w:rPr>
                <w:bCs/>
                <w:iCs/>
              </w:rPr>
            </w:pPr>
            <w:r w:rsidRPr="00953F7D">
              <w:rPr>
                <w:bCs/>
                <w:iCs/>
              </w:rPr>
              <w:t>1</w:t>
            </w:r>
          </w:p>
        </w:tc>
        <w:tc>
          <w:tcPr>
            <w:tcW w:w="6237" w:type="dxa"/>
            <w:tcBorders>
              <w:top w:val="single" w:sz="4" w:space="0" w:color="auto"/>
              <w:left w:val="single" w:sz="4" w:space="0" w:color="auto"/>
              <w:bottom w:val="single" w:sz="4" w:space="0" w:color="auto"/>
              <w:right w:val="single" w:sz="4" w:space="0" w:color="auto"/>
            </w:tcBorders>
            <w:hideMark/>
          </w:tcPr>
          <w:p w14:paraId="49D0462E" w14:textId="77777777" w:rsidR="00742F5F" w:rsidRPr="00953F7D" w:rsidRDefault="00742F5F" w:rsidP="00516BD3">
            <w:pPr>
              <w:ind w:left="11" w:firstLine="0"/>
              <w:jc w:val="both"/>
              <w:rPr>
                <w:bCs/>
                <w:iCs/>
              </w:rPr>
            </w:pPr>
            <w:r w:rsidRPr="00953F7D">
              <w:rPr>
                <w:bCs/>
                <w:iCs/>
              </w:rPr>
              <w:t xml:space="preserve">Directly issued qualifying </w:t>
            </w:r>
            <w:r w:rsidRPr="004B19DF">
              <w:rPr>
                <w:b/>
                <w:bCs/>
                <w:iCs/>
              </w:rPr>
              <w:t>ordinary shares</w:t>
            </w:r>
            <w:r w:rsidRPr="00953F7D">
              <w:rPr>
                <w:bCs/>
                <w:iCs/>
              </w:rPr>
              <w:t xml:space="preserve"> (and equivalent for mutually-owned entities) capital </w:t>
            </w:r>
          </w:p>
        </w:tc>
        <w:tc>
          <w:tcPr>
            <w:tcW w:w="851" w:type="dxa"/>
            <w:tcBorders>
              <w:top w:val="single" w:sz="4" w:space="0" w:color="auto"/>
              <w:left w:val="single" w:sz="4" w:space="0" w:color="auto"/>
              <w:bottom w:val="single" w:sz="4" w:space="0" w:color="auto"/>
              <w:right w:val="single" w:sz="4" w:space="0" w:color="auto"/>
            </w:tcBorders>
          </w:tcPr>
          <w:p w14:paraId="49D0462F" w14:textId="77777777" w:rsidR="00742F5F" w:rsidRPr="00953F7D" w:rsidRDefault="00742F5F" w:rsidP="009164E6">
            <w:pPr>
              <w:jc w:val="both"/>
              <w:rPr>
                <w:bCs/>
                <w:iCs/>
              </w:rPr>
            </w:pPr>
          </w:p>
        </w:tc>
      </w:tr>
      <w:tr w:rsidR="00742F5F" w:rsidRPr="00953F7D" w14:paraId="49D04634"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31" w14:textId="77777777" w:rsidR="00742F5F" w:rsidRPr="00953F7D" w:rsidRDefault="00742F5F" w:rsidP="009164E6">
            <w:pPr>
              <w:jc w:val="both"/>
              <w:rPr>
                <w:bCs/>
                <w:iCs/>
              </w:rPr>
            </w:pPr>
            <w:r w:rsidRPr="00953F7D">
              <w:rPr>
                <w:bCs/>
                <w:iCs/>
              </w:rPr>
              <w:t>2</w:t>
            </w:r>
          </w:p>
        </w:tc>
        <w:tc>
          <w:tcPr>
            <w:tcW w:w="6237" w:type="dxa"/>
            <w:tcBorders>
              <w:top w:val="single" w:sz="4" w:space="0" w:color="auto"/>
              <w:left w:val="single" w:sz="4" w:space="0" w:color="auto"/>
              <w:bottom w:val="single" w:sz="4" w:space="0" w:color="auto"/>
              <w:right w:val="single" w:sz="4" w:space="0" w:color="auto"/>
            </w:tcBorders>
            <w:hideMark/>
          </w:tcPr>
          <w:p w14:paraId="49D04632" w14:textId="77777777" w:rsidR="00742F5F" w:rsidRPr="00953F7D" w:rsidRDefault="00742F5F" w:rsidP="009164E6">
            <w:pPr>
              <w:tabs>
                <w:tab w:val="left" w:pos="3635"/>
                <w:tab w:val="right" w:pos="6504"/>
              </w:tabs>
              <w:jc w:val="both"/>
              <w:rPr>
                <w:bCs/>
                <w:iCs/>
              </w:rPr>
            </w:pPr>
            <w:r w:rsidRPr="00953F7D">
              <w:rPr>
                <w:bCs/>
                <w:iCs/>
              </w:rPr>
              <w:t>Retained earnings</w:t>
            </w:r>
            <w:r w:rsidRPr="00953F7D">
              <w:rPr>
                <w:bCs/>
                <w:iCs/>
              </w:rPr>
              <w:tab/>
            </w:r>
            <w:r w:rsidRPr="00953F7D">
              <w:rPr>
                <w:bCs/>
                <w:iCs/>
              </w:rPr>
              <w:tab/>
            </w:r>
          </w:p>
        </w:tc>
        <w:tc>
          <w:tcPr>
            <w:tcW w:w="851" w:type="dxa"/>
            <w:tcBorders>
              <w:top w:val="single" w:sz="4" w:space="0" w:color="auto"/>
              <w:left w:val="single" w:sz="4" w:space="0" w:color="auto"/>
              <w:bottom w:val="single" w:sz="4" w:space="0" w:color="auto"/>
              <w:right w:val="single" w:sz="4" w:space="0" w:color="auto"/>
            </w:tcBorders>
          </w:tcPr>
          <w:p w14:paraId="49D04633" w14:textId="77777777" w:rsidR="00742F5F" w:rsidRPr="00953F7D" w:rsidRDefault="00742F5F" w:rsidP="009164E6">
            <w:pPr>
              <w:jc w:val="both"/>
              <w:rPr>
                <w:bCs/>
                <w:iCs/>
              </w:rPr>
            </w:pPr>
          </w:p>
        </w:tc>
      </w:tr>
      <w:tr w:rsidR="00742F5F" w:rsidRPr="00953F7D" w14:paraId="49D04638"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35" w14:textId="77777777" w:rsidR="00742F5F" w:rsidRPr="00464374" w:rsidRDefault="00742F5F" w:rsidP="009164E6">
            <w:pPr>
              <w:jc w:val="both"/>
              <w:rPr>
                <w:bCs/>
                <w:iCs/>
              </w:rPr>
            </w:pPr>
            <w:r w:rsidRPr="00464374">
              <w:rPr>
                <w:bCs/>
                <w:iCs/>
              </w:rPr>
              <w:t>3</w:t>
            </w:r>
          </w:p>
        </w:tc>
        <w:tc>
          <w:tcPr>
            <w:tcW w:w="6237" w:type="dxa"/>
            <w:tcBorders>
              <w:top w:val="single" w:sz="4" w:space="0" w:color="auto"/>
              <w:left w:val="single" w:sz="4" w:space="0" w:color="auto"/>
              <w:bottom w:val="single" w:sz="4" w:space="0" w:color="auto"/>
              <w:right w:val="single" w:sz="4" w:space="0" w:color="auto"/>
            </w:tcBorders>
            <w:hideMark/>
          </w:tcPr>
          <w:p w14:paraId="49D04636" w14:textId="77777777" w:rsidR="00742F5F" w:rsidRPr="00953F7D" w:rsidRDefault="00742F5F" w:rsidP="00516BD3">
            <w:pPr>
              <w:ind w:left="11" w:firstLine="0"/>
              <w:jc w:val="both"/>
              <w:rPr>
                <w:bCs/>
                <w:iCs/>
              </w:rPr>
            </w:pPr>
            <w:r w:rsidRPr="00953F7D">
              <w:rPr>
                <w:bCs/>
                <w:iCs/>
              </w:rPr>
              <w:t>Accumulated other comprehensive income (and other reserves)</w:t>
            </w:r>
          </w:p>
        </w:tc>
        <w:tc>
          <w:tcPr>
            <w:tcW w:w="851" w:type="dxa"/>
            <w:tcBorders>
              <w:top w:val="single" w:sz="4" w:space="0" w:color="auto"/>
              <w:left w:val="single" w:sz="4" w:space="0" w:color="auto"/>
              <w:bottom w:val="single" w:sz="4" w:space="0" w:color="auto"/>
              <w:right w:val="single" w:sz="4" w:space="0" w:color="auto"/>
            </w:tcBorders>
          </w:tcPr>
          <w:p w14:paraId="49D04637" w14:textId="77777777" w:rsidR="00742F5F" w:rsidRPr="00953F7D" w:rsidRDefault="00742F5F" w:rsidP="009164E6">
            <w:pPr>
              <w:jc w:val="both"/>
              <w:rPr>
                <w:bCs/>
                <w:iCs/>
              </w:rPr>
            </w:pPr>
          </w:p>
        </w:tc>
      </w:tr>
      <w:tr w:rsidR="00742F5F" w:rsidRPr="00953F7D" w14:paraId="49D0463C"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39" w14:textId="77777777" w:rsidR="00742F5F" w:rsidRPr="00464374" w:rsidRDefault="00742F5F" w:rsidP="009164E6">
            <w:pPr>
              <w:jc w:val="both"/>
              <w:rPr>
                <w:bCs/>
                <w:iCs/>
              </w:rPr>
            </w:pPr>
            <w:r w:rsidRPr="00464374">
              <w:rPr>
                <w:bCs/>
                <w:iCs/>
              </w:rPr>
              <w:t>4</w:t>
            </w:r>
          </w:p>
        </w:tc>
        <w:tc>
          <w:tcPr>
            <w:tcW w:w="6237" w:type="dxa"/>
            <w:tcBorders>
              <w:top w:val="single" w:sz="4" w:space="0" w:color="auto"/>
              <w:left w:val="single" w:sz="4" w:space="0" w:color="auto"/>
              <w:bottom w:val="single" w:sz="4" w:space="0" w:color="auto"/>
              <w:right w:val="single" w:sz="4" w:space="0" w:color="auto"/>
            </w:tcBorders>
            <w:hideMark/>
          </w:tcPr>
          <w:p w14:paraId="49D0463A" w14:textId="77777777" w:rsidR="00742F5F" w:rsidRPr="00953F7D" w:rsidRDefault="00742F5F" w:rsidP="00516BD3">
            <w:pPr>
              <w:ind w:left="11" w:firstLine="0"/>
              <w:jc w:val="both"/>
              <w:rPr>
                <w:bCs/>
                <w:i/>
                <w:iCs/>
              </w:rPr>
            </w:pPr>
            <w:r w:rsidRPr="00953F7D">
              <w:rPr>
                <w:bCs/>
                <w:i/>
                <w:iCs/>
              </w:rPr>
              <w:t>Directly issued capital subject to phase out from CET1 (only applicable to mutually-owned companies)</w:t>
            </w:r>
          </w:p>
        </w:tc>
        <w:tc>
          <w:tcPr>
            <w:tcW w:w="851" w:type="dxa"/>
            <w:tcBorders>
              <w:top w:val="single" w:sz="4" w:space="0" w:color="auto"/>
              <w:left w:val="single" w:sz="4" w:space="0" w:color="auto"/>
              <w:bottom w:val="single" w:sz="4" w:space="0" w:color="auto"/>
              <w:right w:val="single" w:sz="4" w:space="0" w:color="auto"/>
            </w:tcBorders>
          </w:tcPr>
          <w:p w14:paraId="49D0463B" w14:textId="77777777" w:rsidR="00742F5F" w:rsidRPr="00953F7D" w:rsidRDefault="00742F5F" w:rsidP="009164E6">
            <w:pPr>
              <w:jc w:val="both"/>
              <w:rPr>
                <w:bCs/>
                <w:i/>
                <w:iCs/>
              </w:rPr>
            </w:pPr>
          </w:p>
        </w:tc>
      </w:tr>
      <w:tr w:rsidR="00742F5F" w:rsidRPr="00953F7D" w14:paraId="49D04640"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3D" w14:textId="77777777" w:rsidR="00742F5F" w:rsidRPr="00953F7D" w:rsidRDefault="00742F5F" w:rsidP="009164E6">
            <w:pPr>
              <w:jc w:val="both"/>
              <w:rPr>
                <w:bCs/>
                <w:iCs/>
              </w:rPr>
            </w:pPr>
            <w:r w:rsidRPr="00953F7D">
              <w:rPr>
                <w:bCs/>
                <w:iCs/>
              </w:rPr>
              <w:t>5</w:t>
            </w:r>
          </w:p>
        </w:tc>
        <w:tc>
          <w:tcPr>
            <w:tcW w:w="6237" w:type="dxa"/>
            <w:tcBorders>
              <w:top w:val="single" w:sz="4" w:space="0" w:color="auto"/>
              <w:left w:val="single" w:sz="4" w:space="0" w:color="auto"/>
              <w:bottom w:val="single" w:sz="4" w:space="0" w:color="auto"/>
              <w:right w:val="single" w:sz="4" w:space="0" w:color="auto"/>
            </w:tcBorders>
            <w:hideMark/>
          </w:tcPr>
          <w:p w14:paraId="49D0463E" w14:textId="77777777" w:rsidR="00742F5F" w:rsidRPr="00953F7D" w:rsidRDefault="00742F5F" w:rsidP="00516BD3">
            <w:pPr>
              <w:ind w:left="11" w:firstLine="0"/>
              <w:jc w:val="both"/>
              <w:rPr>
                <w:bCs/>
                <w:iCs/>
              </w:rPr>
            </w:pPr>
            <w:r w:rsidRPr="00953F7D">
              <w:rPr>
                <w:bCs/>
                <w:iCs/>
              </w:rPr>
              <w:t>Ordinary share capital issued by subsidiaries and held by third parties (amount allowed in group CET1)</w:t>
            </w:r>
          </w:p>
        </w:tc>
        <w:tc>
          <w:tcPr>
            <w:tcW w:w="851" w:type="dxa"/>
            <w:tcBorders>
              <w:top w:val="single" w:sz="4" w:space="0" w:color="auto"/>
              <w:left w:val="single" w:sz="4" w:space="0" w:color="auto"/>
              <w:bottom w:val="single" w:sz="4" w:space="0" w:color="auto"/>
              <w:right w:val="single" w:sz="4" w:space="0" w:color="auto"/>
            </w:tcBorders>
          </w:tcPr>
          <w:p w14:paraId="49D0463F" w14:textId="77777777" w:rsidR="00742F5F" w:rsidRPr="00953F7D" w:rsidRDefault="00742F5F" w:rsidP="009164E6">
            <w:pPr>
              <w:jc w:val="both"/>
              <w:rPr>
                <w:bCs/>
                <w:iCs/>
              </w:rPr>
            </w:pPr>
          </w:p>
        </w:tc>
      </w:tr>
      <w:tr w:rsidR="00742F5F" w:rsidRPr="00953F7D" w14:paraId="49D04644"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41" w14:textId="77777777" w:rsidR="00742F5F" w:rsidRPr="00953F7D" w:rsidRDefault="00742F5F" w:rsidP="009164E6">
            <w:pPr>
              <w:jc w:val="both"/>
              <w:rPr>
                <w:bCs/>
                <w:iCs/>
              </w:rPr>
            </w:pPr>
            <w:r w:rsidRPr="00953F7D">
              <w:rPr>
                <w:bCs/>
                <w:iCs/>
              </w:rPr>
              <w:t>6</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642" w14:textId="77777777" w:rsidR="00742F5F" w:rsidRPr="00953F7D" w:rsidRDefault="00742F5F" w:rsidP="00516BD3">
            <w:pPr>
              <w:ind w:left="11" w:firstLine="0"/>
              <w:jc w:val="both"/>
              <w:rPr>
                <w:bCs/>
                <w:iCs/>
              </w:rPr>
            </w:pPr>
            <w:r w:rsidRPr="00953F7D">
              <w:rPr>
                <w:bCs/>
                <w:iCs/>
              </w:rPr>
              <w:t>Common Equity Tier 1 capital before regulatory adjustments</w:t>
            </w:r>
          </w:p>
        </w:tc>
        <w:tc>
          <w:tcPr>
            <w:tcW w:w="851" w:type="dxa"/>
            <w:tcBorders>
              <w:top w:val="single" w:sz="4" w:space="0" w:color="auto"/>
              <w:left w:val="single" w:sz="4" w:space="0" w:color="auto"/>
              <w:bottom w:val="single" w:sz="4" w:space="0" w:color="auto"/>
              <w:right w:val="single" w:sz="4" w:space="0" w:color="auto"/>
            </w:tcBorders>
          </w:tcPr>
          <w:p w14:paraId="49D04643" w14:textId="77777777" w:rsidR="00742F5F" w:rsidRPr="00953F7D" w:rsidRDefault="00742F5F" w:rsidP="009164E6">
            <w:pPr>
              <w:jc w:val="both"/>
              <w:rPr>
                <w:bCs/>
              </w:rPr>
            </w:pPr>
          </w:p>
        </w:tc>
      </w:tr>
      <w:tr w:rsidR="00742F5F" w:rsidRPr="00953F7D" w14:paraId="49D04646" w14:textId="77777777" w:rsidTr="009C3F64">
        <w:tc>
          <w:tcPr>
            <w:tcW w:w="822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49D04645" w14:textId="77777777" w:rsidR="00742F5F" w:rsidRPr="00953F7D" w:rsidRDefault="00742F5F" w:rsidP="00516BD3">
            <w:pPr>
              <w:ind w:left="11" w:firstLine="0"/>
              <w:jc w:val="both"/>
              <w:rPr>
                <w:bCs/>
                <w:iCs/>
              </w:rPr>
            </w:pPr>
            <w:r w:rsidRPr="00953F7D">
              <w:rPr>
                <w:bCs/>
                <w:iCs/>
              </w:rPr>
              <w:t>Common Equity Tier 1 capital : regulatory adjustments</w:t>
            </w:r>
          </w:p>
        </w:tc>
      </w:tr>
      <w:tr w:rsidR="00742F5F" w:rsidRPr="00953F7D" w14:paraId="49D0464A"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47" w14:textId="77777777" w:rsidR="00742F5F" w:rsidRPr="00953F7D" w:rsidRDefault="00742F5F" w:rsidP="009164E6">
            <w:pPr>
              <w:jc w:val="both"/>
              <w:rPr>
                <w:bCs/>
              </w:rPr>
            </w:pPr>
            <w:r w:rsidRPr="00953F7D">
              <w:rPr>
                <w:bCs/>
              </w:rPr>
              <w:t>7</w:t>
            </w:r>
          </w:p>
        </w:tc>
        <w:tc>
          <w:tcPr>
            <w:tcW w:w="6237" w:type="dxa"/>
            <w:tcBorders>
              <w:top w:val="single" w:sz="4" w:space="0" w:color="auto"/>
              <w:left w:val="single" w:sz="4" w:space="0" w:color="auto"/>
              <w:bottom w:val="single" w:sz="4" w:space="0" w:color="auto"/>
              <w:right w:val="single" w:sz="4" w:space="0" w:color="auto"/>
            </w:tcBorders>
            <w:hideMark/>
          </w:tcPr>
          <w:p w14:paraId="49D04648" w14:textId="77777777" w:rsidR="00742F5F" w:rsidRPr="00953F7D" w:rsidRDefault="00742F5F" w:rsidP="00516BD3">
            <w:pPr>
              <w:ind w:left="11" w:firstLine="0"/>
              <w:jc w:val="both"/>
              <w:rPr>
                <w:bCs/>
                <w:iCs/>
              </w:rPr>
            </w:pPr>
            <w:r w:rsidRPr="00953F7D">
              <w:rPr>
                <w:bCs/>
                <w:iCs/>
              </w:rPr>
              <w:t>Prudential valuation adjustments</w:t>
            </w:r>
          </w:p>
        </w:tc>
        <w:tc>
          <w:tcPr>
            <w:tcW w:w="851" w:type="dxa"/>
            <w:tcBorders>
              <w:top w:val="single" w:sz="4" w:space="0" w:color="auto"/>
              <w:left w:val="single" w:sz="4" w:space="0" w:color="auto"/>
              <w:bottom w:val="single" w:sz="4" w:space="0" w:color="auto"/>
              <w:right w:val="single" w:sz="4" w:space="0" w:color="auto"/>
            </w:tcBorders>
          </w:tcPr>
          <w:p w14:paraId="49D04649" w14:textId="77777777" w:rsidR="00742F5F" w:rsidRPr="00953F7D" w:rsidRDefault="00742F5F" w:rsidP="009164E6">
            <w:pPr>
              <w:jc w:val="both"/>
              <w:rPr>
                <w:bCs/>
              </w:rPr>
            </w:pPr>
          </w:p>
        </w:tc>
      </w:tr>
      <w:tr w:rsidR="00742F5F" w:rsidRPr="00953F7D" w14:paraId="49D0464E"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4B" w14:textId="77777777" w:rsidR="00742F5F" w:rsidRPr="00953F7D" w:rsidRDefault="00742F5F" w:rsidP="009164E6">
            <w:pPr>
              <w:jc w:val="both"/>
              <w:rPr>
                <w:bCs/>
              </w:rPr>
            </w:pPr>
            <w:r w:rsidRPr="00953F7D">
              <w:rPr>
                <w:bCs/>
              </w:rPr>
              <w:t>8</w:t>
            </w:r>
          </w:p>
        </w:tc>
        <w:tc>
          <w:tcPr>
            <w:tcW w:w="6237" w:type="dxa"/>
            <w:tcBorders>
              <w:top w:val="single" w:sz="4" w:space="0" w:color="auto"/>
              <w:left w:val="single" w:sz="4" w:space="0" w:color="auto"/>
              <w:bottom w:val="single" w:sz="4" w:space="0" w:color="auto"/>
              <w:right w:val="single" w:sz="4" w:space="0" w:color="auto"/>
            </w:tcBorders>
            <w:hideMark/>
          </w:tcPr>
          <w:p w14:paraId="49D0464C" w14:textId="77777777" w:rsidR="00742F5F" w:rsidRPr="00953F7D" w:rsidRDefault="00742F5F" w:rsidP="00516BD3">
            <w:pPr>
              <w:ind w:left="11" w:firstLine="0"/>
              <w:jc w:val="both"/>
              <w:rPr>
                <w:bCs/>
                <w:iCs/>
              </w:rPr>
            </w:pPr>
            <w:r w:rsidRPr="00953F7D">
              <w:rPr>
                <w:bCs/>
                <w:iCs/>
              </w:rPr>
              <w:t>Goodwill (net of related tax liability)</w:t>
            </w:r>
          </w:p>
        </w:tc>
        <w:tc>
          <w:tcPr>
            <w:tcW w:w="851" w:type="dxa"/>
            <w:tcBorders>
              <w:top w:val="single" w:sz="4" w:space="0" w:color="auto"/>
              <w:left w:val="single" w:sz="4" w:space="0" w:color="auto"/>
              <w:bottom w:val="single" w:sz="4" w:space="0" w:color="auto"/>
              <w:right w:val="single" w:sz="4" w:space="0" w:color="auto"/>
            </w:tcBorders>
          </w:tcPr>
          <w:p w14:paraId="49D0464D" w14:textId="77777777" w:rsidR="00742F5F" w:rsidRPr="00953F7D" w:rsidRDefault="00742F5F" w:rsidP="009164E6">
            <w:pPr>
              <w:jc w:val="both"/>
              <w:rPr>
                <w:bCs/>
              </w:rPr>
            </w:pPr>
          </w:p>
        </w:tc>
      </w:tr>
      <w:tr w:rsidR="00742F5F" w:rsidRPr="00953F7D" w14:paraId="49D04652"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4F" w14:textId="77777777" w:rsidR="00742F5F" w:rsidRPr="00953F7D" w:rsidRDefault="00742F5F" w:rsidP="009164E6">
            <w:pPr>
              <w:jc w:val="both"/>
              <w:rPr>
                <w:bCs/>
              </w:rPr>
            </w:pPr>
            <w:r w:rsidRPr="00953F7D">
              <w:rPr>
                <w:bCs/>
              </w:rPr>
              <w:t>9</w:t>
            </w:r>
          </w:p>
        </w:tc>
        <w:tc>
          <w:tcPr>
            <w:tcW w:w="6237" w:type="dxa"/>
            <w:tcBorders>
              <w:top w:val="single" w:sz="4" w:space="0" w:color="auto"/>
              <w:left w:val="single" w:sz="4" w:space="0" w:color="auto"/>
              <w:bottom w:val="single" w:sz="4" w:space="0" w:color="auto"/>
              <w:right w:val="single" w:sz="4" w:space="0" w:color="auto"/>
            </w:tcBorders>
            <w:hideMark/>
          </w:tcPr>
          <w:p w14:paraId="49D04650" w14:textId="77777777" w:rsidR="00742F5F" w:rsidRPr="00953F7D" w:rsidRDefault="00742F5F" w:rsidP="00516BD3">
            <w:pPr>
              <w:ind w:left="11" w:firstLine="0"/>
              <w:jc w:val="both"/>
              <w:rPr>
                <w:bCs/>
                <w:iCs/>
              </w:rPr>
            </w:pPr>
            <w:r w:rsidRPr="00953F7D">
              <w:rPr>
                <w:bCs/>
                <w:iCs/>
              </w:rPr>
              <w:t>Other intangibles other than mortgage servicing rights (net of related tax liability)</w:t>
            </w:r>
          </w:p>
        </w:tc>
        <w:tc>
          <w:tcPr>
            <w:tcW w:w="851" w:type="dxa"/>
            <w:tcBorders>
              <w:top w:val="single" w:sz="4" w:space="0" w:color="auto"/>
              <w:left w:val="single" w:sz="4" w:space="0" w:color="auto"/>
              <w:bottom w:val="single" w:sz="4" w:space="0" w:color="auto"/>
              <w:right w:val="single" w:sz="4" w:space="0" w:color="auto"/>
            </w:tcBorders>
          </w:tcPr>
          <w:p w14:paraId="49D04651" w14:textId="77777777" w:rsidR="00742F5F" w:rsidRPr="00953F7D" w:rsidRDefault="00742F5F" w:rsidP="009164E6">
            <w:pPr>
              <w:jc w:val="both"/>
              <w:rPr>
                <w:bCs/>
              </w:rPr>
            </w:pPr>
          </w:p>
        </w:tc>
      </w:tr>
      <w:tr w:rsidR="00742F5F" w:rsidRPr="00953F7D" w14:paraId="49D04656"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53" w14:textId="77777777" w:rsidR="00742F5F" w:rsidRPr="00953F7D" w:rsidRDefault="00742F5F" w:rsidP="009164E6">
            <w:pPr>
              <w:jc w:val="both"/>
              <w:rPr>
                <w:bCs/>
              </w:rPr>
            </w:pPr>
            <w:r w:rsidRPr="00953F7D">
              <w:rPr>
                <w:bCs/>
              </w:rPr>
              <w:t>10</w:t>
            </w:r>
          </w:p>
        </w:tc>
        <w:tc>
          <w:tcPr>
            <w:tcW w:w="6237" w:type="dxa"/>
            <w:tcBorders>
              <w:top w:val="single" w:sz="4" w:space="0" w:color="auto"/>
              <w:left w:val="single" w:sz="4" w:space="0" w:color="auto"/>
              <w:bottom w:val="single" w:sz="4" w:space="0" w:color="auto"/>
              <w:right w:val="single" w:sz="4" w:space="0" w:color="auto"/>
            </w:tcBorders>
            <w:hideMark/>
          </w:tcPr>
          <w:p w14:paraId="49D04654" w14:textId="77777777" w:rsidR="00742F5F" w:rsidRPr="00953F7D" w:rsidRDefault="00742F5F" w:rsidP="00516BD3">
            <w:pPr>
              <w:ind w:left="11" w:firstLine="0"/>
              <w:jc w:val="both"/>
              <w:rPr>
                <w:bCs/>
                <w:iCs/>
              </w:rPr>
            </w:pPr>
            <w:r w:rsidRPr="00953F7D">
              <w:rPr>
                <w:bCs/>
                <w:iCs/>
              </w:rPr>
              <w:t>Deferred tax assets that rely on future profitability excluding those arising from temporary differences (net of related tax liability)</w:t>
            </w:r>
          </w:p>
        </w:tc>
        <w:tc>
          <w:tcPr>
            <w:tcW w:w="851" w:type="dxa"/>
            <w:tcBorders>
              <w:top w:val="single" w:sz="4" w:space="0" w:color="auto"/>
              <w:left w:val="single" w:sz="4" w:space="0" w:color="auto"/>
              <w:bottom w:val="single" w:sz="4" w:space="0" w:color="auto"/>
              <w:right w:val="single" w:sz="4" w:space="0" w:color="auto"/>
            </w:tcBorders>
          </w:tcPr>
          <w:p w14:paraId="49D04655" w14:textId="77777777" w:rsidR="00742F5F" w:rsidRPr="00953F7D" w:rsidRDefault="00742F5F" w:rsidP="009164E6">
            <w:pPr>
              <w:jc w:val="both"/>
              <w:rPr>
                <w:bCs/>
              </w:rPr>
            </w:pPr>
          </w:p>
        </w:tc>
      </w:tr>
      <w:tr w:rsidR="00742F5F" w:rsidRPr="00953F7D" w14:paraId="49D0465A"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57" w14:textId="77777777" w:rsidR="00742F5F" w:rsidRPr="00953F7D" w:rsidRDefault="00742F5F" w:rsidP="009164E6">
            <w:pPr>
              <w:jc w:val="both"/>
              <w:rPr>
                <w:bCs/>
              </w:rPr>
            </w:pPr>
            <w:r w:rsidRPr="00953F7D">
              <w:rPr>
                <w:bCs/>
              </w:rPr>
              <w:t>11</w:t>
            </w:r>
          </w:p>
        </w:tc>
        <w:tc>
          <w:tcPr>
            <w:tcW w:w="6237" w:type="dxa"/>
            <w:tcBorders>
              <w:top w:val="single" w:sz="4" w:space="0" w:color="auto"/>
              <w:left w:val="single" w:sz="4" w:space="0" w:color="auto"/>
              <w:bottom w:val="single" w:sz="4" w:space="0" w:color="auto"/>
              <w:right w:val="single" w:sz="4" w:space="0" w:color="auto"/>
            </w:tcBorders>
            <w:hideMark/>
          </w:tcPr>
          <w:p w14:paraId="49D04658" w14:textId="77777777" w:rsidR="00742F5F" w:rsidRPr="00953F7D" w:rsidRDefault="00742F5F" w:rsidP="00516BD3">
            <w:pPr>
              <w:ind w:left="11" w:firstLine="0"/>
              <w:jc w:val="both"/>
              <w:rPr>
                <w:bCs/>
                <w:iCs/>
              </w:rPr>
            </w:pPr>
            <w:r w:rsidRPr="00953F7D">
              <w:rPr>
                <w:bCs/>
                <w:iCs/>
              </w:rPr>
              <w:t>Cash-flow hedge reserve</w:t>
            </w:r>
          </w:p>
        </w:tc>
        <w:tc>
          <w:tcPr>
            <w:tcW w:w="851" w:type="dxa"/>
            <w:tcBorders>
              <w:top w:val="single" w:sz="4" w:space="0" w:color="auto"/>
              <w:left w:val="single" w:sz="4" w:space="0" w:color="auto"/>
              <w:bottom w:val="single" w:sz="4" w:space="0" w:color="auto"/>
              <w:right w:val="single" w:sz="4" w:space="0" w:color="auto"/>
            </w:tcBorders>
          </w:tcPr>
          <w:p w14:paraId="49D04659" w14:textId="77777777" w:rsidR="00742F5F" w:rsidRPr="00953F7D" w:rsidRDefault="00742F5F" w:rsidP="009164E6">
            <w:pPr>
              <w:jc w:val="both"/>
              <w:rPr>
                <w:bCs/>
              </w:rPr>
            </w:pPr>
          </w:p>
        </w:tc>
      </w:tr>
      <w:tr w:rsidR="00742F5F" w:rsidRPr="00953F7D" w14:paraId="49D0465E"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5B" w14:textId="77777777" w:rsidR="00742F5F" w:rsidRPr="00953F7D" w:rsidRDefault="00742F5F" w:rsidP="009164E6">
            <w:pPr>
              <w:jc w:val="both"/>
              <w:rPr>
                <w:bCs/>
              </w:rPr>
            </w:pPr>
            <w:r w:rsidRPr="00953F7D">
              <w:rPr>
                <w:bCs/>
              </w:rPr>
              <w:t>12</w:t>
            </w:r>
          </w:p>
        </w:tc>
        <w:tc>
          <w:tcPr>
            <w:tcW w:w="6237" w:type="dxa"/>
            <w:tcBorders>
              <w:top w:val="single" w:sz="4" w:space="0" w:color="auto"/>
              <w:left w:val="single" w:sz="4" w:space="0" w:color="auto"/>
              <w:bottom w:val="single" w:sz="4" w:space="0" w:color="auto"/>
              <w:right w:val="single" w:sz="4" w:space="0" w:color="auto"/>
            </w:tcBorders>
            <w:hideMark/>
          </w:tcPr>
          <w:p w14:paraId="49D0465C" w14:textId="77777777" w:rsidR="00742F5F" w:rsidRPr="00953F7D" w:rsidRDefault="00742F5F" w:rsidP="00516BD3">
            <w:pPr>
              <w:ind w:left="11" w:firstLine="0"/>
              <w:jc w:val="both"/>
              <w:rPr>
                <w:bCs/>
                <w:iCs/>
              </w:rPr>
            </w:pPr>
            <w:r w:rsidRPr="00953F7D">
              <w:rPr>
                <w:bCs/>
                <w:iCs/>
              </w:rPr>
              <w:t>Shortfall of provisions to expected losses</w:t>
            </w:r>
          </w:p>
        </w:tc>
        <w:tc>
          <w:tcPr>
            <w:tcW w:w="851" w:type="dxa"/>
            <w:tcBorders>
              <w:top w:val="single" w:sz="4" w:space="0" w:color="auto"/>
              <w:left w:val="single" w:sz="4" w:space="0" w:color="auto"/>
              <w:bottom w:val="single" w:sz="4" w:space="0" w:color="auto"/>
              <w:right w:val="single" w:sz="4" w:space="0" w:color="auto"/>
            </w:tcBorders>
          </w:tcPr>
          <w:p w14:paraId="49D0465D" w14:textId="77777777" w:rsidR="00742F5F" w:rsidRPr="00953F7D" w:rsidRDefault="00742F5F" w:rsidP="009164E6">
            <w:pPr>
              <w:jc w:val="both"/>
              <w:rPr>
                <w:bCs/>
              </w:rPr>
            </w:pPr>
          </w:p>
        </w:tc>
      </w:tr>
      <w:tr w:rsidR="00742F5F" w:rsidRPr="00953F7D" w14:paraId="49D04662"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5F" w14:textId="77777777" w:rsidR="00742F5F" w:rsidRPr="00953F7D" w:rsidRDefault="00742F5F" w:rsidP="009164E6">
            <w:pPr>
              <w:jc w:val="both"/>
              <w:rPr>
                <w:bCs/>
              </w:rPr>
            </w:pPr>
            <w:r w:rsidRPr="00953F7D">
              <w:rPr>
                <w:bCs/>
              </w:rPr>
              <w:t>13</w:t>
            </w:r>
          </w:p>
        </w:tc>
        <w:tc>
          <w:tcPr>
            <w:tcW w:w="6237" w:type="dxa"/>
            <w:tcBorders>
              <w:top w:val="single" w:sz="4" w:space="0" w:color="auto"/>
              <w:left w:val="single" w:sz="4" w:space="0" w:color="auto"/>
              <w:bottom w:val="single" w:sz="4" w:space="0" w:color="auto"/>
              <w:right w:val="single" w:sz="4" w:space="0" w:color="auto"/>
            </w:tcBorders>
            <w:hideMark/>
          </w:tcPr>
          <w:p w14:paraId="49D04660" w14:textId="77777777" w:rsidR="00742F5F" w:rsidRPr="00953F7D" w:rsidRDefault="00742F5F" w:rsidP="00516BD3">
            <w:pPr>
              <w:ind w:left="11" w:firstLine="0"/>
              <w:jc w:val="both"/>
              <w:rPr>
                <w:bCs/>
                <w:iCs/>
              </w:rPr>
            </w:pPr>
            <w:r w:rsidRPr="004B19DF">
              <w:rPr>
                <w:b/>
                <w:bCs/>
                <w:iCs/>
              </w:rPr>
              <w:t>Securitisation</w:t>
            </w:r>
            <w:r w:rsidRPr="00953F7D">
              <w:rPr>
                <w:bCs/>
                <w:iCs/>
              </w:rPr>
              <w:t xml:space="preserve"> gain on sale (as set out in paragraph 562 of Basel II framework)</w:t>
            </w:r>
          </w:p>
        </w:tc>
        <w:tc>
          <w:tcPr>
            <w:tcW w:w="851" w:type="dxa"/>
            <w:tcBorders>
              <w:top w:val="single" w:sz="4" w:space="0" w:color="auto"/>
              <w:left w:val="single" w:sz="4" w:space="0" w:color="auto"/>
              <w:bottom w:val="single" w:sz="4" w:space="0" w:color="auto"/>
              <w:right w:val="single" w:sz="4" w:space="0" w:color="auto"/>
            </w:tcBorders>
          </w:tcPr>
          <w:p w14:paraId="49D04661" w14:textId="77777777" w:rsidR="00742F5F" w:rsidRPr="00953F7D" w:rsidRDefault="00742F5F" w:rsidP="009164E6">
            <w:pPr>
              <w:jc w:val="both"/>
              <w:rPr>
                <w:bCs/>
              </w:rPr>
            </w:pPr>
          </w:p>
        </w:tc>
      </w:tr>
      <w:tr w:rsidR="00742F5F" w:rsidRPr="00953F7D" w14:paraId="49D04666"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63" w14:textId="77777777" w:rsidR="00742F5F" w:rsidRPr="00953F7D" w:rsidRDefault="00742F5F" w:rsidP="009164E6">
            <w:pPr>
              <w:jc w:val="both"/>
              <w:rPr>
                <w:bCs/>
              </w:rPr>
            </w:pPr>
            <w:r w:rsidRPr="00953F7D">
              <w:rPr>
                <w:bCs/>
              </w:rPr>
              <w:t>14</w:t>
            </w:r>
          </w:p>
        </w:tc>
        <w:tc>
          <w:tcPr>
            <w:tcW w:w="6237" w:type="dxa"/>
            <w:tcBorders>
              <w:top w:val="single" w:sz="4" w:space="0" w:color="auto"/>
              <w:left w:val="single" w:sz="4" w:space="0" w:color="auto"/>
              <w:bottom w:val="single" w:sz="4" w:space="0" w:color="auto"/>
              <w:right w:val="single" w:sz="4" w:space="0" w:color="auto"/>
            </w:tcBorders>
            <w:hideMark/>
          </w:tcPr>
          <w:p w14:paraId="49D04664" w14:textId="77777777" w:rsidR="00742F5F" w:rsidRPr="00953F7D" w:rsidRDefault="00742F5F" w:rsidP="00516BD3">
            <w:pPr>
              <w:ind w:left="11" w:firstLine="0"/>
              <w:jc w:val="both"/>
              <w:rPr>
                <w:bCs/>
                <w:iCs/>
              </w:rPr>
            </w:pPr>
            <w:r w:rsidRPr="00953F7D">
              <w:rPr>
                <w:bCs/>
                <w:iCs/>
              </w:rPr>
              <w:t>Gains and losses due to changes in own credit risk on fair valued liabilities</w:t>
            </w:r>
          </w:p>
        </w:tc>
        <w:tc>
          <w:tcPr>
            <w:tcW w:w="851" w:type="dxa"/>
            <w:tcBorders>
              <w:top w:val="single" w:sz="4" w:space="0" w:color="auto"/>
              <w:left w:val="single" w:sz="4" w:space="0" w:color="auto"/>
              <w:bottom w:val="single" w:sz="4" w:space="0" w:color="auto"/>
              <w:right w:val="single" w:sz="4" w:space="0" w:color="auto"/>
            </w:tcBorders>
          </w:tcPr>
          <w:p w14:paraId="49D04665" w14:textId="77777777" w:rsidR="00742F5F" w:rsidRPr="00953F7D" w:rsidRDefault="00742F5F" w:rsidP="009164E6">
            <w:pPr>
              <w:jc w:val="both"/>
              <w:rPr>
                <w:bCs/>
              </w:rPr>
            </w:pPr>
          </w:p>
        </w:tc>
      </w:tr>
      <w:tr w:rsidR="00742F5F" w:rsidRPr="00953F7D" w14:paraId="49D0466A"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67" w14:textId="77777777" w:rsidR="00742F5F" w:rsidRPr="00953F7D" w:rsidRDefault="00742F5F" w:rsidP="009164E6">
            <w:pPr>
              <w:jc w:val="both"/>
              <w:rPr>
                <w:bCs/>
              </w:rPr>
            </w:pPr>
            <w:r w:rsidRPr="00953F7D">
              <w:rPr>
                <w:bCs/>
              </w:rPr>
              <w:t>15</w:t>
            </w:r>
          </w:p>
        </w:tc>
        <w:tc>
          <w:tcPr>
            <w:tcW w:w="6237" w:type="dxa"/>
            <w:tcBorders>
              <w:top w:val="single" w:sz="4" w:space="0" w:color="auto"/>
              <w:left w:val="single" w:sz="4" w:space="0" w:color="auto"/>
              <w:bottom w:val="single" w:sz="4" w:space="0" w:color="auto"/>
              <w:right w:val="single" w:sz="4" w:space="0" w:color="auto"/>
            </w:tcBorders>
            <w:hideMark/>
          </w:tcPr>
          <w:p w14:paraId="49D04668" w14:textId="77777777" w:rsidR="00742F5F" w:rsidRPr="00953F7D" w:rsidRDefault="00742F5F" w:rsidP="00516BD3">
            <w:pPr>
              <w:ind w:left="11" w:firstLine="0"/>
              <w:jc w:val="both"/>
              <w:rPr>
                <w:bCs/>
                <w:iCs/>
              </w:rPr>
            </w:pPr>
            <w:r w:rsidRPr="00953F7D">
              <w:rPr>
                <w:bCs/>
                <w:iCs/>
              </w:rPr>
              <w:t>Defined benefit superannuation fund net assets</w:t>
            </w:r>
          </w:p>
        </w:tc>
        <w:tc>
          <w:tcPr>
            <w:tcW w:w="851" w:type="dxa"/>
            <w:tcBorders>
              <w:top w:val="single" w:sz="4" w:space="0" w:color="auto"/>
              <w:left w:val="single" w:sz="4" w:space="0" w:color="auto"/>
              <w:bottom w:val="single" w:sz="4" w:space="0" w:color="auto"/>
              <w:right w:val="single" w:sz="4" w:space="0" w:color="auto"/>
            </w:tcBorders>
          </w:tcPr>
          <w:p w14:paraId="49D04669" w14:textId="77777777" w:rsidR="00742F5F" w:rsidRPr="00953F7D" w:rsidRDefault="00742F5F" w:rsidP="009164E6">
            <w:pPr>
              <w:jc w:val="both"/>
              <w:rPr>
                <w:bCs/>
              </w:rPr>
            </w:pPr>
          </w:p>
        </w:tc>
      </w:tr>
      <w:tr w:rsidR="00742F5F" w:rsidRPr="00953F7D" w14:paraId="49D0466E"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6B" w14:textId="77777777" w:rsidR="00742F5F" w:rsidRPr="00953F7D" w:rsidRDefault="00742F5F" w:rsidP="009164E6">
            <w:pPr>
              <w:jc w:val="both"/>
              <w:rPr>
                <w:bCs/>
              </w:rPr>
            </w:pPr>
            <w:r w:rsidRPr="00953F7D">
              <w:rPr>
                <w:bCs/>
              </w:rPr>
              <w:t>16</w:t>
            </w:r>
          </w:p>
        </w:tc>
        <w:tc>
          <w:tcPr>
            <w:tcW w:w="6237" w:type="dxa"/>
            <w:tcBorders>
              <w:top w:val="single" w:sz="4" w:space="0" w:color="auto"/>
              <w:left w:val="single" w:sz="4" w:space="0" w:color="auto"/>
              <w:bottom w:val="single" w:sz="4" w:space="0" w:color="auto"/>
              <w:right w:val="single" w:sz="4" w:space="0" w:color="auto"/>
            </w:tcBorders>
            <w:hideMark/>
          </w:tcPr>
          <w:p w14:paraId="49D0466C" w14:textId="77777777" w:rsidR="00742F5F" w:rsidRPr="00953F7D" w:rsidRDefault="00742F5F" w:rsidP="00516BD3">
            <w:pPr>
              <w:ind w:left="11" w:firstLine="0"/>
              <w:jc w:val="both"/>
              <w:rPr>
                <w:bCs/>
                <w:iCs/>
              </w:rPr>
            </w:pPr>
            <w:r w:rsidRPr="00953F7D">
              <w:rPr>
                <w:bCs/>
                <w:iCs/>
              </w:rPr>
              <w:t>Investments in own shares (if not already netted off paid-in capital on reported balance sheet)</w:t>
            </w:r>
          </w:p>
        </w:tc>
        <w:tc>
          <w:tcPr>
            <w:tcW w:w="851" w:type="dxa"/>
            <w:tcBorders>
              <w:top w:val="single" w:sz="4" w:space="0" w:color="auto"/>
              <w:left w:val="single" w:sz="4" w:space="0" w:color="auto"/>
              <w:bottom w:val="single" w:sz="4" w:space="0" w:color="auto"/>
              <w:right w:val="single" w:sz="4" w:space="0" w:color="auto"/>
            </w:tcBorders>
          </w:tcPr>
          <w:p w14:paraId="49D0466D" w14:textId="77777777" w:rsidR="00742F5F" w:rsidRPr="00953F7D" w:rsidRDefault="00742F5F" w:rsidP="009164E6">
            <w:pPr>
              <w:jc w:val="both"/>
              <w:rPr>
                <w:bCs/>
              </w:rPr>
            </w:pPr>
          </w:p>
        </w:tc>
      </w:tr>
      <w:tr w:rsidR="00742F5F" w:rsidRPr="00953F7D" w14:paraId="49D04672"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6F" w14:textId="77777777" w:rsidR="00742F5F" w:rsidRPr="00953F7D" w:rsidRDefault="00742F5F" w:rsidP="009164E6">
            <w:pPr>
              <w:jc w:val="both"/>
              <w:rPr>
                <w:bCs/>
              </w:rPr>
            </w:pPr>
            <w:r w:rsidRPr="00953F7D">
              <w:rPr>
                <w:bCs/>
              </w:rPr>
              <w:t>17</w:t>
            </w:r>
          </w:p>
        </w:tc>
        <w:tc>
          <w:tcPr>
            <w:tcW w:w="6237" w:type="dxa"/>
            <w:tcBorders>
              <w:top w:val="single" w:sz="4" w:space="0" w:color="auto"/>
              <w:left w:val="single" w:sz="4" w:space="0" w:color="auto"/>
              <w:bottom w:val="single" w:sz="4" w:space="0" w:color="auto"/>
              <w:right w:val="single" w:sz="4" w:space="0" w:color="auto"/>
            </w:tcBorders>
            <w:hideMark/>
          </w:tcPr>
          <w:p w14:paraId="49D04670" w14:textId="77777777" w:rsidR="00742F5F" w:rsidRPr="00953F7D" w:rsidRDefault="00742F5F" w:rsidP="00516BD3">
            <w:pPr>
              <w:ind w:left="11" w:firstLine="0"/>
              <w:jc w:val="both"/>
              <w:rPr>
                <w:bCs/>
                <w:iCs/>
              </w:rPr>
            </w:pPr>
            <w:r w:rsidRPr="00953F7D">
              <w:rPr>
                <w:bCs/>
                <w:iCs/>
              </w:rPr>
              <w:t>Reciprocal cross-holdings in common equity</w:t>
            </w:r>
          </w:p>
        </w:tc>
        <w:tc>
          <w:tcPr>
            <w:tcW w:w="851" w:type="dxa"/>
            <w:tcBorders>
              <w:top w:val="single" w:sz="4" w:space="0" w:color="auto"/>
              <w:left w:val="single" w:sz="4" w:space="0" w:color="auto"/>
              <w:bottom w:val="single" w:sz="4" w:space="0" w:color="auto"/>
              <w:right w:val="single" w:sz="4" w:space="0" w:color="auto"/>
            </w:tcBorders>
          </w:tcPr>
          <w:p w14:paraId="49D04671" w14:textId="77777777" w:rsidR="00742F5F" w:rsidRPr="00953F7D" w:rsidRDefault="00742F5F" w:rsidP="009164E6">
            <w:pPr>
              <w:jc w:val="both"/>
              <w:rPr>
                <w:bCs/>
              </w:rPr>
            </w:pPr>
          </w:p>
        </w:tc>
      </w:tr>
      <w:tr w:rsidR="00742F5F" w:rsidRPr="00953F7D" w14:paraId="49D04676"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73" w14:textId="77777777" w:rsidR="00742F5F" w:rsidRPr="00953F7D" w:rsidRDefault="00742F5F" w:rsidP="009164E6">
            <w:pPr>
              <w:jc w:val="both"/>
              <w:rPr>
                <w:bCs/>
              </w:rPr>
            </w:pPr>
            <w:r w:rsidRPr="00953F7D">
              <w:rPr>
                <w:bCs/>
              </w:rPr>
              <w:t>18</w:t>
            </w:r>
          </w:p>
        </w:tc>
        <w:tc>
          <w:tcPr>
            <w:tcW w:w="6237" w:type="dxa"/>
            <w:tcBorders>
              <w:top w:val="single" w:sz="4" w:space="0" w:color="auto"/>
              <w:left w:val="single" w:sz="4" w:space="0" w:color="auto"/>
              <w:bottom w:val="single" w:sz="4" w:space="0" w:color="auto"/>
              <w:right w:val="single" w:sz="4" w:space="0" w:color="auto"/>
            </w:tcBorders>
            <w:hideMark/>
          </w:tcPr>
          <w:p w14:paraId="49D04674" w14:textId="77777777" w:rsidR="00742F5F" w:rsidRPr="00953F7D" w:rsidRDefault="00742F5F" w:rsidP="00516BD3">
            <w:pPr>
              <w:ind w:left="11" w:firstLine="0"/>
              <w:jc w:val="both"/>
              <w:rPr>
                <w:bCs/>
                <w:iCs/>
              </w:rPr>
            </w:pPr>
            <w:r w:rsidRPr="00953F7D">
              <w:rPr>
                <w:bCs/>
                <w:iCs/>
              </w:rPr>
              <w:t xml:space="preserve">Investments in the capital of banking, financial and insurance entities that are outside the scope of regulatory consolidation, net of eligible short positions, where the ADI does not own more than 10% of the issued share capital (amount above 10% threshold) </w:t>
            </w:r>
          </w:p>
        </w:tc>
        <w:tc>
          <w:tcPr>
            <w:tcW w:w="851" w:type="dxa"/>
            <w:tcBorders>
              <w:top w:val="single" w:sz="4" w:space="0" w:color="auto"/>
              <w:left w:val="single" w:sz="4" w:space="0" w:color="auto"/>
              <w:bottom w:val="single" w:sz="4" w:space="0" w:color="auto"/>
              <w:right w:val="single" w:sz="4" w:space="0" w:color="auto"/>
            </w:tcBorders>
          </w:tcPr>
          <w:p w14:paraId="49D04675" w14:textId="77777777" w:rsidR="00742F5F" w:rsidRPr="00953F7D" w:rsidRDefault="00742F5F" w:rsidP="009164E6">
            <w:pPr>
              <w:jc w:val="both"/>
              <w:rPr>
                <w:bCs/>
              </w:rPr>
            </w:pPr>
          </w:p>
        </w:tc>
      </w:tr>
      <w:tr w:rsidR="00742F5F" w:rsidRPr="00953F7D" w14:paraId="49D0467A"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77" w14:textId="77777777" w:rsidR="00742F5F" w:rsidRPr="00953F7D" w:rsidRDefault="00742F5F" w:rsidP="009164E6">
            <w:pPr>
              <w:jc w:val="both"/>
              <w:rPr>
                <w:bCs/>
              </w:rPr>
            </w:pPr>
            <w:r w:rsidRPr="00953F7D">
              <w:rPr>
                <w:bCs/>
              </w:rPr>
              <w:t>19</w:t>
            </w:r>
          </w:p>
        </w:tc>
        <w:tc>
          <w:tcPr>
            <w:tcW w:w="6237" w:type="dxa"/>
            <w:tcBorders>
              <w:top w:val="single" w:sz="4" w:space="0" w:color="auto"/>
              <w:left w:val="single" w:sz="4" w:space="0" w:color="auto"/>
              <w:bottom w:val="single" w:sz="4" w:space="0" w:color="auto"/>
              <w:right w:val="single" w:sz="4" w:space="0" w:color="auto"/>
            </w:tcBorders>
            <w:hideMark/>
          </w:tcPr>
          <w:p w14:paraId="49D04678" w14:textId="77777777" w:rsidR="00742F5F" w:rsidRPr="00953F7D" w:rsidRDefault="00742F5F" w:rsidP="00516BD3">
            <w:pPr>
              <w:ind w:left="11" w:firstLine="0"/>
              <w:jc w:val="both"/>
              <w:rPr>
                <w:bCs/>
                <w:iCs/>
              </w:rPr>
            </w:pPr>
            <w:r w:rsidRPr="00953F7D">
              <w:rPr>
                <w:bCs/>
                <w:iCs/>
              </w:rPr>
              <w:t>Significant investments in the ordinary shares of banking, financial and insurance entities that are outside the scope of regulatory consolidation, net of eligible short positions (amount above 10% threshold)</w:t>
            </w:r>
          </w:p>
        </w:tc>
        <w:tc>
          <w:tcPr>
            <w:tcW w:w="851" w:type="dxa"/>
            <w:tcBorders>
              <w:top w:val="single" w:sz="4" w:space="0" w:color="auto"/>
              <w:left w:val="single" w:sz="4" w:space="0" w:color="auto"/>
              <w:bottom w:val="single" w:sz="4" w:space="0" w:color="auto"/>
              <w:right w:val="single" w:sz="4" w:space="0" w:color="auto"/>
            </w:tcBorders>
          </w:tcPr>
          <w:p w14:paraId="49D04679" w14:textId="77777777" w:rsidR="00742F5F" w:rsidRPr="00953F7D" w:rsidRDefault="00742F5F" w:rsidP="009164E6">
            <w:pPr>
              <w:jc w:val="both"/>
              <w:rPr>
                <w:bCs/>
              </w:rPr>
            </w:pPr>
          </w:p>
        </w:tc>
      </w:tr>
      <w:tr w:rsidR="00742F5F" w:rsidRPr="00953F7D" w14:paraId="49D0467E"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7B" w14:textId="77777777" w:rsidR="00742F5F" w:rsidRPr="00953F7D" w:rsidRDefault="00742F5F" w:rsidP="009164E6">
            <w:pPr>
              <w:jc w:val="both"/>
              <w:rPr>
                <w:bCs/>
              </w:rPr>
            </w:pPr>
            <w:r w:rsidRPr="00953F7D">
              <w:rPr>
                <w:bCs/>
              </w:rPr>
              <w:t>20</w:t>
            </w:r>
          </w:p>
        </w:tc>
        <w:tc>
          <w:tcPr>
            <w:tcW w:w="6237" w:type="dxa"/>
            <w:tcBorders>
              <w:top w:val="single" w:sz="4" w:space="0" w:color="auto"/>
              <w:left w:val="single" w:sz="4" w:space="0" w:color="auto"/>
              <w:bottom w:val="single" w:sz="4" w:space="0" w:color="auto"/>
              <w:right w:val="single" w:sz="4" w:space="0" w:color="auto"/>
            </w:tcBorders>
            <w:hideMark/>
          </w:tcPr>
          <w:p w14:paraId="49D0467C" w14:textId="77777777" w:rsidR="00742F5F" w:rsidRPr="00953F7D" w:rsidRDefault="00742F5F" w:rsidP="00516BD3">
            <w:pPr>
              <w:ind w:left="11" w:firstLine="0"/>
              <w:jc w:val="both"/>
              <w:rPr>
                <w:bCs/>
                <w:iCs/>
              </w:rPr>
            </w:pPr>
            <w:r w:rsidRPr="00953F7D">
              <w:rPr>
                <w:bCs/>
                <w:iCs/>
              </w:rPr>
              <w:t>Mortgage service rights (amount above 10% threshold)</w:t>
            </w:r>
          </w:p>
        </w:tc>
        <w:tc>
          <w:tcPr>
            <w:tcW w:w="851" w:type="dxa"/>
            <w:tcBorders>
              <w:top w:val="single" w:sz="4" w:space="0" w:color="auto"/>
              <w:left w:val="single" w:sz="4" w:space="0" w:color="auto"/>
              <w:bottom w:val="single" w:sz="4" w:space="0" w:color="auto"/>
              <w:right w:val="single" w:sz="4" w:space="0" w:color="auto"/>
            </w:tcBorders>
          </w:tcPr>
          <w:p w14:paraId="49D0467D" w14:textId="77777777" w:rsidR="00742F5F" w:rsidRPr="00953F7D" w:rsidRDefault="00742F5F" w:rsidP="009164E6">
            <w:pPr>
              <w:jc w:val="both"/>
              <w:rPr>
                <w:bCs/>
              </w:rPr>
            </w:pPr>
          </w:p>
        </w:tc>
      </w:tr>
      <w:tr w:rsidR="00742F5F" w:rsidRPr="00953F7D" w14:paraId="49D04682"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7F" w14:textId="77777777" w:rsidR="00742F5F" w:rsidRPr="00953F7D" w:rsidRDefault="00742F5F" w:rsidP="009164E6">
            <w:pPr>
              <w:jc w:val="both"/>
              <w:rPr>
                <w:bCs/>
              </w:rPr>
            </w:pPr>
            <w:r w:rsidRPr="00953F7D">
              <w:rPr>
                <w:bCs/>
              </w:rPr>
              <w:t>21</w:t>
            </w:r>
          </w:p>
        </w:tc>
        <w:tc>
          <w:tcPr>
            <w:tcW w:w="6237" w:type="dxa"/>
            <w:tcBorders>
              <w:top w:val="single" w:sz="4" w:space="0" w:color="auto"/>
              <w:left w:val="single" w:sz="4" w:space="0" w:color="auto"/>
              <w:bottom w:val="single" w:sz="4" w:space="0" w:color="auto"/>
              <w:right w:val="single" w:sz="4" w:space="0" w:color="auto"/>
            </w:tcBorders>
            <w:hideMark/>
          </w:tcPr>
          <w:p w14:paraId="49D04680" w14:textId="77777777" w:rsidR="00742F5F" w:rsidRPr="00953F7D" w:rsidRDefault="00742F5F" w:rsidP="00516BD3">
            <w:pPr>
              <w:ind w:left="11" w:firstLine="0"/>
              <w:jc w:val="both"/>
              <w:rPr>
                <w:bCs/>
                <w:iCs/>
              </w:rPr>
            </w:pPr>
            <w:r w:rsidRPr="00953F7D">
              <w:rPr>
                <w:bCs/>
                <w:iCs/>
              </w:rPr>
              <w:t>Deferred tax assets arising from temporary differences (amount above 10% threshold, net of related tax liability)</w:t>
            </w:r>
          </w:p>
        </w:tc>
        <w:tc>
          <w:tcPr>
            <w:tcW w:w="851" w:type="dxa"/>
            <w:tcBorders>
              <w:top w:val="single" w:sz="4" w:space="0" w:color="auto"/>
              <w:left w:val="single" w:sz="4" w:space="0" w:color="auto"/>
              <w:bottom w:val="single" w:sz="4" w:space="0" w:color="auto"/>
              <w:right w:val="single" w:sz="4" w:space="0" w:color="auto"/>
            </w:tcBorders>
          </w:tcPr>
          <w:p w14:paraId="49D04681" w14:textId="77777777" w:rsidR="00742F5F" w:rsidRPr="00953F7D" w:rsidRDefault="00742F5F" w:rsidP="009164E6">
            <w:pPr>
              <w:jc w:val="both"/>
              <w:rPr>
                <w:bCs/>
              </w:rPr>
            </w:pPr>
          </w:p>
        </w:tc>
      </w:tr>
      <w:tr w:rsidR="00742F5F" w:rsidRPr="00953F7D" w14:paraId="49D04686" w14:textId="77777777" w:rsidTr="009C3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34" w:type="dxa"/>
            <w:tcBorders>
              <w:top w:val="single" w:sz="4" w:space="0" w:color="auto"/>
              <w:left w:val="single" w:sz="4" w:space="0" w:color="auto"/>
              <w:bottom w:val="single" w:sz="4" w:space="0" w:color="auto"/>
              <w:right w:val="single" w:sz="4" w:space="0" w:color="auto"/>
            </w:tcBorders>
            <w:hideMark/>
          </w:tcPr>
          <w:p w14:paraId="49D04683" w14:textId="77777777" w:rsidR="00742F5F" w:rsidRPr="00953F7D" w:rsidRDefault="00742F5F" w:rsidP="009164E6">
            <w:pPr>
              <w:tabs>
                <w:tab w:val="center" w:pos="4153"/>
                <w:tab w:val="right" w:pos="8306"/>
              </w:tabs>
              <w:jc w:val="both"/>
              <w:rPr>
                <w:bCs/>
              </w:rPr>
            </w:pPr>
            <w:r w:rsidRPr="00953F7D">
              <w:rPr>
                <w:bCs/>
              </w:rPr>
              <w:t>22</w:t>
            </w:r>
          </w:p>
        </w:tc>
        <w:tc>
          <w:tcPr>
            <w:tcW w:w="6237" w:type="dxa"/>
            <w:tcBorders>
              <w:top w:val="single" w:sz="4" w:space="0" w:color="auto"/>
              <w:left w:val="single" w:sz="4" w:space="0" w:color="auto"/>
              <w:bottom w:val="single" w:sz="4" w:space="0" w:color="auto"/>
              <w:right w:val="single" w:sz="4" w:space="0" w:color="auto"/>
            </w:tcBorders>
            <w:hideMark/>
          </w:tcPr>
          <w:p w14:paraId="49D04684" w14:textId="77777777" w:rsidR="00742F5F" w:rsidRPr="00953F7D" w:rsidRDefault="00742F5F" w:rsidP="00516BD3">
            <w:pPr>
              <w:ind w:left="11" w:firstLine="0"/>
              <w:jc w:val="both"/>
              <w:rPr>
                <w:bCs/>
                <w:iCs/>
              </w:rPr>
            </w:pPr>
            <w:r w:rsidRPr="00953F7D">
              <w:rPr>
                <w:bCs/>
                <w:iCs/>
              </w:rPr>
              <w:t>Amount exceeding the 15% threshold</w:t>
            </w:r>
          </w:p>
        </w:tc>
        <w:tc>
          <w:tcPr>
            <w:tcW w:w="851" w:type="dxa"/>
            <w:tcBorders>
              <w:top w:val="single" w:sz="4" w:space="0" w:color="auto"/>
              <w:left w:val="single" w:sz="4" w:space="0" w:color="auto"/>
              <w:bottom w:val="single" w:sz="4" w:space="0" w:color="auto"/>
              <w:right w:val="single" w:sz="4" w:space="0" w:color="auto"/>
            </w:tcBorders>
          </w:tcPr>
          <w:p w14:paraId="49D04685" w14:textId="77777777" w:rsidR="00742F5F" w:rsidRPr="00953F7D" w:rsidRDefault="00742F5F" w:rsidP="009164E6">
            <w:pPr>
              <w:tabs>
                <w:tab w:val="center" w:pos="4153"/>
                <w:tab w:val="right" w:pos="8306"/>
              </w:tabs>
              <w:jc w:val="both"/>
              <w:rPr>
                <w:bCs/>
              </w:rPr>
            </w:pPr>
          </w:p>
        </w:tc>
      </w:tr>
      <w:tr w:rsidR="00742F5F" w:rsidRPr="00953F7D" w14:paraId="49D0468A" w14:textId="77777777" w:rsidTr="009C3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34" w:type="dxa"/>
            <w:tcBorders>
              <w:top w:val="single" w:sz="4" w:space="0" w:color="auto"/>
              <w:left w:val="single" w:sz="4" w:space="0" w:color="auto"/>
              <w:bottom w:val="single" w:sz="4" w:space="0" w:color="auto"/>
              <w:right w:val="single" w:sz="4" w:space="0" w:color="auto"/>
            </w:tcBorders>
            <w:hideMark/>
          </w:tcPr>
          <w:p w14:paraId="49D04687" w14:textId="77777777" w:rsidR="00742F5F" w:rsidRPr="00953F7D" w:rsidRDefault="00742F5F" w:rsidP="009164E6">
            <w:pPr>
              <w:tabs>
                <w:tab w:val="center" w:pos="4153"/>
                <w:tab w:val="right" w:pos="8306"/>
              </w:tabs>
              <w:jc w:val="both"/>
              <w:rPr>
                <w:bCs/>
              </w:rPr>
            </w:pPr>
            <w:r w:rsidRPr="00953F7D">
              <w:rPr>
                <w:bCs/>
              </w:rPr>
              <w:t>23</w:t>
            </w:r>
          </w:p>
        </w:tc>
        <w:tc>
          <w:tcPr>
            <w:tcW w:w="6237" w:type="dxa"/>
            <w:tcBorders>
              <w:top w:val="single" w:sz="4" w:space="0" w:color="auto"/>
              <w:left w:val="single" w:sz="4" w:space="0" w:color="auto"/>
              <w:bottom w:val="single" w:sz="4" w:space="0" w:color="auto"/>
              <w:right w:val="single" w:sz="4" w:space="0" w:color="auto"/>
            </w:tcBorders>
            <w:hideMark/>
          </w:tcPr>
          <w:p w14:paraId="49D04688" w14:textId="77777777" w:rsidR="00742F5F" w:rsidRPr="00953F7D" w:rsidRDefault="00742F5F" w:rsidP="00A356A9">
            <w:pPr>
              <w:ind w:left="294" w:firstLine="0"/>
              <w:jc w:val="both"/>
              <w:rPr>
                <w:bCs/>
                <w:iCs/>
              </w:rPr>
            </w:pPr>
            <w:r w:rsidRPr="00953F7D">
              <w:rPr>
                <w:bCs/>
                <w:iCs/>
              </w:rPr>
              <w:t>of which: significant investments in the ordinary shares of financial entities</w:t>
            </w:r>
          </w:p>
        </w:tc>
        <w:tc>
          <w:tcPr>
            <w:tcW w:w="851" w:type="dxa"/>
            <w:tcBorders>
              <w:top w:val="single" w:sz="4" w:space="0" w:color="auto"/>
              <w:left w:val="single" w:sz="4" w:space="0" w:color="auto"/>
              <w:bottom w:val="single" w:sz="4" w:space="0" w:color="auto"/>
              <w:right w:val="single" w:sz="4" w:space="0" w:color="auto"/>
            </w:tcBorders>
          </w:tcPr>
          <w:p w14:paraId="49D04689" w14:textId="77777777" w:rsidR="00742F5F" w:rsidRPr="00953F7D" w:rsidRDefault="00742F5F" w:rsidP="009164E6">
            <w:pPr>
              <w:tabs>
                <w:tab w:val="center" w:pos="4153"/>
                <w:tab w:val="right" w:pos="8306"/>
              </w:tabs>
              <w:jc w:val="both"/>
              <w:rPr>
                <w:bCs/>
              </w:rPr>
            </w:pPr>
          </w:p>
        </w:tc>
      </w:tr>
      <w:tr w:rsidR="00742F5F" w:rsidRPr="00953F7D" w14:paraId="49D0468E" w14:textId="77777777" w:rsidTr="009C3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34" w:type="dxa"/>
            <w:tcBorders>
              <w:top w:val="single" w:sz="4" w:space="0" w:color="auto"/>
              <w:left w:val="single" w:sz="4" w:space="0" w:color="auto"/>
              <w:bottom w:val="single" w:sz="4" w:space="0" w:color="auto"/>
              <w:right w:val="single" w:sz="4" w:space="0" w:color="auto"/>
            </w:tcBorders>
            <w:hideMark/>
          </w:tcPr>
          <w:p w14:paraId="49D0468B" w14:textId="77777777" w:rsidR="00742F5F" w:rsidRPr="00953F7D" w:rsidRDefault="00742F5F" w:rsidP="009164E6">
            <w:pPr>
              <w:tabs>
                <w:tab w:val="center" w:pos="4153"/>
                <w:tab w:val="right" w:pos="8306"/>
              </w:tabs>
              <w:jc w:val="both"/>
              <w:rPr>
                <w:bCs/>
              </w:rPr>
            </w:pPr>
            <w:r w:rsidRPr="00953F7D">
              <w:rPr>
                <w:bCs/>
              </w:rPr>
              <w:t>24</w:t>
            </w:r>
          </w:p>
        </w:tc>
        <w:tc>
          <w:tcPr>
            <w:tcW w:w="6237" w:type="dxa"/>
            <w:tcBorders>
              <w:top w:val="single" w:sz="4" w:space="0" w:color="auto"/>
              <w:left w:val="single" w:sz="4" w:space="0" w:color="auto"/>
              <w:bottom w:val="single" w:sz="4" w:space="0" w:color="auto"/>
              <w:right w:val="single" w:sz="4" w:space="0" w:color="auto"/>
            </w:tcBorders>
            <w:hideMark/>
          </w:tcPr>
          <w:p w14:paraId="49D0468C" w14:textId="77777777" w:rsidR="00742F5F" w:rsidRPr="00953F7D" w:rsidRDefault="00742F5F" w:rsidP="00A356A9">
            <w:pPr>
              <w:ind w:left="294" w:firstLine="0"/>
              <w:jc w:val="both"/>
              <w:rPr>
                <w:bCs/>
                <w:iCs/>
              </w:rPr>
            </w:pPr>
            <w:r w:rsidRPr="00953F7D">
              <w:rPr>
                <w:bCs/>
                <w:iCs/>
              </w:rPr>
              <w:t>of which: mortgage servicing rights</w:t>
            </w:r>
          </w:p>
        </w:tc>
        <w:tc>
          <w:tcPr>
            <w:tcW w:w="851" w:type="dxa"/>
            <w:tcBorders>
              <w:top w:val="single" w:sz="4" w:space="0" w:color="auto"/>
              <w:left w:val="single" w:sz="4" w:space="0" w:color="auto"/>
              <w:bottom w:val="single" w:sz="4" w:space="0" w:color="auto"/>
              <w:right w:val="single" w:sz="4" w:space="0" w:color="auto"/>
            </w:tcBorders>
          </w:tcPr>
          <w:p w14:paraId="49D0468D" w14:textId="77777777" w:rsidR="00742F5F" w:rsidRPr="00953F7D" w:rsidRDefault="00742F5F" w:rsidP="009164E6">
            <w:pPr>
              <w:tabs>
                <w:tab w:val="center" w:pos="4153"/>
                <w:tab w:val="right" w:pos="8306"/>
              </w:tabs>
              <w:jc w:val="both"/>
              <w:rPr>
                <w:bCs/>
              </w:rPr>
            </w:pPr>
          </w:p>
        </w:tc>
      </w:tr>
      <w:tr w:rsidR="00742F5F" w:rsidRPr="00953F7D" w14:paraId="49D04692" w14:textId="77777777" w:rsidTr="009C3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34" w:type="dxa"/>
            <w:tcBorders>
              <w:top w:val="single" w:sz="4" w:space="0" w:color="auto"/>
              <w:left w:val="single" w:sz="4" w:space="0" w:color="auto"/>
              <w:bottom w:val="single" w:sz="4" w:space="0" w:color="auto"/>
              <w:right w:val="single" w:sz="4" w:space="0" w:color="auto"/>
            </w:tcBorders>
            <w:hideMark/>
          </w:tcPr>
          <w:p w14:paraId="49D0468F" w14:textId="77777777" w:rsidR="00742F5F" w:rsidRPr="00953F7D" w:rsidRDefault="00742F5F" w:rsidP="009164E6">
            <w:pPr>
              <w:tabs>
                <w:tab w:val="center" w:pos="4153"/>
                <w:tab w:val="right" w:pos="8306"/>
              </w:tabs>
              <w:jc w:val="both"/>
              <w:rPr>
                <w:bCs/>
              </w:rPr>
            </w:pPr>
            <w:r w:rsidRPr="00953F7D">
              <w:rPr>
                <w:bCs/>
              </w:rPr>
              <w:t>25</w:t>
            </w:r>
          </w:p>
        </w:tc>
        <w:tc>
          <w:tcPr>
            <w:tcW w:w="6237" w:type="dxa"/>
            <w:tcBorders>
              <w:top w:val="single" w:sz="4" w:space="0" w:color="auto"/>
              <w:left w:val="single" w:sz="4" w:space="0" w:color="auto"/>
              <w:bottom w:val="single" w:sz="4" w:space="0" w:color="auto"/>
              <w:right w:val="single" w:sz="4" w:space="0" w:color="auto"/>
            </w:tcBorders>
            <w:hideMark/>
          </w:tcPr>
          <w:p w14:paraId="49D04690" w14:textId="77777777" w:rsidR="00742F5F" w:rsidRPr="00953F7D" w:rsidRDefault="00742F5F" w:rsidP="00A356A9">
            <w:pPr>
              <w:ind w:left="294" w:firstLine="0"/>
              <w:jc w:val="both"/>
              <w:rPr>
                <w:bCs/>
                <w:iCs/>
              </w:rPr>
            </w:pPr>
            <w:r w:rsidRPr="00953F7D">
              <w:rPr>
                <w:bCs/>
                <w:iCs/>
              </w:rPr>
              <w:t>of which: deferred tax assets arising from temporary differences</w:t>
            </w:r>
          </w:p>
        </w:tc>
        <w:tc>
          <w:tcPr>
            <w:tcW w:w="851" w:type="dxa"/>
            <w:tcBorders>
              <w:top w:val="single" w:sz="4" w:space="0" w:color="auto"/>
              <w:left w:val="single" w:sz="4" w:space="0" w:color="auto"/>
              <w:bottom w:val="single" w:sz="4" w:space="0" w:color="auto"/>
              <w:right w:val="single" w:sz="4" w:space="0" w:color="auto"/>
            </w:tcBorders>
          </w:tcPr>
          <w:p w14:paraId="49D04691" w14:textId="77777777" w:rsidR="00742F5F" w:rsidRPr="00953F7D" w:rsidRDefault="00742F5F" w:rsidP="009164E6">
            <w:pPr>
              <w:tabs>
                <w:tab w:val="center" w:pos="4153"/>
                <w:tab w:val="right" w:pos="8306"/>
              </w:tabs>
              <w:jc w:val="both"/>
              <w:rPr>
                <w:bCs/>
              </w:rPr>
            </w:pPr>
          </w:p>
        </w:tc>
      </w:tr>
      <w:tr w:rsidR="00742F5F" w:rsidRPr="00953F7D" w14:paraId="49D04696" w14:textId="77777777" w:rsidTr="009C3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34" w:type="dxa"/>
            <w:tcBorders>
              <w:top w:val="single" w:sz="4" w:space="0" w:color="auto"/>
              <w:left w:val="single" w:sz="4" w:space="0" w:color="auto"/>
              <w:bottom w:val="single" w:sz="4" w:space="0" w:color="auto"/>
              <w:right w:val="single" w:sz="4" w:space="0" w:color="auto"/>
            </w:tcBorders>
            <w:hideMark/>
          </w:tcPr>
          <w:p w14:paraId="49D04693" w14:textId="77777777" w:rsidR="00742F5F" w:rsidRPr="00953F7D" w:rsidRDefault="00742F5F" w:rsidP="009164E6">
            <w:pPr>
              <w:tabs>
                <w:tab w:val="center" w:pos="4153"/>
                <w:tab w:val="right" w:pos="8306"/>
              </w:tabs>
              <w:jc w:val="both"/>
              <w:rPr>
                <w:bCs/>
              </w:rPr>
            </w:pPr>
            <w:r w:rsidRPr="00953F7D">
              <w:rPr>
                <w:bCs/>
              </w:rPr>
              <w:t>26</w:t>
            </w:r>
          </w:p>
        </w:tc>
        <w:tc>
          <w:tcPr>
            <w:tcW w:w="6237" w:type="dxa"/>
            <w:tcBorders>
              <w:top w:val="single" w:sz="4" w:space="0" w:color="auto"/>
              <w:left w:val="single" w:sz="4" w:space="0" w:color="auto"/>
              <w:bottom w:val="single" w:sz="4" w:space="0" w:color="auto"/>
              <w:right w:val="single" w:sz="4" w:space="0" w:color="auto"/>
            </w:tcBorders>
          </w:tcPr>
          <w:p w14:paraId="49D04694" w14:textId="77777777" w:rsidR="00742F5F" w:rsidRPr="00953F7D" w:rsidRDefault="00742F5F" w:rsidP="00516BD3">
            <w:pPr>
              <w:ind w:left="11" w:firstLine="0"/>
              <w:jc w:val="both"/>
              <w:rPr>
                <w:bCs/>
                <w:iCs/>
              </w:rPr>
            </w:pPr>
            <w:r w:rsidRPr="00953F7D">
              <w:rPr>
                <w:bCs/>
                <w:iCs/>
              </w:rPr>
              <w:t>National specific regulatory adjustments (sum of rows 26a, 26b, 26c, 26d, 26e, 26f, 26g, 26h, 26i and 26j)</w:t>
            </w:r>
          </w:p>
        </w:tc>
        <w:tc>
          <w:tcPr>
            <w:tcW w:w="851" w:type="dxa"/>
            <w:tcBorders>
              <w:top w:val="single" w:sz="4" w:space="0" w:color="auto"/>
              <w:left w:val="single" w:sz="4" w:space="0" w:color="auto"/>
              <w:bottom w:val="single" w:sz="4" w:space="0" w:color="auto"/>
              <w:right w:val="single" w:sz="4" w:space="0" w:color="auto"/>
            </w:tcBorders>
          </w:tcPr>
          <w:p w14:paraId="49D04695" w14:textId="77777777" w:rsidR="00742F5F" w:rsidRPr="00953F7D" w:rsidRDefault="00742F5F" w:rsidP="009164E6">
            <w:pPr>
              <w:tabs>
                <w:tab w:val="center" w:pos="4153"/>
                <w:tab w:val="right" w:pos="8306"/>
              </w:tabs>
              <w:jc w:val="both"/>
              <w:rPr>
                <w:bCs/>
              </w:rPr>
            </w:pPr>
          </w:p>
        </w:tc>
      </w:tr>
      <w:tr w:rsidR="00742F5F" w:rsidRPr="00953F7D" w14:paraId="49D0469A" w14:textId="77777777" w:rsidTr="009C3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697" w14:textId="77777777" w:rsidR="00742F5F" w:rsidRPr="00953F7D" w:rsidRDefault="00742F5F" w:rsidP="009164E6">
            <w:pPr>
              <w:tabs>
                <w:tab w:val="center" w:pos="4153"/>
                <w:tab w:val="right" w:pos="8306"/>
              </w:tabs>
              <w:jc w:val="both"/>
              <w:rPr>
                <w:bCs/>
              </w:rPr>
            </w:pPr>
            <w:r w:rsidRPr="00953F7D">
              <w:rPr>
                <w:bCs/>
              </w:rPr>
              <w:t>26a</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49D04698" w14:textId="77777777" w:rsidR="00742F5F" w:rsidRPr="00953F7D" w:rsidRDefault="00742F5F" w:rsidP="00A356A9">
            <w:pPr>
              <w:ind w:left="294" w:firstLine="0"/>
              <w:jc w:val="both"/>
              <w:rPr>
                <w:bCs/>
                <w:iCs/>
              </w:rPr>
            </w:pPr>
            <w:r w:rsidRPr="00953F7D">
              <w:rPr>
                <w:bCs/>
                <w:iCs/>
              </w:rPr>
              <w:t>of which: treasury shares</w:t>
            </w:r>
          </w:p>
        </w:tc>
        <w:tc>
          <w:tcPr>
            <w:tcW w:w="851" w:type="dxa"/>
            <w:tcBorders>
              <w:top w:val="single" w:sz="4" w:space="0" w:color="auto"/>
              <w:left w:val="single" w:sz="4" w:space="0" w:color="auto"/>
              <w:bottom w:val="single" w:sz="4" w:space="0" w:color="auto"/>
              <w:right w:val="single" w:sz="4" w:space="0" w:color="auto"/>
            </w:tcBorders>
          </w:tcPr>
          <w:p w14:paraId="49D04699" w14:textId="77777777" w:rsidR="00742F5F" w:rsidRPr="00953F7D" w:rsidRDefault="00742F5F" w:rsidP="009164E6">
            <w:pPr>
              <w:tabs>
                <w:tab w:val="center" w:pos="4153"/>
                <w:tab w:val="right" w:pos="8306"/>
              </w:tabs>
              <w:jc w:val="both"/>
              <w:rPr>
                <w:bCs/>
              </w:rPr>
            </w:pPr>
          </w:p>
        </w:tc>
      </w:tr>
      <w:tr w:rsidR="00742F5F" w:rsidRPr="00953F7D" w14:paraId="49D0469E" w14:textId="77777777" w:rsidTr="009C3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69B" w14:textId="77777777" w:rsidR="00742F5F" w:rsidRPr="00953F7D" w:rsidRDefault="00742F5F" w:rsidP="009164E6">
            <w:pPr>
              <w:tabs>
                <w:tab w:val="center" w:pos="4153"/>
                <w:tab w:val="right" w:pos="8306"/>
              </w:tabs>
              <w:jc w:val="both"/>
              <w:rPr>
                <w:bCs/>
              </w:rPr>
            </w:pPr>
            <w:r w:rsidRPr="00953F7D">
              <w:rPr>
                <w:bCs/>
              </w:rPr>
              <w:t>26b</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49D0469C" w14:textId="77777777" w:rsidR="00742F5F" w:rsidRPr="00953F7D" w:rsidRDefault="00742F5F" w:rsidP="00A356A9">
            <w:pPr>
              <w:ind w:left="294" w:firstLine="0"/>
              <w:jc w:val="both"/>
              <w:rPr>
                <w:bCs/>
                <w:iCs/>
              </w:rPr>
            </w:pPr>
            <w:r w:rsidRPr="00953F7D">
              <w:rPr>
                <w:bCs/>
                <w:iCs/>
              </w:rPr>
              <w:t>of which: offset to dividends declared under a dividend reinvestment plan (DRP), to the extent that the dividends are used to purchase new ordinary shares issued by the ADI</w:t>
            </w:r>
          </w:p>
        </w:tc>
        <w:tc>
          <w:tcPr>
            <w:tcW w:w="851" w:type="dxa"/>
            <w:tcBorders>
              <w:top w:val="single" w:sz="4" w:space="0" w:color="auto"/>
              <w:left w:val="single" w:sz="4" w:space="0" w:color="auto"/>
              <w:bottom w:val="single" w:sz="4" w:space="0" w:color="auto"/>
              <w:right w:val="single" w:sz="4" w:space="0" w:color="auto"/>
            </w:tcBorders>
          </w:tcPr>
          <w:p w14:paraId="49D0469D" w14:textId="77777777" w:rsidR="00742F5F" w:rsidRPr="00953F7D" w:rsidRDefault="00742F5F" w:rsidP="009164E6">
            <w:pPr>
              <w:tabs>
                <w:tab w:val="center" w:pos="4153"/>
                <w:tab w:val="right" w:pos="8306"/>
              </w:tabs>
              <w:jc w:val="both"/>
              <w:rPr>
                <w:bCs/>
              </w:rPr>
            </w:pPr>
          </w:p>
        </w:tc>
      </w:tr>
      <w:tr w:rsidR="00742F5F" w:rsidRPr="00953F7D" w14:paraId="49D046A2" w14:textId="77777777" w:rsidTr="009C3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69F" w14:textId="77777777" w:rsidR="00742F5F" w:rsidRPr="00953F7D" w:rsidRDefault="00742F5F" w:rsidP="009164E6">
            <w:pPr>
              <w:tabs>
                <w:tab w:val="center" w:pos="4153"/>
                <w:tab w:val="right" w:pos="8306"/>
              </w:tabs>
              <w:jc w:val="both"/>
              <w:rPr>
                <w:bCs/>
              </w:rPr>
            </w:pPr>
            <w:r w:rsidRPr="00953F7D">
              <w:rPr>
                <w:bCs/>
              </w:rPr>
              <w:t>26c</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49D046A0" w14:textId="77777777" w:rsidR="00742F5F" w:rsidRPr="00953F7D" w:rsidRDefault="00742F5F" w:rsidP="00A356A9">
            <w:pPr>
              <w:ind w:left="294" w:firstLine="0"/>
              <w:jc w:val="both"/>
              <w:rPr>
                <w:bCs/>
                <w:iCs/>
              </w:rPr>
            </w:pPr>
            <w:r w:rsidRPr="00953F7D">
              <w:rPr>
                <w:bCs/>
                <w:iCs/>
              </w:rPr>
              <w:t>of which: deferred fee income</w:t>
            </w:r>
          </w:p>
        </w:tc>
        <w:tc>
          <w:tcPr>
            <w:tcW w:w="851" w:type="dxa"/>
            <w:tcBorders>
              <w:top w:val="single" w:sz="4" w:space="0" w:color="auto"/>
              <w:left w:val="single" w:sz="4" w:space="0" w:color="auto"/>
              <w:bottom w:val="single" w:sz="4" w:space="0" w:color="auto"/>
              <w:right w:val="single" w:sz="4" w:space="0" w:color="auto"/>
            </w:tcBorders>
          </w:tcPr>
          <w:p w14:paraId="49D046A1" w14:textId="77777777" w:rsidR="00742F5F" w:rsidRPr="00953F7D" w:rsidRDefault="00742F5F" w:rsidP="009164E6">
            <w:pPr>
              <w:tabs>
                <w:tab w:val="center" w:pos="4153"/>
                <w:tab w:val="right" w:pos="8306"/>
              </w:tabs>
              <w:jc w:val="both"/>
              <w:rPr>
                <w:bCs/>
              </w:rPr>
            </w:pPr>
          </w:p>
        </w:tc>
      </w:tr>
      <w:tr w:rsidR="00742F5F" w:rsidRPr="00953F7D" w14:paraId="49D046A6" w14:textId="77777777" w:rsidTr="009C3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6A3" w14:textId="77777777" w:rsidR="00742F5F" w:rsidRPr="00953F7D" w:rsidRDefault="00742F5F" w:rsidP="009164E6">
            <w:pPr>
              <w:tabs>
                <w:tab w:val="center" w:pos="4153"/>
                <w:tab w:val="right" w:pos="8306"/>
              </w:tabs>
              <w:jc w:val="both"/>
              <w:rPr>
                <w:bCs/>
              </w:rPr>
            </w:pPr>
            <w:r w:rsidRPr="00953F7D">
              <w:rPr>
                <w:bCs/>
              </w:rPr>
              <w:t>26d</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49D046A4" w14:textId="77777777" w:rsidR="00742F5F" w:rsidRPr="00953F7D" w:rsidRDefault="00742F5F" w:rsidP="00A356A9">
            <w:pPr>
              <w:ind w:left="294" w:firstLine="0"/>
              <w:jc w:val="both"/>
              <w:rPr>
                <w:bCs/>
                <w:iCs/>
              </w:rPr>
            </w:pPr>
            <w:r w:rsidRPr="00953F7D">
              <w:rPr>
                <w:bCs/>
                <w:iCs/>
              </w:rPr>
              <w:t xml:space="preserve">of which: equity investments in </w:t>
            </w:r>
            <w:r w:rsidRPr="004B19DF">
              <w:rPr>
                <w:b/>
                <w:bCs/>
                <w:iCs/>
              </w:rPr>
              <w:t xml:space="preserve">financial institutions </w:t>
            </w:r>
            <w:r w:rsidRPr="00953F7D">
              <w:rPr>
                <w:bCs/>
                <w:iCs/>
              </w:rPr>
              <w:t>not reported in rows 18, 19 and 23</w:t>
            </w:r>
          </w:p>
        </w:tc>
        <w:tc>
          <w:tcPr>
            <w:tcW w:w="851" w:type="dxa"/>
            <w:tcBorders>
              <w:top w:val="single" w:sz="4" w:space="0" w:color="auto"/>
              <w:left w:val="single" w:sz="4" w:space="0" w:color="auto"/>
              <w:bottom w:val="single" w:sz="4" w:space="0" w:color="auto"/>
              <w:right w:val="single" w:sz="4" w:space="0" w:color="auto"/>
            </w:tcBorders>
          </w:tcPr>
          <w:p w14:paraId="49D046A5" w14:textId="77777777" w:rsidR="00742F5F" w:rsidRPr="00953F7D" w:rsidRDefault="00742F5F" w:rsidP="009164E6">
            <w:pPr>
              <w:tabs>
                <w:tab w:val="center" w:pos="4153"/>
                <w:tab w:val="right" w:pos="8306"/>
              </w:tabs>
              <w:jc w:val="both"/>
              <w:rPr>
                <w:bCs/>
              </w:rPr>
            </w:pPr>
          </w:p>
        </w:tc>
      </w:tr>
      <w:tr w:rsidR="00742F5F" w:rsidRPr="00953F7D" w14:paraId="49D046AA" w14:textId="77777777" w:rsidTr="009C3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6A7" w14:textId="77777777" w:rsidR="00742F5F" w:rsidRPr="00953F7D" w:rsidRDefault="00742F5F" w:rsidP="009164E6">
            <w:pPr>
              <w:tabs>
                <w:tab w:val="center" w:pos="4153"/>
                <w:tab w:val="right" w:pos="8306"/>
              </w:tabs>
              <w:jc w:val="both"/>
              <w:rPr>
                <w:bCs/>
              </w:rPr>
            </w:pPr>
            <w:r w:rsidRPr="00953F7D">
              <w:rPr>
                <w:bCs/>
              </w:rPr>
              <w:t>26e</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49D046A8" w14:textId="77777777" w:rsidR="00742F5F" w:rsidRPr="00953F7D" w:rsidRDefault="00742F5F" w:rsidP="00A356A9">
            <w:pPr>
              <w:ind w:left="294" w:firstLine="0"/>
              <w:jc w:val="both"/>
              <w:rPr>
                <w:bCs/>
                <w:iCs/>
              </w:rPr>
            </w:pPr>
            <w:r w:rsidRPr="00953F7D">
              <w:rPr>
                <w:bCs/>
                <w:iCs/>
              </w:rPr>
              <w:t>of which: deferred tax assets not reported in rows 10, 21 and 25</w:t>
            </w:r>
          </w:p>
        </w:tc>
        <w:tc>
          <w:tcPr>
            <w:tcW w:w="851" w:type="dxa"/>
            <w:tcBorders>
              <w:top w:val="single" w:sz="4" w:space="0" w:color="auto"/>
              <w:left w:val="single" w:sz="4" w:space="0" w:color="auto"/>
              <w:bottom w:val="single" w:sz="4" w:space="0" w:color="auto"/>
              <w:right w:val="single" w:sz="4" w:space="0" w:color="auto"/>
            </w:tcBorders>
          </w:tcPr>
          <w:p w14:paraId="49D046A9" w14:textId="77777777" w:rsidR="00742F5F" w:rsidRPr="00953F7D" w:rsidRDefault="00742F5F" w:rsidP="009164E6">
            <w:pPr>
              <w:tabs>
                <w:tab w:val="center" w:pos="4153"/>
                <w:tab w:val="right" w:pos="8306"/>
              </w:tabs>
              <w:jc w:val="both"/>
              <w:rPr>
                <w:bCs/>
              </w:rPr>
            </w:pPr>
          </w:p>
        </w:tc>
      </w:tr>
      <w:tr w:rsidR="00742F5F" w:rsidRPr="00953F7D" w14:paraId="49D046AE" w14:textId="77777777" w:rsidTr="009C3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6AB" w14:textId="77777777" w:rsidR="00742F5F" w:rsidRPr="00953F7D" w:rsidRDefault="00742F5F" w:rsidP="009164E6">
            <w:pPr>
              <w:tabs>
                <w:tab w:val="center" w:pos="4153"/>
                <w:tab w:val="right" w:pos="8306"/>
              </w:tabs>
              <w:jc w:val="both"/>
              <w:rPr>
                <w:bCs/>
              </w:rPr>
            </w:pPr>
            <w:r w:rsidRPr="00953F7D">
              <w:rPr>
                <w:bCs/>
              </w:rPr>
              <w:t>26f</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49D046AC" w14:textId="77777777" w:rsidR="00742F5F" w:rsidRPr="00953F7D" w:rsidRDefault="00742F5F" w:rsidP="00A356A9">
            <w:pPr>
              <w:ind w:left="294" w:firstLine="0"/>
              <w:jc w:val="both"/>
              <w:rPr>
                <w:bCs/>
                <w:iCs/>
              </w:rPr>
            </w:pPr>
            <w:r w:rsidRPr="00953F7D">
              <w:rPr>
                <w:bCs/>
                <w:iCs/>
              </w:rPr>
              <w:t xml:space="preserve">of which: capitalised expenses </w:t>
            </w:r>
          </w:p>
        </w:tc>
        <w:tc>
          <w:tcPr>
            <w:tcW w:w="851" w:type="dxa"/>
            <w:tcBorders>
              <w:top w:val="single" w:sz="4" w:space="0" w:color="auto"/>
              <w:left w:val="single" w:sz="4" w:space="0" w:color="auto"/>
              <w:bottom w:val="single" w:sz="4" w:space="0" w:color="auto"/>
              <w:right w:val="single" w:sz="4" w:space="0" w:color="auto"/>
            </w:tcBorders>
          </w:tcPr>
          <w:p w14:paraId="49D046AD" w14:textId="77777777" w:rsidR="00742F5F" w:rsidRPr="00953F7D" w:rsidRDefault="00742F5F" w:rsidP="009164E6">
            <w:pPr>
              <w:tabs>
                <w:tab w:val="center" w:pos="4153"/>
                <w:tab w:val="right" w:pos="8306"/>
              </w:tabs>
              <w:jc w:val="both"/>
              <w:rPr>
                <w:bCs/>
              </w:rPr>
            </w:pPr>
          </w:p>
        </w:tc>
      </w:tr>
      <w:tr w:rsidR="00742F5F" w:rsidRPr="00953F7D" w14:paraId="49D046B2" w14:textId="77777777" w:rsidTr="009C3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6AF" w14:textId="77777777" w:rsidR="00742F5F" w:rsidRPr="00953F7D" w:rsidRDefault="00742F5F" w:rsidP="009164E6">
            <w:pPr>
              <w:tabs>
                <w:tab w:val="center" w:pos="4153"/>
                <w:tab w:val="right" w:pos="8306"/>
              </w:tabs>
              <w:jc w:val="both"/>
              <w:rPr>
                <w:bCs/>
              </w:rPr>
            </w:pPr>
            <w:r w:rsidRPr="00953F7D">
              <w:rPr>
                <w:bCs/>
              </w:rPr>
              <w:t>26g</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49D046B0" w14:textId="77777777" w:rsidR="00742F5F" w:rsidRPr="00953F7D" w:rsidRDefault="00742F5F" w:rsidP="00A356A9">
            <w:pPr>
              <w:ind w:left="294" w:firstLine="0"/>
              <w:jc w:val="both"/>
              <w:rPr>
                <w:bCs/>
                <w:iCs/>
              </w:rPr>
            </w:pPr>
            <w:r w:rsidRPr="00953F7D">
              <w:rPr>
                <w:bCs/>
                <w:iCs/>
              </w:rPr>
              <w:t>of which: investments in commercial (non-financial) entities that are deducted under APRA prudential requirements</w:t>
            </w:r>
          </w:p>
        </w:tc>
        <w:tc>
          <w:tcPr>
            <w:tcW w:w="851" w:type="dxa"/>
            <w:tcBorders>
              <w:top w:val="single" w:sz="4" w:space="0" w:color="auto"/>
              <w:left w:val="single" w:sz="4" w:space="0" w:color="auto"/>
              <w:bottom w:val="single" w:sz="4" w:space="0" w:color="auto"/>
              <w:right w:val="single" w:sz="4" w:space="0" w:color="auto"/>
            </w:tcBorders>
          </w:tcPr>
          <w:p w14:paraId="49D046B1" w14:textId="77777777" w:rsidR="00742F5F" w:rsidRPr="00953F7D" w:rsidRDefault="00742F5F" w:rsidP="009164E6">
            <w:pPr>
              <w:tabs>
                <w:tab w:val="center" w:pos="4153"/>
                <w:tab w:val="right" w:pos="8306"/>
              </w:tabs>
              <w:jc w:val="both"/>
              <w:rPr>
                <w:bCs/>
              </w:rPr>
            </w:pPr>
          </w:p>
        </w:tc>
      </w:tr>
      <w:tr w:rsidR="00742F5F" w:rsidRPr="00953F7D" w14:paraId="49D046B6" w14:textId="77777777" w:rsidTr="009C3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6B3" w14:textId="77777777" w:rsidR="00742F5F" w:rsidRPr="00953F7D" w:rsidRDefault="00742F5F" w:rsidP="009164E6">
            <w:pPr>
              <w:tabs>
                <w:tab w:val="center" w:pos="4153"/>
                <w:tab w:val="right" w:pos="8306"/>
              </w:tabs>
              <w:jc w:val="both"/>
              <w:rPr>
                <w:bCs/>
              </w:rPr>
            </w:pPr>
            <w:r w:rsidRPr="00953F7D">
              <w:rPr>
                <w:bCs/>
              </w:rPr>
              <w:t>26h</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49D046B4" w14:textId="77777777" w:rsidR="00742F5F" w:rsidRPr="00953F7D" w:rsidRDefault="00742F5F" w:rsidP="00A356A9">
            <w:pPr>
              <w:ind w:left="294" w:firstLine="0"/>
              <w:jc w:val="both"/>
              <w:rPr>
                <w:bCs/>
                <w:iCs/>
              </w:rPr>
            </w:pPr>
            <w:r w:rsidRPr="00953F7D">
              <w:rPr>
                <w:bCs/>
                <w:iCs/>
              </w:rPr>
              <w:t>of which: covered bonds in excess of asset cover in pools</w:t>
            </w:r>
          </w:p>
        </w:tc>
        <w:tc>
          <w:tcPr>
            <w:tcW w:w="851" w:type="dxa"/>
            <w:tcBorders>
              <w:top w:val="single" w:sz="4" w:space="0" w:color="auto"/>
              <w:left w:val="single" w:sz="4" w:space="0" w:color="auto"/>
              <w:bottom w:val="single" w:sz="4" w:space="0" w:color="auto"/>
              <w:right w:val="single" w:sz="4" w:space="0" w:color="auto"/>
            </w:tcBorders>
          </w:tcPr>
          <w:p w14:paraId="49D046B5" w14:textId="77777777" w:rsidR="00742F5F" w:rsidRPr="00953F7D" w:rsidRDefault="00742F5F" w:rsidP="009164E6">
            <w:pPr>
              <w:tabs>
                <w:tab w:val="center" w:pos="4153"/>
                <w:tab w:val="right" w:pos="8306"/>
              </w:tabs>
              <w:jc w:val="both"/>
              <w:rPr>
                <w:bCs/>
              </w:rPr>
            </w:pPr>
          </w:p>
        </w:tc>
      </w:tr>
      <w:tr w:rsidR="00742F5F" w:rsidRPr="00953F7D" w14:paraId="49D046BA" w14:textId="77777777" w:rsidTr="009C3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6B7" w14:textId="77777777" w:rsidR="00742F5F" w:rsidRPr="00953F7D" w:rsidRDefault="00742F5F" w:rsidP="009164E6">
            <w:pPr>
              <w:tabs>
                <w:tab w:val="center" w:pos="4153"/>
                <w:tab w:val="right" w:pos="8306"/>
              </w:tabs>
              <w:jc w:val="both"/>
              <w:rPr>
                <w:bCs/>
              </w:rPr>
            </w:pPr>
            <w:r w:rsidRPr="00953F7D">
              <w:rPr>
                <w:bCs/>
              </w:rPr>
              <w:t>26i</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49D046B8" w14:textId="77777777" w:rsidR="00742F5F" w:rsidRPr="00953F7D" w:rsidRDefault="00742F5F" w:rsidP="00A356A9">
            <w:pPr>
              <w:ind w:left="294" w:firstLine="0"/>
              <w:jc w:val="both"/>
              <w:rPr>
                <w:bCs/>
                <w:iCs/>
              </w:rPr>
            </w:pPr>
            <w:r w:rsidRPr="00953F7D">
              <w:rPr>
                <w:bCs/>
                <w:iCs/>
              </w:rPr>
              <w:t xml:space="preserve">of which: undercapitalisation of a </w:t>
            </w:r>
            <w:r w:rsidRPr="004B19DF">
              <w:rPr>
                <w:b/>
                <w:bCs/>
                <w:iCs/>
              </w:rPr>
              <w:t>non-consolidated subsidiary</w:t>
            </w:r>
            <w:r w:rsidRPr="00953F7D">
              <w:rPr>
                <w:bCs/>
                <w:iCs/>
              </w:rPr>
              <w:t xml:space="preserve"> </w:t>
            </w:r>
          </w:p>
        </w:tc>
        <w:tc>
          <w:tcPr>
            <w:tcW w:w="851" w:type="dxa"/>
            <w:tcBorders>
              <w:top w:val="single" w:sz="4" w:space="0" w:color="auto"/>
              <w:left w:val="single" w:sz="4" w:space="0" w:color="auto"/>
              <w:bottom w:val="single" w:sz="4" w:space="0" w:color="auto"/>
              <w:right w:val="single" w:sz="4" w:space="0" w:color="auto"/>
            </w:tcBorders>
          </w:tcPr>
          <w:p w14:paraId="49D046B9" w14:textId="77777777" w:rsidR="00742F5F" w:rsidRPr="00953F7D" w:rsidRDefault="00742F5F" w:rsidP="009164E6">
            <w:pPr>
              <w:tabs>
                <w:tab w:val="center" w:pos="4153"/>
                <w:tab w:val="right" w:pos="8306"/>
              </w:tabs>
              <w:jc w:val="both"/>
              <w:rPr>
                <w:bCs/>
              </w:rPr>
            </w:pPr>
          </w:p>
        </w:tc>
      </w:tr>
      <w:tr w:rsidR="00742F5F" w:rsidRPr="00953F7D" w14:paraId="49D046BE" w14:textId="77777777" w:rsidTr="009C3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6BB" w14:textId="77777777" w:rsidR="00742F5F" w:rsidRPr="00953F7D" w:rsidRDefault="00742F5F" w:rsidP="009164E6">
            <w:pPr>
              <w:tabs>
                <w:tab w:val="center" w:pos="4153"/>
                <w:tab w:val="right" w:pos="8306"/>
              </w:tabs>
              <w:jc w:val="both"/>
              <w:rPr>
                <w:bCs/>
              </w:rPr>
            </w:pPr>
            <w:r w:rsidRPr="00953F7D">
              <w:rPr>
                <w:bCs/>
              </w:rPr>
              <w:t>26j</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49D046BC" w14:textId="77777777" w:rsidR="00742F5F" w:rsidRPr="00953F7D" w:rsidRDefault="00742F5F" w:rsidP="00A356A9">
            <w:pPr>
              <w:ind w:left="294" w:firstLine="0"/>
              <w:jc w:val="both"/>
              <w:rPr>
                <w:bCs/>
                <w:iCs/>
              </w:rPr>
            </w:pPr>
            <w:r w:rsidRPr="00953F7D">
              <w:rPr>
                <w:bCs/>
                <w:iCs/>
              </w:rPr>
              <w:t>of which: other national specific regulatory adjustments not reported in rows 26a to 26i</w:t>
            </w:r>
          </w:p>
        </w:tc>
        <w:tc>
          <w:tcPr>
            <w:tcW w:w="851" w:type="dxa"/>
            <w:tcBorders>
              <w:top w:val="single" w:sz="4" w:space="0" w:color="auto"/>
              <w:left w:val="single" w:sz="4" w:space="0" w:color="auto"/>
              <w:bottom w:val="single" w:sz="4" w:space="0" w:color="auto"/>
              <w:right w:val="single" w:sz="4" w:space="0" w:color="auto"/>
            </w:tcBorders>
          </w:tcPr>
          <w:p w14:paraId="49D046BD" w14:textId="77777777" w:rsidR="00742F5F" w:rsidRPr="00953F7D" w:rsidRDefault="00742F5F" w:rsidP="009164E6">
            <w:pPr>
              <w:tabs>
                <w:tab w:val="center" w:pos="4153"/>
                <w:tab w:val="right" w:pos="8306"/>
              </w:tabs>
              <w:jc w:val="both"/>
              <w:rPr>
                <w:bCs/>
              </w:rPr>
            </w:pPr>
          </w:p>
        </w:tc>
      </w:tr>
      <w:tr w:rsidR="00742F5F" w:rsidRPr="00953F7D" w14:paraId="49D046C2"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BF" w14:textId="77777777" w:rsidR="00742F5F" w:rsidRPr="00953F7D" w:rsidRDefault="00742F5F" w:rsidP="009164E6">
            <w:pPr>
              <w:jc w:val="both"/>
              <w:rPr>
                <w:bCs/>
              </w:rPr>
            </w:pPr>
            <w:r w:rsidRPr="00953F7D">
              <w:rPr>
                <w:bCs/>
              </w:rPr>
              <w:t>27</w:t>
            </w:r>
          </w:p>
        </w:tc>
        <w:tc>
          <w:tcPr>
            <w:tcW w:w="6237" w:type="dxa"/>
            <w:tcBorders>
              <w:top w:val="single" w:sz="4" w:space="0" w:color="auto"/>
              <w:left w:val="single" w:sz="4" w:space="0" w:color="auto"/>
              <w:bottom w:val="single" w:sz="4" w:space="0" w:color="auto"/>
              <w:right w:val="single" w:sz="4" w:space="0" w:color="auto"/>
            </w:tcBorders>
            <w:hideMark/>
          </w:tcPr>
          <w:p w14:paraId="49D046C0" w14:textId="77777777" w:rsidR="00742F5F" w:rsidRPr="00953F7D" w:rsidRDefault="00742F5F" w:rsidP="00516BD3">
            <w:pPr>
              <w:ind w:left="11" w:firstLine="0"/>
              <w:jc w:val="both"/>
              <w:rPr>
                <w:bCs/>
                <w:iCs/>
              </w:rPr>
            </w:pPr>
            <w:r w:rsidRPr="00953F7D">
              <w:rPr>
                <w:bCs/>
                <w:iCs/>
              </w:rPr>
              <w:t>Regulatory adjustments applied to Common Equity Tier 1 due to insufficient Additional Tier 1 and Tier 2 to cover deductions</w:t>
            </w:r>
          </w:p>
        </w:tc>
        <w:tc>
          <w:tcPr>
            <w:tcW w:w="851" w:type="dxa"/>
            <w:tcBorders>
              <w:top w:val="single" w:sz="4" w:space="0" w:color="auto"/>
              <w:left w:val="single" w:sz="4" w:space="0" w:color="auto"/>
              <w:bottom w:val="single" w:sz="4" w:space="0" w:color="auto"/>
              <w:right w:val="single" w:sz="4" w:space="0" w:color="auto"/>
            </w:tcBorders>
          </w:tcPr>
          <w:p w14:paraId="49D046C1" w14:textId="77777777" w:rsidR="00742F5F" w:rsidRPr="00953F7D" w:rsidRDefault="00742F5F" w:rsidP="009164E6">
            <w:pPr>
              <w:jc w:val="both"/>
              <w:rPr>
                <w:bCs/>
              </w:rPr>
            </w:pPr>
          </w:p>
        </w:tc>
      </w:tr>
      <w:tr w:rsidR="00742F5F" w:rsidRPr="00953F7D" w14:paraId="49D046C6"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C3" w14:textId="77777777" w:rsidR="00742F5F" w:rsidRPr="00953F7D" w:rsidRDefault="00742F5F" w:rsidP="009164E6">
            <w:pPr>
              <w:jc w:val="both"/>
              <w:rPr>
                <w:bCs/>
              </w:rPr>
            </w:pPr>
            <w:r w:rsidRPr="00953F7D">
              <w:rPr>
                <w:bCs/>
              </w:rPr>
              <w:t>28</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6C4" w14:textId="77777777" w:rsidR="00742F5F" w:rsidRPr="00953F7D" w:rsidRDefault="00742F5F" w:rsidP="00516BD3">
            <w:pPr>
              <w:ind w:left="11" w:firstLine="0"/>
              <w:jc w:val="both"/>
              <w:rPr>
                <w:bCs/>
                <w:iCs/>
              </w:rPr>
            </w:pPr>
            <w:r w:rsidRPr="00953F7D">
              <w:rPr>
                <w:bCs/>
                <w:iCs/>
              </w:rPr>
              <w:t>Total regulatory adjustments to Common Equity Tier 1</w:t>
            </w:r>
          </w:p>
        </w:tc>
        <w:tc>
          <w:tcPr>
            <w:tcW w:w="851" w:type="dxa"/>
            <w:tcBorders>
              <w:top w:val="single" w:sz="4" w:space="0" w:color="auto"/>
              <w:left w:val="single" w:sz="4" w:space="0" w:color="auto"/>
              <w:bottom w:val="single" w:sz="4" w:space="0" w:color="auto"/>
              <w:right w:val="single" w:sz="4" w:space="0" w:color="auto"/>
            </w:tcBorders>
          </w:tcPr>
          <w:p w14:paraId="49D046C5" w14:textId="77777777" w:rsidR="00742F5F" w:rsidRPr="00953F7D" w:rsidRDefault="00742F5F" w:rsidP="009164E6">
            <w:pPr>
              <w:jc w:val="both"/>
              <w:rPr>
                <w:bCs/>
              </w:rPr>
            </w:pPr>
          </w:p>
        </w:tc>
      </w:tr>
      <w:tr w:rsidR="00742F5F" w:rsidRPr="00953F7D" w14:paraId="49D046CA"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C7" w14:textId="77777777" w:rsidR="00742F5F" w:rsidRPr="00953F7D" w:rsidRDefault="00742F5F" w:rsidP="009164E6">
            <w:pPr>
              <w:jc w:val="both"/>
              <w:rPr>
                <w:bCs/>
              </w:rPr>
            </w:pPr>
            <w:r w:rsidRPr="00953F7D">
              <w:rPr>
                <w:bCs/>
              </w:rPr>
              <w:t>29</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6C8" w14:textId="77777777" w:rsidR="00742F5F" w:rsidRPr="00953F7D" w:rsidRDefault="00742F5F" w:rsidP="00516BD3">
            <w:pPr>
              <w:ind w:left="11" w:firstLine="0"/>
              <w:jc w:val="both"/>
              <w:rPr>
                <w:bCs/>
                <w:iCs/>
              </w:rPr>
            </w:pPr>
            <w:r w:rsidRPr="00953F7D">
              <w:rPr>
                <w:bCs/>
                <w:iCs/>
              </w:rPr>
              <w:t>Common Equity Tier 1 Capital (CET1)</w:t>
            </w:r>
          </w:p>
        </w:tc>
        <w:tc>
          <w:tcPr>
            <w:tcW w:w="851" w:type="dxa"/>
            <w:tcBorders>
              <w:top w:val="single" w:sz="4" w:space="0" w:color="auto"/>
              <w:left w:val="single" w:sz="4" w:space="0" w:color="auto"/>
              <w:bottom w:val="single" w:sz="4" w:space="0" w:color="auto"/>
              <w:right w:val="single" w:sz="4" w:space="0" w:color="auto"/>
            </w:tcBorders>
          </w:tcPr>
          <w:p w14:paraId="49D046C9" w14:textId="77777777" w:rsidR="00742F5F" w:rsidRPr="00953F7D" w:rsidRDefault="00742F5F" w:rsidP="009164E6">
            <w:pPr>
              <w:jc w:val="both"/>
              <w:rPr>
                <w:bCs/>
              </w:rPr>
            </w:pPr>
          </w:p>
        </w:tc>
      </w:tr>
      <w:tr w:rsidR="00742F5F" w:rsidRPr="00953F7D" w14:paraId="49D046CC" w14:textId="77777777" w:rsidTr="009C3F64">
        <w:tc>
          <w:tcPr>
            <w:tcW w:w="822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49D046CB" w14:textId="77777777" w:rsidR="00742F5F" w:rsidRPr="00953F7D" w:rsidRDefault="00742F5F" w:rsidP="00516BD3">
            <w:pPr>
              <w:ind w:left="11" w:firstLine="0"/>
              <w:jc w:val="both"/>
              <w:rPr>
                <w:bCs/>
                <w:iCs/>
              </w:rPr>
            </w:pPr>
            <w:r w:rsidRPr="00953F7D">
              <w:rPr>
                <w:bCs/>
                <w:iCs/>
              </w:rPr>
              <w:t>Additional Tier 1 Capital: instruments</w:t>
            </w:r>
          </w:p>
        </w:tc>
      </w:tr>
      <w:tr w:rsidR="00742F5F" w:rsidRPr="00953F7D" w14:paraId="49D046D0"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CD" w14:textId="77777777" w:rsidR="00742F5F" w:rsidRPr="00953F7D" w:rsidRDefault="00742F5F" w:rsidP="009164E6">
            <w:pPr>
              <w:jc w:val="both"/>
              <w:rPr>
                <w:bCs/>
              </w:rPr>
            </w:pPr>
            <w:r w:rsidRPr="00953F7D">
              <w:rPr>
                <w:bCs/>
              </w:rPr>
              <w:t>30</w:t>
            </w:r>
          </w:p>
        </w:tc>
        <w:tc>
          <w:tcPr>
            <w:tcW w:w="6237" w:type="dxa"/>
            <w:tcBorders>
              <w:top w:val="single" w:sz="4" w:space="0" w:color="auto"/>
              <w:left w:val="single" w:sz="4" w:space="0" w:color="auto"/>
              <w:bottom w:val="single" w:sz="4" w:space="0" w:color="auto"/>
              <w:right w:val="single" w:sz="4" w:space="0" w:color="auto"/>
            </w:tcBorders>
            <w:hideMark/>
          </w:tcPr>
          <w:p w14:paraId="49D046CE" w14:textId="77777777" w:rsidR="00742F5F" w:rsidRPr="00953F7D" w:rsidRDefault="00742F5F" w:rsidP="00516BD3">
            <w:pPr>
              <w:ind w:left="11" w:firstLine="0"/>
              <w:jc w:val="both"/>
              <w:rPr>
                <w:bCs/>
                <w:iCs/>
              </w:rPr>
            </w:pPr>
            <w:r w:rsidRPr="00953F7D">
              <w:rPr>
                <w:bCs/>
                <w:iCs/>
              </w:rPr>
              <w:t xml:space="preserve">Directly issued qualifying Additional Tier 1 instruments </w:t>
            </w:r>
          </w:p>
        </w:tc>
        <w:tc>
          <w:tcPr>
            <w:tcW w:w="851" w:type="dxa"/>
            <w:tcBorders>
              <w:top w:val="single" w:sz="4" w:space="0" w:color="auto"/>
              <w:left w:val="single" w:sz="4" w:space="0" w:color="auto"/>
              <w:bottom w:val="single" w:sz="4" w:space="0" w:color="auto"/>
              <w:right w:val="single" w:sz="4" w:space="0" w:color="auto"/>
            </w:tcBorders>
          </w:tcPr>
          <w:p w14:paraId="49D046CF" w14:textId="77777777" w:rsidR="00742F5F" w:rsidRPr="00953F7D" w:rsidRDefault="00742F5F" w:rsidP="009164E6">
            <w:pPr>
              <w:jc w:val="both"/>
              <w:rPr>
                <w:bCs/>
              </w:rPr>
            </w:pPr>
          </w:p>
        </w:tc>
      </w:tr>
      <w:tr w:rsidR="00742F5F" w:rsidRPr="00953F7D" w14:paraId="49D046D4"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D1" w14:textId="77777777" w:rsidR="00742F5F" w:rsidRPr="00953F7D" w:rsidRDefault="00742F5F" w:rsidP="009164E6">
            <w:pPr>
              <w:jc w:val="both"/>
              <w:rPr>
                <w:bCs/>
              </w:rPr>
            </w:pPr>
            <w:r w:rsidRPr="00953F7D">
              <w:rPr>
                <w:bCs/>
              </w:rPr>
              <w:t>31</w:t>
            </w:r>
          </w:p>
        </w:tc>
        <w:tc>
          <w:tcPr>
            <w:tcW w:w="6237" w:type="dxa"/>
            <w:tcBorders>
              <w:top w:val="single" w:sz="4" w:space="0" w:color="auto"/>
              <w:left w:val="single" w:sz="4" w:space="0" w:color="auto"/>
              <w:bottom w:val="single" w:sz="4" w:space="0" w:color="auto"/>
              <w:right w:val="single" w:sz="4" w:space="0" w:color="auto"/>
            </w:tcBorders>
            <w:hideMark/>
          </w:tcPr>
          <w:p w14:paraId="49D046D2" w14:textId="77777777" w:rsidR="00742F5F" w:rsidRPr="00953F7D" w:rsidRDefault="00742F5F" w:rsidP="00A356A9">
            <w:pPr>
              <w:ind w:left="294" w:firstLine="0"/>
              <w:jc w:val="both"/>
              <w:rPr>
                <w:bCs/>
                <w:iCs/>
              </w:rPr>
            </w:pPr>
            <w:r w:rsidRPr="00953F7D">
              <w:rPr>
                <w:bCs/>
                <w:iCs/>
              </w:rPr>
              <w:t>of which: classified as equity under applicable accounting standards</w:t>
            </w:r>
          </w:p>
        </w:tc>
        <w:tc>
          <w:tcPr>
            <w:tcW w:w="851" w:type="dxa"/>
            <w:tcBorders>
              <w:top w:val="single" w:sz="4" w:space="0" w:color="auto"/>
              <w:left w:val="single" w:sz="4" w:space="0" w:color="auto"/>
              <w:bottom w:val="single" w:sz="4" w:space="0" w:color="auto"/>
              <w:right w:val="single" w:sz="4" w:space="0" w:color="auto"/>
            </w:tcBorders>
          </w:tcPr>
          <w:p w14:paraId="49D046D3" w14:textId="77777777" w:rsidR="00742F5F" w:rsidRPr="00953F7D" w:rsidRDefault="00742F5F" w:rsidP="009164E6">
            <w:pPr>
              <w:jc w:val="both"/>
              <w:rPr>
                <w:bCs/>
              </w:rPr>
            </w:pPr>
          </w:p>
        </w:tc>
      </w:tr>
      <w:tr w:rsidR="00742F5F" w:rsidRPr="00953F7D" w14:paraId="49D046D8"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D5" w14:textId="77777777" w:rsidR="00742F5F" w:rsidRPr="00464374" w:rsidRDefault="00742F5F" w:rsidP="009164E6">
            <w:pPr>
              <w:jc w:val="both"/>
              <w:rPr>
                <w:bCs/>
              </w:rPr>
            </w:pPr>
            <w:r w:rsidRPr="00464374">
              <w:rPr>
                <w:bCs/>
              </w:rPr>
              <w:t>32</w:t>
            </w:r>
          </w:p>
        </w:tc>
        <w:tc>
          <w:tcPr>
            <w:tcW w:w="6237" w:type="dxa"/>
            <w:tcBorders>
              <w:top w:val="single" w:sz="4" w:space="0" w:color="auto"/>
              <w:left w:val="single" w:sz="4" w:space="0" w:color="auto"/>
              <w:bottom w:val="single" w:sz="4" w:space="0" w:color="auto"/>
              <w:right w:val="single" w:sz="4" w:space="0" w:color="auto"/>
            </w:tcBorders>
            <w:hideMark/>
          </w:tcPr>
          <w:p w14:paraId="49D046D6" w14:textId="77777777" w:rsidR="00742F5F" w:rsidRPr="00953F7D" w:rsidRDefault="00742F5F" w:rsidP="00A356A9">
            <w:pPr>
              <w:ind w:left="294" w:firstLine="0"/>
              <w:jc w:val="both"/>
              <w:rPr>
                <w:bCs/>
                <w:iCs/>
              </w:rPr>
            </w:pPr>
            <w:r w:rsidRPr="00953F7D">
              <w:rPr>
                <w:bCs/>
                <w:iCs/>
              </w:rPr>
              <w:t>of which: classified as liabilities under applicable accounting standards</w:t>
            </w:r>
          </w:p>
        </w:tc>
        <w:tc>
          <w:tcPr>
            <w:tcW w:w="851" w:type="dxa"/>
            <w:tcBorders>
              <w:top w:val="single" w:sz="4" w:space="0" w:color="auto"/>
              <w:left w:val="single" w:sz="4" w:space="0" w:color="auto"/>
              <w:bottom w:val="single" w:sz="4" w:space="0" w:color="auto"/>
              <w:right w:val="single" w:sz="4" w:space="0" w:color="auto"/>
            </w:tcBorders>
          </w:tcPr>
          <w:p w14:paraId="49D046D7" w14:textId="77777777" w:rsidR="00742F5F" w:rsidRPr="00953F7D" w:rsidRDefault="00742F5F" w:rsidP="009164E6">
            <w:pPr>
              <w:jc w:val="both"/>
              <w:rPr>
                <w:bCs/>
              </w:rPr>
            </w:pPr>
          </w:p>
        </w:tc>
      </w:tr>
      <w:tr w:rsidR="00742F5F" w:rsidRPr="00953F7D" w14:paraId="49D046DC"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D9" w14:textId="77777777" w:rsidR="00742F5F" w:rsidRPr="00464374" w:rsidRDefault="00742F5F" w:rsidP="009164E6">
            <w:pPr>
              <w:jc w:val="both"/>
              <w:rPr>
                <w:bCs/>
              </w:rPr>
            </w:pPr>
            <w:r w:rsidRPr="00464374">
              <w:rPr>
                <w:bCs/>
              </w:rPr>
              <w:t>33</w:t>
            </w:r>
          </w:p>
        </w:tc>
        <w:tc>
          <w:tcPr>
            <w:tcW w:w="6237" w:type="dxa"/>
            <w:tcBorders>
              <w:top w:val="single" w:sz="4" w:space="0" w:color="auto"/>
              <w:left w:val="single" w:sz="4" w:space="0" w:color="auto"/>
              <w:bottom w:val="single" w:sz="4" w:space="0" w:color="auto"/>
              <w:right w:val="single" w:sz="4" w:space="0" w:color="auto"/>
            </w:tcBorders>
            <w:hideMark/>
          </w:tcPr>
          <w:p w14:paraId="49D046DA" w14:textId="77777777" w:rsidR="00742F5F" w:rsidRPr="00953F7D" w:rsidRDefault="00742F5F" w:rsidP="00516BD3">
            <w:pPr>
              <w:ind w:left="11" w:firstLine="0"/>
              <w:jc w:val="both"/>
              <w:rPr>
                <w:bCs/>
                <w:i/>
                <w:iCs/>
              </w:rPr>
            </w:pPr>
            <w:r w:rsidRPr="00953F7D">
              <w:rPr>
                <w:bCs/>
                <w:i/>
                <w:iCs/>
              </w:rPr>
              <w:t>Directly issued capital instruments subject to phase out from Additional Tier 1</w:t>
            </w:r>
          </w:p>
        </w:tc>
        <w:tc>
          <w:tcPr>
            <w:tcW w:w="851" w:type="dxa"/>
            <w:tcBorders>
              <w:top w:val="single" w:sz="4" w:space="0" w:color="auto"/>
              <w:left w:val="single" w:sz="4" w:space="0" w:color="auto"/>
              <w:bottom w:val="single" w:sz="4" w:space="0" w:color="auto"/>
              <w:right w:val="single" w:sz="4" w:space="0" w:color="auto"/>
            </w:tcBorders>
          </w:tcPr>
          <w:p w14:paraId="49D046DB" w14:textId="77777777" w:rsidR="00742F5F" w:rsidRPr="00953F7D" w:rsidRDefault="00742F5F" w:rsidP="009164E6">
            <w:pPr>
              <w:jc w:val="both"/>
              <w:rPr>
                <w:bCs/>
                <w:i/>
              </w:rPr>
            </w:pPr>
          </w:p>
        </w:tc>
      </w:tr>
      <w:tr w:rsidR="00742F5F" w:rsidRPr="00953F7D" w14:paraId="49D046E0"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DD" w14:textId="77777777" w:rsidR="00742F5F" w:rsidRPr="00953F7D" w:rsidRDefault="00742F5F" w:rsidP="009164E6">
            <w:pPr>
              <w:jc w:val="both"/>
              <w:rPr>
                <w:bCs/>
              </w:rPr>
            </w:pPr>
            <w:r w:rsidRPr="00953F7D">
              <w:rPr>
                <w:bCs/>
              </w:rPr>
              <w:t>34</w:t>
            </w:r>
          </w:p>
        </w:tc>
        <w:tc>
          <w:tcPr>
            <w:tcW w:w="6237" w:type="dxa"/>
            <w:tcBorders>
              <w:top w:val="single" w:sz="4" w:space="0" w:color="auto"/>
              <w:left w:val="single" w:sz="4" w:space="0" w:color="auto"/>
              <w:bottom w:val="single" w:sz="4" w:space="0" w:color="auto"/>
              <w:right w:val="single" w:sz="4" w:space="0" w:color="auto"/>
            </w:tcBorders>
            <w:hideMark/>
          </w:tcPr>
          <w:p w14:paraId="49D046DE" w14:textId="77777777" w:rsidR="00742F5F" w:rsidRPr="00953F7D" w:rsidRDefault="00742F5F" w:rsidP="00516BD3">
            <w:pPr>
              <w:ind w:left="11" w:firstLine="0"/>
              <w:jc w:val="both"/>
              <w:rPr>
                <w:bCs/>
                <w:iCs/>
              </w:rPr>
            </w:pPr>
            <w:r w:rsidRPr="00953F7D">
              <w:rPr>
                <w:bCs/>
                <w:iCs/>
              </w:rPr>
              <w:t>Additional Tier 1 instruments (and CET1 instruments not included in row 5) issued by subsidiaries and held by third parties (amount allowed in group AT1)</w:t>
            </w:r>
          </w:p>
        </w:tc>
        <w:tc>
          <w:tcPr>
            <w:tcW w:w="851" w:type="dxa"/>
            <w:tcBorders>
              <w:top w:val="single" w:sz="4" w:space="0" w:color="auto"/>
              <w:left w:val="single" w:sz="4" w:space="0" w:color="auto"/>
              <w:bottom w:val="single" w:sz="4" w:space="0" w:color="auto"/>
              <w:right w:val="single" w:sz="4" w:space="0" w:color="auto"/>
            </w:tcBorders>
          </w:tcPr>
          <w:p w14:paraId="49D046DF" w14:textId="77777777" w:rsidR="00742F5F" w:rsidRPr="00953F7D" w:rsidRDefault="00742F5F" w:rsidP="009164E6">
            <w:pPr>
              <w:jc w:val="both"/>
              <w:rPr>
                <w:bCs/>
              </w:rPr>
            </w:pPr>
          </w:p>
        </w:tc>
      </w:tr>
      <w:tr w:rsidR="00742F5F" w:rsidRPr="00953F7D" w14:paraId="49D046E4"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E1" w14:textId="77777777" w:rsidR="00742F5F" w:rsidRPr="00953F7D" w:rsidRDefault="00742F5F" w:rsidP="009164E6">
            <w:pPr>
              <w:jc w:val="both"/>
              <w:rPr>
                <w:bCs/>
              </w:rPr>
            </w:pPr>
            <w:r w:rsidRPr="00953F7D">
              <w:rPr>
                <w:bCs/>
              </w:rPr>
              <w:t>35</w:t>
            </w:r>
          </w:p>
        </w:tc>
        <w:tc>
          <w:tcPr>
            <w:tcW w:w="6237" w:type="dxa"/>
            <w:tcBorders>
              <w:top w:val="single" w:sz="4" w:space="0" w:color="auto"/>
              <w:left w:val="single" w:sz="4" w:space="0" w:color="auto"/>
              <w:bottom w:val="single" w:sz="4" w:space="0" w:color="auto"/>
              <w:right w:val="single" w:sz="4" w:space="0" w:color="auto"/>
            </w:tcBorders>
            <w:hideMark/>
          </w:tcPr>
          <w:p w14:paraId="49D046E2" w14:textId="77777777" w:rsidR="00742F5F" w:rsidRPr="00953F7D" w:rsidRDefault="00742F5F" w:rsidP="00A356A9">
            <w:pPr>
              <w:ind w:left="294" w:firstLine="0"/>
              <w:jc w:val="both"/>
              <w:rPr>
                <w:bCs/>
                <w:iCs/>
              </w:rPr>
            </w:pPr>
            <w:r w:rsidRPr="00953F7D">
              <w:rPr>
                <w:bCs/>
                <w:iCs/>
              </w:rPr>
              <w:t>of which: instruments issued by subsidiaries subject to phase out</w:t>
            </w:r>
          </w:p>
        </w:tc>
        <w:tc>
          <w:tcPr>
            <w:tcW w:w="851" w:type="dxa"/>
            <w:tcBorders>
              <w:top w:val="single" w:sz="4" w:space="0" w:color="auto"/>
              <w:left w:val="single" w:sz="4" w:space="0" w:color="auto"/>
              <w:bottom w:val="single" w:sz="4" w:space="0" w:color="auto"/>
              <w:right w:val="single" w:sz="4" w:space="0" w:color="auto"/>
            </w:tcBorders>
          </w:tcPr>
          <w:p w14:paraId="49D046E3" w14:textId="77777777" w:rsidR="00742F5F" w:rsidRPr="00953F7D" w:rsidRDefault="00742F5F" w:rsidP="009164E6">
            <w:pPr>
              <w:jc w:val="both"/>
              <w:rPr>
                <w:bCs/>
              </w:rPr>
            </w:pPr>
          </w:p>
        </w:tc>
      </w:tr>
      <w:tr w:rsidR="00742F5F" w:rsidRPr="00953F7D" w14:paraId="49D046E8"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E5" w14:textId="77777777" w:rsidR="00742F5F" w:rsidRPr="00953F7D" w:rsidRDefault="00742F5F" w:rsidP="009164E6">
            <w:pPr>
              <w:jc w:val="both"/>
              <w:rPr>
                <w:bCs/>
              </w:rPr>
            </w:pPr>
            <w:r w:rsidRPr="00953F7D">
              <w:rPr>
                <w:bCs/>
              </w:rPr>
              <w:t>36</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6E6" w14:textId="77777777" w:rsidR="00742F5F" w:rsidRPr="00953F7D" w:rsidRDefault="00742F5F" w:rsidP="00516BD3">
            <w:pPr>
              <w:ind w:left="11" w:firstLine="0"/>
              <w:jc w:val="both"/>
              <w:rPr>
                <w:bCs/>
                <w:iCs/>
              </w:rPr>
            </w:pPr>
            <w:r w:rsidRPr="00953F7D">
              <w:rPr>
                <w:bCs/>
                <w:iCs/>
              </w:rPr>
              <w:t>Additional Tier 1 Capital before regulatory adjustments</w:t>
            </w:r>
          </w:p>
        </w:tc>
        <w:tc>
          <w:tcPr>
            <w:tcW w:w="851" w:type="dxa"/>
            <w:tcBorders>
              <w:top w:val="single" w:sz="4" w:space="0" w:color="auto"/>
              <w:left w:val="single" w:sz="4" w:space="0" w:color="auto"/>
              <w:bottom w:val="single" w:sz="4" w:space="0" w:color="auto"/>
              <w:right w:val="single" w:sz="4" w:space="0" w:color="auto"/>
            </w:tcBorders>
          </w:tcPr>
          <w:p w14:paraId="49D046E7" w14:textId="77777777" w:rsidR="00742F5F" w:rsidRPr="00953F7D" w:rsidRDefault="00742F5F" w:rsidP="009164E6">
            <w:pPr>
              <w:jc w:val="both"/>
              <w:rPr>
                <w:bCs/>
              </w:rPr>
            </w:pPr>
          </w:p>
        </w:tc>
      </w:tr>
      <w:tr w:rsidR="00742F5F" w:rsidRPr="00953F7D" w14:paraId="49D046EA" w14:textId="77777777" w:rsidTr="009C3F64">
        <w:tc>
          <w:tcPr>
            <w:tcW w:w="822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49D046E9" w14:textId="77777777" w:rsidR="00742F5F" w:rsidRPr="00953F7D" w:rsidRDefault="00742F5F" w:rsidP="00516BD3">
            <w:pPr>
              <w:ind w:left="11" w:firstLine="0"/>
              <w:jc w:val="both"/>
              <w:rPr>
                <w:bCs/>
                <w:iCs/>
              </w:rPr>
            </w:pPr>
            <w:r w:rsidRPr="00953F7D">
              <w:rPr>
                <w:bCs/>
                <w:iCs/>
              </w:rPr>
              <w:t>Additional Tier 1 Capital: regulatory adjustments</w:t>
            </w:r>
          </w:p>
        </w:tc>
      </w:tr>
      <w:tr w:rsidR="00742F5F" w:rsidRPr="00953F7D" w14:paraId="49D046EE"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EB" w14:textId="77777777" w:rsidR="00742F5F" w:rsidRPr="00953F7D" w:rsidRDefault="00742F5F" w:rsidP="009164E6">
            <w:pPr>
              <w:jc w:val="both"/>
              <w:rPr>
                <w:bCs/>
              </w:rPr>
            </w:pPr>
            <w:r w:rsidRPr="00953F7D">
              <w:rPr>
                <w:bCs/>
              </w:rPr>
              <w:t>37</w:t>
            </w:r>
          </w:p>
        </w:tc>
        <w:tc>
          <w:tcPr>
            <w:tcW w:w="6237" w:type="dxa"/>
            <w:tcBorders>
              <w:top w:val="single" w:sz="4" w:space="0" w:color="auto"/>
              <w:left w:val="single" w:sz="4" w:space="0" w:color="auto"/>
              <w:bottom w:val="single" w:sz="4" w:space="0" w:color="auto"/>
              <w:right w:val="single" w:sz="4" w:space="0" w:color="auto"/>
            </w:tcBorders>
            <w:hideMark/>
          </w:tcPr>
          <w:p w14:paraId="49D046EC" w14:textId="77777777" w:rsidR="00742F5F" w:rsidRPr="00953F7D" w:rsidRDefault="00742F5F" w:rsidP="00516BD3">
            <w:pPr>
              <w:ind w:left="11" w:firstLine="0"/>
              <w:jc w:val="both"/>
              <w:rPr>
                <w:bCs/>
                <w:iCs/>
              </w:rPr>
            </w:pPr>
            <w:r w:rsidRPr="00953F7D">
              <w:rPr>
                <w:bCs/>
                <w:iCs/>
              </w:rPr>
              <w:t>Investments in own Additional Tier 1 instruments</w:t>
            </w:r>
          </w:p>
        </w:tc>
        <w:tc>
          <w:tcPr>
            <w:tcW w:w="851" w:type="dxa"/>
            <w:tcBorders>
              <w:top w:val="single" w:sz="4" w:space="0" w:color="auto"/>
              <w:left w:val="single" w:sz="4" w:space="0" w:color="auto"/>
              <w:bottom w:val="single" w:sz="4" w:space="0" w:color="auto"/>
              <w:right w:val="single" w:sz="4" w:space="0" w:color="auto"/>
            </w:tcBorders>
          </w:tcPr>
          <w:p w14:paraId="49D046ED" w14:textId="77777777" w:rsidR="00742F5F" w:rsidRPr="00953F7D" w:rsidRDefault="00742F5F" w:rsidP="009164E6">
            <w:pPr>
              <w:jc w:val="both"/>
              <w:rPr>
                <w:bCs/>
              </w:rPr>
            </w:pPr>
          </w:p>
        </w:tc>
      </w:tr>
      <w:tr w:rsidR="00742F5F" w:rsidRPr="00953F7D" w14:paraId="49D046F2"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EF" w14:textId="77777777" w:rsidR="00742F5F" w:rsidRPr="00953F7D" w:rsidRDefault="00742F5F" w:rsidP="009164E6">
            <w:pPr>
              <w:jc w:val="both"/>
              <w:rPr>
                <w:bCs/>
              </w:rPr>
            </w:pPr>
            <w:r w:rsidRPr="00953F7D">
              <w:rPr>
                <w:bCs/>
              </w:rPr>
              <w:t>38</w:t>
            </w:r>
          </w:p>
        </w:tc>
        <w:tc>
          <w:tcPr>
            <w:tcW w:w="6237" w:type="dxa"/>
            <w:tcBorders>
              <w:top w:val="single" w:sz="4" w:space="0" w:color="auto"/>
              <w:left w:val="single" w:sz="4" w:space="0" w:color="auto"/>
              <w:bottom w:val="single" w:sz="4" w:space="0" w:color="auto"/>
              <w:right w:val="single" w:sz="4" w:space="0" w:color="auto"/>
            </w:tcBorders>
            <w:hideMark/>
          </w:tcPr>
          <w:p w14:paraId="49D046F0" w14:textId="77777777" w:rsidR="00742F5F" w:rsidRPr="00953F7D" w:rsidRDefault="00742F5F" w:rsidP="00516BD3">
            <w:pPr>
              <w:ind w:left="11" w:firstLine="0"/>
              <w:jc w:val="both"/>
              <w:rPr>
                <w:bCs/>
                <w:iCs/>
              </w:rPr>
            </w:pPr>
            <w:r w:rsidRPr="00953F7D">
              <w:rPr>
                <w:bCs/>
                <w:iCs/>
              </w:rPr>
              <w:t>Reciprocal cross-holdings in Additional Tier 1 instruments</w:t>
            </w:r>
          </w:p>
        </w:tc>
        <w:tc>
          <w:tcPr>
            <w:tcW w:w="851" w:type="dxa"/>
            <w:tcBorders>
              <w:top w:val="single" w:sz="4" w:space="0" w:color="auto"/>
              <w:left w:val="single" w:sz="4" w:space="0" w:color="auto"/>
              <w:bottom w:val="single" w:sz="4" w:space="0" w:color="auto"/>
              <w:right w:val="single" w:sz="4" w:space="0" w:color="auto"/>
            </w:tcBorders>
          </w:tcPr>
          <w:p w14:paraId="49D046F1" w14:textId="77777777" w:rsidR="00742F5F" w:rsidRPr="00953F7D" w:rsidRDefault="00742F5F" w:rsidP="009164E6">
            <w:pPr>
              <w:jc w:val="both"/>
              <w:rPr>
                <w:bCs/>
              </w:rPr>
            </w:pPr>
          </w:p>
        </w:tc>
      </w:tr>
      <w:tr w:rsidR="00742F5F" w:rsidRPr="00953F7D" w14:paraId="49D046F6"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F3" w14:textId="77777777" w:rsidR="00742F5F" w:rsidRPr="00953F7D" w:rsidRDefault="00742F5F" w:rsidP="009164E6">
            <w:pPr>
              <w:jc w:val="both"/>
              <w:rPr>
                <w:bCs/>
              </w:rPr>
            </w:pPr>
            <w:r w:rsidRPr="00953F7D">
              <w:rPr>
                <w:bCs/>
              </w:rPr>
              <w:t>39</w:t>
            </w:r>
          </w:p>
        </w:tc>
        <w:tc>
          <w:tcPr>
            <w:tcW w:w="6237" w:type="dxa"/>
            <w:tcBorders>
              <w:top w:val="single" w:sz="4" w:space="0" w:color="auto"/>
              <w:left w:val="single" w:sz="4" w:space="0" w:color="auto"/>
              <w:bottom w:val="single" w:sz="4" w:space="0" w:color="auto"/>
              <w:right w:val="single" w:sz="4" w:space="0" w:color="auto"/>
            </w:tcBorders>
            <w:hideMark/>
          </w:tcPr>
          <w:p w14:paraId="49D046F4" w14:textId="77777777" w:rsidR="00742F5F" w:rsidRPr="00953F7D" w:rsidRDefault="00742F5F" w:rsidP="00516BD3">
            <w:pPr>
              <w:ind w:left="11" w:firstLine="0"/>
              <w:jc w:val="both"/>
              <w:rPr>
                <w:bCs/>
                <w:iCs/>
              </w:rPr>
            </w:pPr>
            <w:r w:rsidRPr="00953F7D">
              <w:rPr>
                <w:bCs/>
                <w:iCs/>
              </w:rPr>
              <w:t>Investments in the capital of banking, financial and insurance entities that are outside the scope of regulatory consolidation, net of eligible short positions, where the ADI does not own more than 10% of the issued share capital (amount above 10% threshold)</w:t>
            </w:r>
          </w:p>
        </w:tc>
        <w:tc>
          <w:tcPr>
            <w:tcW w:w="851" w:type="dxa"/>
            <w:tcBorders>
              <w:top w:val="single" w:sz="4" w:space="0" w:color="auto"/>
              <w:left w:val="single" w:sz="4" w:space="0" w:color="auto"/>
              <w:bottom w:val="single" w:sz="4" w:space="0" w:color="auto"/>
              <w:right w:val="single" w:sz="4" w:space="0" w:color="auto"/>
            </w:tcBorders>
          </w:tcPr>
          <w:p w14:paraId="49D046F5" w14:textId="77777777" w:rsidR="00742F5F" w:rsidRPr="00953F7D" w:rsidRDefault="00742F5F" w:rsidP="009164E6">
            <w:pPr>
              <w:jc w:val="both"/>
              <w:rPr>
                <w:bCs/>
              </w:rPr>
            </w:pPr>
          </w:p>
        </w:tc>
      </w:tr>
      <w:tr w:rsidR="00742F5F" w:rsidRPr="00953F7D" w14:paraId="49D046FA"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F7" w14:textId="77777777" w:rsidR="00742F5F" w:rsidRPr="00953F7D" w:rsidRDefault="00742F5F" w:rsidP="009164E6">
            <w:pPr>
              <w:jc w:val="both"/>
              <w:rPr>
                <w:bCs/>
              </w:rPr>
            </w:pPr>
            <w:r w:rsidRPr="00953F7D">
              <w:rPr>
                <w:bCs/>
              </w:rPr>
              <w:t>40</w:t>
            </w:r>
          </w:p>
        </w:tc>
        <w:tc>
          <w:tcPr>
            <w:tcW w:w="6237" w:type="dxa"/>
            <w:tcBorders>
              <w:top w:val="single" w:sz="4" w:space="0" w:color="auto"/>
              <w:left w:val="single" w:sz="4" w:space="0" w:color="auto"/>
              <w:bottom w:val="single" w:sz="4" w:space="0" w:color="auto"/>
              <w:right w:val="single" w:sz="4" w:space="0" w:color="auto"/>
            </w:tcBorders>
            <w:hideMark/>
          </w:tcPr>
          <w:p w14:paraId="49D046F8" w14:textId="77777777" w:rsidR="00742F5F" w:rsidRPr="00953F7D" w:rsidRDefault="00742F5F" w:rsidP="00516BD3">
            <w:pPr>
              <w:ind w:left="11" w:firstLine="0"/>
              <w:jc w:val="both"/>
              <w:rPr>
                <w:bCs/>
                <w:iCs/>
              </w:rPr>
            </w:pPr>
            <w:r w:rsidRPr="00953F7D">
              <w:rPr>
                <w:bCs/>
                <w:iCs/>
              </w:rPr>
              <w:t xml:space="preserve">Significant investments in the capital of banking, financial and insurance entities that are outside the scope of regulatory consolidation (net of eligible short positions) </w:t>
            </w:r>
          </w:p>
        </w:tc>
        <w:tc>
          <w:tcPr>
            <w:tcW w:w="851" w:type="dxa"/>
            <w:tcBorders>
              <w:top w:val="single" w:sz="4" w:space="0" w:color="auto"/>
              <w:left w:val="single" w:sz="4" w:space="0" w:color="auto"/>
              <w:bottom w:val="single" w:sz="4" w:space="0" w:color="auto"/>
              <w:right w:val="single" w:sz="4" w:space="0" w:color="auto"/>
            </w:tcBorders>
          </w:tcPr>
          <w:p w14:paraId="49D046F9" w14:textId="77777777" w:rsidR="00742F5F" w:rsidRPr="00953F7D" w:rsidRDefault="00742F5F" w:rsidP="009164E6">
            <w:pPr>
              <w:jc w:val="both"/>
              <w:rPr>
                <w:bCs/>
              </w:rPr>
            </w:pPr>
          </w:p>
        </w:tc>
      </w:tr>
      <w:tr w:rsidR="00742F5F" w:rsidRPr="00953F7D" w14:paraId="49D046FE"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6FB" w14:textId="77777777" w:rsidR="00742F5F" w:rsidRPr="00953F7D" w:rsidRDefault="00742F5F" w:rsidP="009164E6">
            <w:pPr>
              <w:jc w:val="both"/>
              <w:rPr>
                <w:bCs/>
              </w:rPr>
            </w:pPr>
            <w:r w:rsidRPr="00953F7D">
              <w:rPr>
                <w:bCs/>
              </w:rPr>
              <w:t>41</w:t>
            </w:r>
          </w:p>
        </w:tc>
        <w:tc>
          <w:tcPr>
            <w:tcW w:w="6237" w:type="dxa"/>
            <w:tcBorders>
              <w:top w:val="single" w:sz="4" w:space="0" w:color="auto"/>
              <w:left w:val="single" w:sz="4" w:space="0" w:color="auto"/>
              <w:bottom w:val="single" w:sz="4" w:space="0" w:color="auto"/>
              <w:right w:val="single" w:sz="4" w:space="0" w:color="auto"/>
            </w:tcBorders>
            <w:hideMark/>
          </w:tcPr>
          <w:p w14:paraId="49D046FC" w14:textId="77777777" w:rsidR="00742F5F" w:rsidRPr="00953F7D" w:rsidRDefault="00742F5F" w:rsidP="00516BD3">
            <w:pPr>
              <w:ind w:left="11" w:firstLine="0"/>
              <w:jc w:val="both"/>
              <w:rPr>
                <w:bCs/>
                <w:iCs/>
              </w:rPr>
            </w:pPr>
            <w:r w:rsidRPr="00953F7D">
              <w:rPr>
                <w:bCs/>
                <w:iCs/>
              </w:rPr>
              <w:t>National specific regulatory adjustments (sum of rows 41a, 41b and 41c)</w:t>
            </w:r>
          </w:p>
        </w:tc>
        <w:tc>
          <w:tcPr>
            <w:tcW w:w="851" w:type="dxa"/>
            <w:tcBorders>
              <w:top w:val="single" w:sz="4" w:space="0" w:color="auto"/>
              <w:left w:val="single" w:sz="4" w:space="0" w:color="auto"/>
              <w:bottom w:val="single" w:sz="4" w:space="0" w:color="auto"/>
              <w:right w:val="single" w:sz="4" w:space="0" w:color="auto"/>
            </w:tcBorders>
            <w:hideMark/>
          </w:tcPr>
          <w:p w14:paraId="49D046FD" w14:textId="77777777" w:rsidR="00742F5F" w:rsidRPr="00953F7D" w:rsidRDefault="00742F5F" w:rsidP="009164E6">
            <w:pPr>
              <w:jc w:val="both"/>
              <w:rPr>
                <w:bCs/>
              </w:rPr>
            </w:pPr>
          </w:p>
        </w:tc>
      </w:tr>
      <w:tr w:rsidR="00742F5F" w:rsidRPr="00953F7D" w14:paraId="49D04702" w14:textId="77777777" w:rsidTr="009C3F64">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6FF" w14:textId="77777777" w:rsidR="00742F5F" w:rsidRPr="00953F7D" w:rsidRDefault="00742F5F" w:rsidP="009164E6">
            <w:pPr>
              <w:jc w:val="both"/>
              <w:rPr>
                <w:bCs/>
              </w:rPr>
            </w:pPr>
            <w:r w:rsidRPr="00953F7D">
              <w:rPr>
                <w:bCs/>
              </w:rPr>
              <w:t>41a</w:t>
            </w:r>
          </w:p>
        </w:tc>
        <w:tc>
          <w:tcPr>
            <w:tcW w:w="6237" w:type="dxa"/>
            <w:tcBorders>
              <w:top w:val="single" w:sz="4" w:space="0" w:color="auto"/>
              <w:left w:val="single" w:sz="4" w:space="0" w:color="auto"/>
              <w:bottom w:val="single" w:sz="4" w:space="0" w:color="auto"/>
              <w:right w:val="single" w:sz="4" w:space="0" w:color="auto"/>
            </w:tcBorders>
            <w:shd w:val="clear" w:color="auto" w:fill="auto"/>
            <w:hideMark/>
          </w:tcPr>
          <w:p w14:paraId="49D04700" w14:textId="77777777" w:rsidR="00742F5F" w:rsidRPr="00953F7D" w:rsidRDefault="00742F5F" w:rsidP="00A356A9">
            <w:pPr>
              <w:ind w:left="294" w:firstLine="0"/>
              <w:jc w:val="both"/>
              <w:rPr>
                <w:bCs/>
                <w:iCs/>
              </w:rPr>
            </w:pPr>
            <w:r w:rsidRPr="00953F7D">
              <w:rPr>
                <w:bCs/>
                <w:iCs/>
              </w:rPr>
              <w:t xml:space="preserve">of which: holdings of capital instruments in group members by other group members on behalf of third parties </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9D04701" w14:textId="77777777" w:rsidR="00742F5F" w:rsidRPr="00953F7D" w:rsidRDefault="00742F5F" w:rsidP="009164E6">
            <w:pPr>
              <w:jc w:val="both"/>
              <w:rPr>
                <w:bCs/>
              </w:rPr>
            </w:pPr>
          </w:p>
        </w:tc>
      </w:tr>
      <w:tr w:rsidR="00742F5F" w:rsidRPr="00953F7D" w14:paraId="49D04706" w14:textId="77777777" w:rsidTr="009C3F64">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703" w14:textId="77777777" w:rsidR="00742F5F" w:rsidRPr="00953F7D" w:rsidRDefault="00742F5F" w:rsidP="009164E6">
            <w:pPr>
              <w:jc w:val="both"/>
              <w:rPr>
                <w:bCs/>
              </w:rPr>
            </w:pPr>
            <w:r w:rsidRPr="00953F7D">
              <w:rPr>
                <w:bCs/>
              </w:rPr>
              <w:t>41b</w:t>
            </w:r>
          </w:p>
        </w:tc>
        <w:tc>
          <w:tcPr>
            <w:tcW w:w="6237" w:type="dxa"/>
            <w:tcBorders>
              <w:top w:val="single" w:sz="4" w:space="0" w:color="auto"/>
              <w:left w:val="single" w:sz="4" w:space="0" w:color="auto"/>
              <w:bottom w:val="single" w:sz="4" w:space="0" w:color="auto"/>
              <w:right w:val="single" w:sz="4" w:space="0" w:color="auto"/>
            </w:tcBorders>
            <w:shd w:val="clear" w:color="auto" w:fill="auto"/>
            <w:hideMark/>
          </w:tcPr>
          <w:p w14:paraId="49D04704" w14:textId="77777777" w:rsidR="00742F5F" w:rsidRPr="00953F7D" w:rsidRDefault="00742F5F" w:rsidP="00A356A9">
            <w:pPr>
              <w:ind w:left="294" w:firstLine="0"/>
              <w:jc w:val="both"/>
              <w:rPr>
                <w:bCs/>
                <w:iCs/>
              </w:rPr>
            </w:pPr>
            <w:r w:rsidRPr="00953F7D">
              <w:rPr>
                <w:bCs/>
                <w:iCs/>
              </w:rPr>
              <w:t>of which: investments in the capital of financial institutions that are outside the scope of regulatory consolidations not reported in rows 39 and 40</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9D04705" w14:textId="77777777" w:rsidR="00742F5F" w:rsidRPr="00953F7D" w:rsidRDefault="00742F5F" w:rsidP="009164E6">
            <w:pPr>
              <w:jc w:val="both"/>
              <w:rPr>
                <w:bCs/>
              </w:rPr>
            </w:pPr>
          </w:p>
        </w:tc>
      </w:tr>
      <w:tr w:rsidR="00742F5F" w:rsidRPr="00953F7D" w14:paraId="49D0470A" w14:textId="77777777" w:rsidTr="009C3F64">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707" w14:textId="77777777" w:rsidR="00742F5F" w:rsidRPr="00953F7D" w:rsidRDefault="00742F5F" w:rsidP="009164E6">
            <w:pPr>
              <w:jc w:val="both"/>
              <w:rPr>
                <w:bCs/>
              </w:rPr>
            </w:pPr>
            <w:r w:rsidRPr="00953F7D">
              <w:rPr>
                <w:bCs/>
              </w:rPr>
              <w:t>41c</w:t>
            </w:r>
          </w:p>
        </w:tc>
        <w:tc>
          <w:tcPr>
            <w:tcW w:w="6237" w:type="dxa"/>
            <w:tcBorders>
              <w:top w:val="single" w:sz="4" w:space="0" w:color="auto"/>
              <w:left w:val="single" w:sz="4" w:space="0" w:color="auto"/>
              <w:bottom w:val="single" w:sz="4" w:space="0" w:color="auto"/>
              <w:right w:val="single" w:sz="4" w:space="0" w:color="auto"/>
            </w:tcBorders>
            <w:shd w:val="clear" w:color="auto" w:fill="auto"/>
            <w:hideMark/>
          </w:tcPr>
          <w:p w14:paraId="49D04708" w14:textId="77777777" w:rsidR="00742F5F" w:rsidRPr="00953F7D" w:rsidRDefault="00742F5F" w:rsidP="00A356A9">
            <w:pPr>
              <w:ind w:left="294" w:firstLine="0"/>
              <w:jc w:val="both"/>
              <w:rPr>
                <w:bCs/>
                <w:iCs/>
              </w:rPr>
            </w:pPr>
            <w:r w:rsidRPr="00953F7D">
              <w:rPr>
                <w:bCs/>
                <w:iCs/>
              </w:rPr>
              <w:t>of which: other national specific regulatory adjustments not reported in rows 41a and 41b</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9D04709" w14:textId="77777777" w:rsidR="00742F5F" w:rsidRPr="00953F7D" w:rsidRDefault="00742F5F" w:rsidP="009164E6">
            <w:pPr>
              <w:jc w:val="both"/>
              <w:rPr>
                <w:bCs/>
              </w:rPr>
            </w:pPr>
          </w:p>
        </w:tc>
      </w:tr>
      <w:tr w:rsidR="00742F5F" w:rsidRPr="00953F7D" w14:paraId="49D0470E"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0B" w14:textId="77777777" w:rsidR="00742F5F" w:rsidRPr="00953F7D" w:rsidRDefault="00742F5F" w:rsidP="009164E6">
            <w:pPr>
              <w:jc w:val="both"/>
              <w:rPr>
                <w:bCs/>
              </w:rPr>
            </w:pPr>
            <w:r w:rsidRPr="00953F7D">
              <w:rPr>
                <w:bCs/>
              </w:rPr>
              <w:t>42</w:t>
            </w:r>
          </w:p>
        </w:tc>
        <w:tc>
          <w:tcPr>
            <w:tcW w:w="6237" w:type="dxa"/>
            <w:tcBorders>
              <w:top w:val="single" w:sz="4" w:space="0" w:color="auto"/>
              <w:left w:val="single" w:sz="4" w:space="0" w:color="auto"/>
              <w:bottom w:val="single" w:sz="4" w:space="0" w:color="auto"/>
              <w:right w:val="single" w:sz="4" w:space="0" w:color="auto"/>
            </w:tcBorders>
            <w:hideMark/>
          </w:tcPr>
          <w:p w14:paraId="49D0470C" w14:textId="77777777" w:rsidR="00742F5F" w:rsidRPr="00953F7D" w:rsidRDefault="00742F5F" w:rsidP="00A356A9">
            <w:pPr>
              <w:ind w:left="11" w:hanging="11"/>
              <w:jc w:val="both"/>
              <w:rPr>
                <w:bCs/>
              </w:rPr>
            </w:pPr>
            <w:r w:rsidRPr="00953F7D">
              <w:rPr>
                <w:bCs/>
              </w:rPr>
              <w:t>Regulatory adjustments applied to Additional Tier 1 due to insufficient Tier 2 to cover deductions</w:t>
            </w:r>
          </w:p>
        </w:tc>
        <w:tc>
          <w:tcPr>
            <w:tcW w:w="851" w:type="dxa"/>
            <w:tcBorders>
              <w:top w:val="single" w:sz="4" w:space="0" w:color="auto"/>
              <w:left w:val="single" w:sz="4" w:space="0" w:color="auto"/>
              <w:bottom w:val="single" w:sz="4" w:space="0" w:color="auto"/>
              <w:right w:val="single" w:sz="4" w:space="0" w:color="auto"/>
            </w:tcBorders>
          </w:tcPr>
          <w:p w14:paraId="49D0470D" w14:textId="77777777" w:rsidR="00742F5F" w:rsidRPr="00953F7D" w:rsidRDefault="00742F5F" w:rsidP="009164E6">
            <w:pPr>
              <w:jc w:val="both"/>
              <w:rPr>
                <w:bCs/>
              </w:rPr>
            </w:pPr>
          </w:p>
        </w:tc>
      </w:tr>
      <w:tr w:rsidR="00742F5F" w:rsidRPr="00953F7D" w14:paraId="49D04712"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0F" w14:textId="77777777" w:rsidR="00742F5F" w:rsidRPr="00953F7D" w:rsidRDefault="00742F5F" w:rsidP="009164E6">
            <w:pPr>
              <w:jc w:val="both"/>
              <w:rPr>
                <w:bCs/>
              </w:rPr>
            </w:pPr>
            <w:r w:rsidRPr="00953F7D">
              <w:rPr>
                <w:bCs/>
              </w:rPr>
              <w:t>43</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710" w14:textId="77777777" w:rsidR="00742F5F" w:rsidRPr="00953F7D" w:rsidRDefault="00742F5F" w:rsidP="00A356A9">
            <w:pPr>
              <w:ind w:left="11" w:firstLine="0"/>
              <w:jc w:val="both"/>
              <w:rPr>
                <w:b/>
                <w:bCs/>
              </w:rPr>
            </w:pPr>
            <w:r w:rsidRPr="00953F7D">
              <w:rPr>
                <w:b/>
                <w:bCs/>
              </w:rPr>
              <w:t>Total regulatory adjustments to Additional Tier 1 capital</w:t>
            </w:r>
          </w:p>
        </w:tc>
        <w:tc>
          <w:tcPr>
            <w:tcW w:w="851" w:type="dxa"/>
            <w:tcBorders>
              <w:top w:val="single" w:sz="4" w:space="0" w:color="auto"/>
              <w:left w:val="single" w:sz="4" w:space="0" w:color="auto"/>
              <w:bottom w:val="single" w:sz="4" w:space="0" w:color="auto"/>
              <w:right w:val="single" w:sz="4" w:space="0" w:color="auto"/>
            </w:tcBorders>
          </w:tcPr>
          <w:p w14:paraId="49D04711" w14:textId="77777777" w:rsidR="00742F5F" w:rsidRPr="00953F7D" w:rsidRDefault="00742F5F" w:rsidP="009164E6">
            <w:pPr>
              <w:jc w:val="both"/>
              <w:rPr>
                <w:bCs/>
              </w:rPr>
            </w:pPr>
          </w:p>
        </w:tc>
      </w:tr>
      <w:tr w:rsidR="00742F5F" w:rsidRPr="00953F7D" w14:paraId="49D04716"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13" w14:textId="77777777" w:rsidR="00742F5F" w:rsidRPr="00953F7D" w:rsidRDefault="00742F5F" w:rsidP="009164E6">
            <w:pPr>
              <w:jc w:val="both"/>
              <w:rPr>
                <w:bCs/>
              </w:rPr>
            </w:pPr>
            <w:r w:rsidRPr="00953F7D">
              <w:rPr>
                <w:bCs/>
              </w:rPr>
              <w:t>44</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714" w14:textId="77777777" w:rsidR="00742F5F" w:rsidRPr="00953F7D" w:rsidRDefault="00742F5F" w:rsidP="009164E6">
            <w:pPr>
              <w:jc w:val="both"/>
              <w:rPr>
                <w:b/>
                <w:bCs/>
              </w:rPr>
            </w:pPr>
            <w:r w:rsidRPr="00953F7D">
              <w:rPr>
                <w:b/>
                <w:bCs/>
              </w:rPr>
              <w:t>Additional Tier 1 capital (AT1)</w:t>
            </w:r>
          </w:p>
        </w:tc>
        <w:tc>
          <w:tcPr>
            <w:tcW w:w="851" w:type="dxa"/>
            <w:tcBorders>
              <w:top w:val="single" w:sz="4" w:space="0" w:color="auto"/>
              <w:left w:val="single" w:sz="4" w:space="0" w:color="auto"/>
              <w:bottom w:val="single" w:sz="4" w:space="0" w:color="auto"/>
              <w:right w:val="single" w:sz="4" w:space="0" w:color="auto"/>
            </w:tcBorders>
          </w:tcPr>
          <w:p w14:paraId="49D04715" w14:textId="77777777" w:rsidR="00742F5F" w:rsidRPr="00953F7D" w:rsidRDefault="00742F5F" w:rsidP="009164E6">
            <w:pPr>
              <w:jc w:val="both"/>
              <w:rPr>
                <w:bCs/>
              </w:rPr>
            </w:pPr>
          </w:p>
        </w:tc>
      </w:tr>
      <w:tr w:rsidR="00742F5F" w:rsidRPr="00953F7D" w14:paraId="49D0471A"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17" w14:textId="77777777" w:rsidR="00742F5F" w:rsidRPr="00953F7D" w:rsidRDefault="00742F5F" w:rsidP="009164E6">
            <w:pPr>
              <w:jc w:val="both"/>
              <w:rPr>
                <w:bCs/>
              </w:rPr>
            </w:pPr>
            <w:r w:rsidRPr="00953F7D">
              <w:rPr>
                <w:bCs/>
              </w:rPr>
              <w:t>45</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718" w14:textId="77777777" w:rsidR="00742F5F" w:rsidRPr="00953F7D" w:rsidRDefault="00742F5F" w:rsidP="009164E6">
            <w:pPr>
              <w:jc w:val="both"/>
              <w:rPr>
                <w:b/>
                <w:bCs/>
              </w:rPr>
            </w:pPr>
            <w:r w:rsidRPr="00953F7D">
              <w:rPr>
                <w:b/>
                <w:bCs/>
              </w:rPr>
              <w:t>Tier 1 Capital (T1=CET1+AT1)</w:t>
            </w:r>
          </w:p>
        </w:tc>
        <w:tc>
          <w:tcPr>
            <w:tcW w:w="851" w:type="dxa"/>
            <w:tcBorders>
              <w:top w:val="single" w:sz="4" w:space="0" w:color="auto"/>
              <w:left w:val="single" w:sz="4" w:space="0" w:color="auto"/>
              <w:bottom w:val="single" w:sz="4" w:space="0" w:color="auto"/>
              <w:right w:val="single" w:sz="4" w:space="0" w:color="auto"/>
            </w:tcBorders>
          </w:tcPr>
          <w:p w14:paraId="49D04719" w14:textId="77777777" w:rsidR="00742F5F" w:rsidRPr="00953F7D" w:rsidRDefault="00742F5F" w:rsidP="009164E6">
            <w:pPr>
              <w:jc w:val="both"/>
              <w:rPr>
                <w:bCs/>
              </w:rPr>
            </w:pPr>
          </w:p>
        </w:tc>
      </w:tr>
      <w:tr w:rsidR="00742F5F" w:rsidRPr="00953F7D" w14:paraId="49D0471C" w14:textId="77777777" w:rsidTr="009C3F64">
        <w:tc>
          <w:tcPr>
            <w:tcW w:w="822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49D0471B" w14:textId="77777777" w:rsidR="00742F5F" w:rsidRPr="00953F7D" w:rsidRDefault="00742F5F" w:rsidP="009164E6">
            <w:pPr>
              <w:jc w:val="both"/>
              <w:rPr>
                <w:b/>
                <w:bCs/>
              </w:rPr>
            </w:pPr>
            <w:r w:rsidRPr="00953F7D">
              <w:rPr>
                <w:b/>
                <w:bCs/>
              </w:rPr>
              <w:t>Tier 2 Capital: instruments and provisions</w:t>
            </w:r>
          </w:p>
        </w:tc>
      </w:tr>
      <w:tr w:rsidR="00742F5F" w:rsidRPr="00953F7D" w14:paraId="49D04720"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1D" w14:textId="77777777" w:rsidR="00742F5F" w:rsidRPr="00464374" w:rsidRDefault="00742F5F" w:rsidP="009164E6">
            <w:pPr>
              <w:jc w:val="both"/>
              <w:rPr>
                <w:bCs/>
              </w:rPr>
            </w:pPr>
            <w:r w:rsidRPr="00464374">
              <w:rPr>
                <w:bCs/>
              </w:rPr>
              <w:t>46</w:t>
            </w:r>
          </w:p>
        </w:tc>
        <w:tc>
          <w:tcPr>
            <w:tcW w:w="6237" w:type="dxa"/>
            <w:tcBorders>
              <w:top w:val="single" w:sz="4" w:space="0" w:color="auto"/>
              <w:left w:val="single" w:sz="4" w:space="0" w:color="auto"/>
              <w:bottom w:val="single" w:sz="4" w:space="0" w:color="auto"/>
              <w:right w:val="single" w:sz="4" w:space="0" w:color="auto"/>
            </w:tcBorders>
            <w:hideMark/>
          </w:tcPr>
          <w:p w14:paraId="49D0471E" w14:textId="77777777" w:rsidR="00742F5F" w:rsidRPr="00953F7D" w:rsidRDefault="00742F5F" w:rsidP="009164E6">
            <w:pPr>
              <w:jc w:val="both"/>
              <w:rPr>
                <w:bCs/>
              </w:rPr>
            </w:pPr>
            <w:r w:rsidRPr="00953F7D">
              <w:rPr>
                <w:bCs/>
              </w:rPr>
              <w:t xml:space="preserve">Directly issued qualifying Tier 2 instruments </w:t>
            </w:r>
          </w:p>
        </w:tc>
        <w:tc>
          <w:tcPr>
            <w:tcW w:w="851" w:type="dxa"/>
            <w:tcBorders>
              <w:top w:val="single" w:sz="4" w:space="0" w:color="auto"/>
              <w:left w:val="single" w:sz="4" w:space="0" w:color="auto"/>
              <w:bottom w:val="single" w:sz="4" w:space="0" w:color="auto"/>
              <w:right w:val="single" w:sz="4" w:space="0" w:color="auto"/>
            </w:tcBorders>
          </w:tcPr>
          <w:p w14:paraId="49D0471F" w14:textId="77777777" w:rsidR="00742F5F" w:rsidRPr="00953F7D" w:rsidRDefault="00742F5F" w:rsidP="009164E6">
            <w:pPr>
              <w:jc w:val="both"/>
              <w:rPr>
                <w:bCs/>
              </w:rPr>
            </w:pPr>
          </w:p>
        </w:tc>
      </w:tr>
      <w:tr w:rsidR="00742F5F" w:rsidRPr="00953F7D" w14:paraId="49D04724"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21" w14:textId="77777777" w:rsidR="00742F5F" w:rsidRPr="00464374" w:rsidRDefault="00742F5F" w:rsidP="009164E6">
            <w:pPr>
              <w:jc w:val="both"/>
              <w:rPr>
                <w:bCs/>
              </w:rPr>
            </w:pPr>
            <w:r w:rsidRPr="00464374">
              <w:rPr>
                <w:bCs/>
              </w:rPr>
              <w:t>47</w:t>
            </w:r>
          </w:p>
        </w:tc>
        <w:tc>
          <w:tcPr>
            <w:tcW w:w="6237" w:type="dxa"/>
            <w:tcBorders>
              <w:top w:val="single" w:sz="4" w:space="0" w:color="auto"/>
              <w:left w:val="single" w:sz="4" w:space="0" w:color="auto"/>
              <w:bottom w:val="single" w:sz="4" w:space="0" w:color="auto"/>
              <w:right w:val="single" w:sz="4" w:space="0" w:color="auto"/>
            </w:tcBorders>
            <w:hideMark/>
          </w:tcPr>
          <w:p w14:paraId="49D04722" w14:textId="77777777" w:rsidR="00742F5F" w:rsidRPr="00953F7D" w:rsidRDefault="00742F5F" w:rsidP="00516BD3">
            <w:pPr>
              <w:ind w:left="11" w:hanging="11"/>
              <w:jc w:val="both"/>
              <w:rPr>
                <w:bCs/>
                <w:i/>
              </w:rPr>
            </w:pPr>
            <w:r w:rsidRPr="00953F7D">
              <w:rPr>
                <w:bCs/>
                <w:i/>
              </w:rPr>
              <w:t>Directly issued capital instruments subject to phase out from Tier 2</w:t>
            </w:r>
          </w:p>
        </w:tc>
        <w:tc>
          <w:tcPr>
            <w:tcW w:w="851" w:type="dxa"/>
            <w:tcBorders>
              <w:top w:val="single" w:sz="4" w:space="0" w:color="auto"/>
              <w:left w:val="single" w:sz="4" w:space="0" w:color="auto"/>
              <w:bottom w:val="single" w:sz="4" w:space="0" w:color="auto"/>
              <w:right w:val="single" w:sz="4" w:space="0" w:color="auto"/>
            </w:tcBorders>
          </w:tcPr>
          <w:p w14:paraId="49D04723" w14:textId="77777777" w:rsidR="00742F5F" w:rsidRPr="00953F7D" w:rsidRDefault="00742F5F" w:rsidP="009164E6">
            <w:pPr>
              <w:jc w:val="both"/>
              <w:rPr>
                <w:bCs/>
                <w:i/>
              </w:rPr>
            </w:pPr>
          </w:p>
        </w:tc>
      </w:tr>
      <w:tr w:rsidR="00742F5F" w:rsidRPr="00953F7D" w14:paraId="49D04728"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25" w14:textId="77777777" w:rsidR="00742F5F" w:rsidRPr="00464374" w:rsidRDefault="00742F5F" w:rsidP="009164E6">
            <w:pPr>
              <w:jc w:val="both"/>
              <w:rPr>
                <w:bCs/>
              </w:rPr>
            </w:pPr>
            <w:r w:rsidRPr="00464374">
              <w:rPr>
                <w:bCs/>
              </w:rPr>
              <w:t>48</w:t>
            </w:r>
          </w:p>
        </w:tc>
        <w:tc>
          <w:tcPr>
            <w:tcW w:w="6237" w:type="dxa"/>
            <w:tcBorders>
              <w:top w:val="single" w:sz="4" w:space="0" w:color="auto"/>
              <w:left w:val="single" w:sz="4" w:space="0" w:color="auto"/>
              <w:bottom w:val="single" w:sz="4" w:space="0" w:color="auto"/>
              <w:right w:val="single" w:sz="4" w:space="0" w:color="auto"/>
            </w:tcBorders>
            <w:hideMark/>
          </w:tcPr>
          <w:p w14:paraId="49D04726" w14:textId="77777777" w:rsidR="00742F5F" w:rsidRPr="00953F7D" w:rsidRDefault="00742F5F" w:rsidP="00516BD3">
            <w:pPr>
              <w:ind w:left="11" w:firstLine="0"/>
              <w:jc w:val="both"/>
              <w:rPr>
                <w:bCs/>
              </w:rPr>
            </w:pPr>
            <w:r w:rsidRPr="00953F7D">
              <w:rPr>
                <w:bCs/>
              </w:rPr>
              <w:t>Tier 2 instruments (and CET1 and AT1 instruments not included in rows 5 or 34) issued by subsidiaries and held by third parties (amount allowed in group T2)</w:t>
            </w:r>
          </w:p>
        </w:tc>
        <w:tc>
          <w:tcPr>
            <w:tcW w:w="851" w:type="dxa"/>
            <w:tcBorders>
              <w:top w:val="single" w:sz="4" w:space="0" w:color="auto"/>
              <w:left w:val="single" w:sz="4" w:space="0" w:color="auto"/>
              <w:bottom w:val="single" w:sz="4" w:space="0" w:color="auto"/>
              <w:right w:val="single" w:sz="4" w:space="0" w:color="auto"/>
            </w:tcBorders>
          </w:tcPr>
          <w:p w14:paraId="49D04727" w14:textId="77777777" w:rsidR="00742F5F" w:rsidRPr="00953F7D" w:rsidRDefault="00742F5F" w:rsidP="009164E6">
            <w:pPr>
              <w:jc w:val="both"/>
              <w:rPr>
                <w:bCs/>
              </w:rPr>
            </w:pPr>
          </w:p>
        </w:tc>
      </w:tr>
      <w:tr w:rsidR="00742F5F" w:rsidRPr="00953F7D" w14:paraId="49D0472C"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29" w14:textId="77777777" w:rsidR="00742F5F" w:rsidRPr="00464374" w:rsidRDefault="00742F5F" w:rsidP="009164E6">
            <w:pPr>
              <w:jc w:val="both"/>
              <w:rPr>
                <w:bCs/>
              </w:rPr>
            </w:pPr>
            <w:r w:rsidRPr="00464374">
              <w:rPr>
                <w:bCs/>
              </w:rPr>
              <w:t>49</w:t>
            </w:r>
          </w:p>
        </w:tc>
        <w:tc>
          <w:tcPr>
            <w:tcW w:w="6237" w:type="dxa"/>
            <w:tcBorders>
              <w:top w:val="single" w:sz="4" w:space="0" w:color="auto"/>
              <w:left w:val="single" w:sz="4" w:space="0" w:color="auto"/>
              <w:bottom w:val="single" w:sz="4" w:space="0" w:color="auto"/>
              <w:right w:val="single" w:sz="4" w:space="0" w:color="auto"/>
            </w:tcBorders>
            <w:hideMark/>
          </w:tcPr>
          <w:p w14:paraId="49D0472A" w14:textId="77777777" w:rsidR="00742F5F" w:rsidRPr="00953F7D" w:rsidRDefault="00742F5F" w:rsidP="00A356A9">
            <w:pPr>
              <w:ind w:left="294" w:firstLine="0"/>
              <w:jc w:val="both"/>
              <w:rPr>
                <w:bCs/>
                <w:i/>
              </w:rPr>
            </w:pPr>
            <w:r w:rsidRPr="00953F7D">
              <w:rPr>
                <w:bCs/>
                <w:i/>
              </w:rPr>
              <w:t>of which: instruments issued by subsidiaries subject to phase out</w:t>
            </w:r>
          </w:p>
        </w:tc>
        <w:tc>
          <w:tcPr>
            <w:tcW w:w="851" w:type="dxa"/>
            <w:tcBorders>
              <w:top w:val="single" w:sz="4" w:space="0" w:color="auto"/>
              <w:left w:val="single" w:sz="4" w:space="0" w:color="auto"/>
              <w:bottom w:val="single" w:sz="4" w:space="0" w:color="auto"/>
              <w:right w:val="single" w:sz="4" w:space="0" w:color="auto"/>
            </w:tcBorders>
          </w:tcPr>
          <w:p w14:paraId="49D0472B" w14:textId="77777777" w:rsidR="00742F5F" w:rsidRPr="00953F7D" w:rsidRDefault="00742F5F" w:rsidP="009164E6">
            <w:pPr>
              <w:jc w:val="both"/>
              <w:rPr>
                <w:bCs/>
              </w:rPr>
            </w:pPr>
          </w:p>
        </w:tc>
      </w:tr>
      <w:tr w:rsidR="00742F5F" w:rsidRPr="00953F7D" w14:paraId="49D04730"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2D" w14:textId="77777777" w:rsidR="00742F5F" w:rsidRPr="00953F7D" w:rsidRDefault="00742F5F" w:rsidP="009164E6">
            <w:pPr>
              <w:jc w:val="both"/>
              <w:rPr>
                <w:bCs/>
              </w:rPr>
            </w:pPr>
            <w:r w:rsidRPr="00953F7D">
              <w:rPr>
                <w:bCs/>
              </w:rPr>
              <w:t>50</w:t>
            </w:r>
          </w:p>
        </w:tc>
        <w:tc>
          <w:tcPr>
            <w:tcW w:w="6237" w:type="dxa"/>
            <w:tcBorders>
              <w:top w:val="single" w:sz="4" w:space="0" w:color="auto"/>
              <w:left w:val="single" w:sz="4" w:space="0" w:color="auto"/>
              <w:bottom w:val="single" w:sz="4" w:space="0" w:color="auto"/>
              <w:right w:val="single" w:sz="4" w:space="0" w:color="auto"/>
            </w:tcBorders>
            <w:hideMark/>
          </w:tcPr>
          <w:p w14:paraId="49D0472E" w14:textId="77777777" w:rsidR="00742F5F" w:rsidRPr="00953F7D" w:rsidRDefault="00742F5F" w:rsidP="009164E6">
            <w:pPr>
              <w:jc w:val="both"/>
              <w:rPr>
                <w:bCs/>
              </w:rPr>
            </w:pPr>
            <w:r w:rsidRPr="00953F7D">
              <w:rPr>
                <w:bCs/>
              </w:rPr>
              <w:t>Provisions</w:t>
            </w:r>
          </w:p>
        </w:tc>
        <w:tc>
          <w:tcPr>
            <w:tcW w:w="851" w:type="dxa"/>
            <w:tcBorders>
              <w:top w:val="single" w:sz="4" w:space="0" w:color="auto"/>
              <w:left w:val="single" w:sz="4" w:space="0" w:color="auto"/>
              <w:bottom w:val="single" w:sz="4" w:space="0" w:color="auto"/>
              <w:right w:val="single" w:sz="4" w:space="0" w:color="auto"/>
            </w:tcBorders>
          </w:tcPr>
          <w:p w14:paraId="49D0472F" w14:textId="77777777" w:rsidR="00742F5F" w:rsidRPr="00953F7D" w:rsidRDefault="00742F5F" w:rsidP="009164E6">
            <w:pPr>
              <w:jc w:val="both"/>
              <w:rPr>
                <w:bCs/>
              </w:rPr>
            </w:pPr>
          </w:p>
        </w:tc>
      </w:tr>
      <w:tr w:rsidR="00742F5F" w:rsidRPr="00953F7D" w14:paraId="49D04734"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31" w14:textId="77777777" w:rsidR="00742F5F" w:rsidRPr="00953F7D" w:rsidRDefault="00742F5F" w:rsidP="009164E6">
            <w:pPr>
              <w:jc w:val="both"/>
              <w:rPr>
                <w:bCs/>
              </w:rPr>
            </w:pPr>
            <w:r w:rsidRPr="00953F7D">
              <w:rPr>
                <w:bCs/>
              </w:rPr>
              <w:t>51</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732" w14:textId="77777777" w:rsidR="00742F5F" w:rsidRPr="00953F7D" w:rsidRDefault="00742F5F" w:rsidP="009164E6">
            <w:pPr>
              <w:jc w:val="both"/>
              <w:rPr>
                <w:b/>
                <w:bCs/>
              </w:rPr>
            </w:pPr>
            <w:r w:rsidRPr="00953F7D">
              <w:rPr>
                <w:b/>
                <w:bCs/>
              </w:rPr>
              <w:t>Tier 2 Capital before regulatory adjustments</w:t>
            </w:r>
          </w:p>
        </w:tc>
        <w:tc>
          <w:tcPr>
            <w:tcW w:w="851" w:type="dxa"/>
            <w:tcBorders>
              <w:top w:val="single" w:sz="4" w:space="0" w:color="auto"/>
              <w:left w:val="single" w:sz="4" w:space="0" w:color="auto"/>
              <w:bottom w:val="single" w:sz="4" w:space="0" w:color="auto"/>
              <w:right w:val="single" w:sz="4" w:space="0" w:color="auto"/>
            </w:tcBorders>
          </w:tcPr>
          <w:p w14:paraId="49D04733" w14:textId="77777777" w:rsidR="00742F5F" w:rsidRPr="00953F7D" w:rsidRDefault="00742F5F" w:rsidP="009164E6">
            <w:pPr>
              <w:jc w:val="both"/>
              <w:rPr>
                <w:bCs/>
              </w:rPr>
            </w:pPr>
          </w:p>
        </w:tc>
      </w:tr>
      <w:tr w:rsidR="00742F5F" w:rsidRPr="00953F7D" w14:paraId="49D04736" w14:textId="77777777" w:rsidTr="009C3F64">
        <w:tc>
          <w:tcPr>
            <w:tcW w:w="822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49D04735" w14:textId="77777777" w:rsidR="00742F5F" w:rsidRPr="00953F7D" w:rsidRDefault="00742F5F" w:rsidP="009164E6">
            <w:pPr>
              <w:jc w:val="both"/>
              <w:rPr>
                <w:b/>
                <w:bCs/>
              </w:rPr>
            </w:pPr>
            <w:r w:rsidRPr="00953F7D">
              <w:rPr>
                <w:b/>
                <w:bCs/>
              </w:rPr>
              <w:t>Tier 2 Capital: regulatory adjustments</w:t>
            </w:r>
          </w:p>
        </w:tc>
      </w:tr>
      <w:tr w:rsidR="00742F5F" w:rsidRPr="00953F7D" w14:paraId="49D0473A"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37" w14:textId="77777777" w:rsidR="00742F5F" w:rsidRPr="00953F7D" w:rsidRDefault="00742F5F" w:rsidP="009164E6">
            <w:pPr>
              <w:jc w:val="both"/>
              <w:rPr>
                <w:bCs/>
              </w:rPr>
            </w:pPr>
            <w:r w:rsidRPr="00953F7D">
              <w:rPr>
                <w:bCs/>
              </w:rPr>
              <w:t>52</w:t>
            </w:r>
          </w:p>
        </w:tc>
        <w:tc>
          <w:tcPr>
            <w:tcW w:w="6237" w:type="dxa"/>
            <w:tcBorders>
              <w:top w:val="single" w:sz="4" w:space="0" w:color="auto"/>
              <w:left w:val="single" w:sz="4" w:space="0" w:color="auto"/>
              <w:bottom w:val="single" w:sz="4" w:space="0" w:color="auto"/>
              <w:right w:val="single" w:sz="4" w:space="0" w:color="auto"/>
            </w:tcBorders>
            <w:hideMark/>
          </w:tcPr>
          <w:p w14:paraId="49D04738" w14:textId="77777777" w:rsidR="00742F5F" w:rsidRPr="00953F7D" w:rsidRDefault="00742F5F" w:rsidP="006E76CA">
            <w:pPr>
              <w:ind w:left="11" w:firstLine="0"/>
              <w:jc w:val="both"/>
              <w:rPr>
                <w:bCs/>
              </w:rPr>
            </w:pPr>
            <w:r w:rsidRPr="00953F7D">
              <w:rPr>
                <w:bCs/>
              </w:rPr>
              <w:t>Investments in own Tier 2 instruments</w:t>
            </w:r>
          </w:p>
        </w:tc>
        <w:tc>
          <w:tcPr>
            <w:tcW w:w="851" w:type="dxa"/>
            <w:tcBorders>
              <w:top w:val="single" w:sz="4" w:space="0" w:color="auto"/>
              <w:left w:val="single" w:sz="4" w:space="0" w:color="auto"/>
              <w:bottom w:val="single" w:sz="4" w:space="0" w:color="auto"/>
              <w:right w:val="single" w:sz="4" w:space="0" w:color="auto"/>
            </w:tcBorders>
          </w:tcPr>
          <w:p w14:paraId="49D04739" w14:textId="77777777" w:rsidR="00742F5F" w:rsidRPr="00953F7D" w:rsidRDefault="00742F5F" w:rsidP="009164E6">
            <w:pPr>
              <w:jc w:val="both"/>
              <w:rPr>
                <w:bCs/>
              </w:rPr>
            </w:pPr>
          </w:p>
        </w:tc>
      </w:tr>
      <w:tr w:rsidR="00742F5F" w:rsidRPr="00953F7D" w14:paraId="49D0473E" w14:textId="77777777" w:rsidTr="009C3F64">
        <w:trPr>
          <w:trHeight w:val="397"/>
        </w:trPr>
        <w:tc>
          <w:tcPr>
            <w:tcW w:w="1134" w:type="dxa"/>
            <w:tcBorders>
              <w:top w:val="single" w:sz="4" w:space="0" w:color="auto"/>
              <w:left w:val="single" w:sz="4" w:space="0" w:color="auto"/>
              <w:bottom w:val="single" w:sz="4" w:space="0" w:color="auto"/>
              <w:right w:val="single" w:sz="4" w:space="0" w:color="auto"/>
            </w:tcBorders>
            <w:hideMark/>
          </w:tcPr>
          <w:p w14:paraId="49D0473B" w14:textId="77777777" w:rsidR="00742F5F" w:rsidRPr="00953F7D" w:rsidRDefault="00742F5F" w:rsidP="009164E6">
            <w:pPr>
              <w:jc w:val="both"/>
              <w:rPr>
                <w:bCs/>
              </w:rPr>
            </w:pPr>
            <w:r w:rsidRPr="00953F7D">
              <w:rPr>
                <w:bCs/>
              </w:rPr>
              <w:t>53</w:t>
            </w:r>
          </w:p>
        </w:tc>
        <w:tc>
          <w:tcPr>
            <w:tcW w:w="6237" w:type="dxa"/>
            <w:tcBorders>
              <w:top w:val="single" w:sz="4" w:space="0" w:color="auto"/>
              <w:left w:val="single" w:sz="4" w:space="0" w:color="auto"/>
              <w:bottom w:val="single" w:sz="4" w:space="0" w:color="auto"/>
              <w:right w:val="single" w:sz="4" w:space="0" w:color="auto"/>
            </w:tcBorders>
            <w:hideMark/>
          </w:tcPr>
          <w:p w14:paraId="49D0473C" w14:textId="77777777" w:rsidR="00742F5F" w:rsidRPr="00953F7D" w:rsidRDefault="00742F5F" w:rsidP="006E76CA">
            <w:pPr>
              <w:ind w:left="11" w:firstLine="0"/>
              <w:jc w:val="both"/>
              <w:rPr>
                <w:bCs/>
              </w:rPr>
            </w:pPr>
            <w:r w:rsidRPr="00953F7D">
              <w:rPr>
                <w:bCs/>
              </w:rPr>
              <w:t>Reciprocal cross-holdings in Tier 2 instruments</w:t>
            </w:r>
          </w:p>
        </w:tc>
        <w:tc>
          <w:tcPr>
            <w:tcW w:w="851" w:type="dxa"/>
            <w:tcBorders>
              <w:top w:val="single" w:sz="4" w:space="0" w:color="auto"/>
              <w:left w:val="single" w:sz="4" w:space="0" w:color="auto"/>
              <w:bottom w:val="single" w:sz="4" w:space="0" w:color="auto"/>
              <w:right w:val="single" w:sz="4" w:space="0" w:color="auto"/>
            </w:tcBorders>
          </w:tcPr>
          <w:p w14:paraId="49D0473D" w14:textId="77777777" w:rsidR="00742F5F" w:rsidRPr="00953F7D" w:rsidRDefault="00742F5F" w:rsidP="009164E6">
            <w:pPr>
              <w:jc w:val="both"/>
              <w:rPr>
                <w:bCs/>
              </w:rPr>
            </w:pPr>
          </w:p>
        </w:tc>
      </w:tr>
      <w:tr w:rsidR="00742F5F" w:rsidRPr="00953F7D" w14:paraId="49D04742"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3F" w14:textId="77777777" w:rsidR="00742F5F" w:rsidRPr="00953F7D" w:rsidRDefault="00742F5F" w:rsidP="009164E6">
            <w:pPr>
              <w:jc w:val="both"/>
              <w:rPr>
                <w:bCs/>
              </w:rPr>
            </w:pPr>
            <w:r w:rsidRPr="00953F7D">
              <w:rPr>
                <w:bCs/>
              </w:rPr>
              <w:t>54</w:t>
            </w:r>
          </w:p>
        </w:tc>
        <w:tc>
          <w:tcPr>
            <w:tcW w:w="6237" w:type="dxa"/>
            <w:tcBorders>
              <w:top w:val="single" w:sz="4" w:space="0" w:color="auto"/>
              <w:left w:val="single" w:sz="4" w:space="0" w:color="auto"/>
              <w:bottom w:val="single" w:sz="4" w:space="0" w:color="auto"/>
              <w:right w:val="single" w:sz="4" w:space="0" w:color="auto"/>
            </w:tcBorders>
            <w:hideMark/>
          </w:tcPr>
          <w:p w14:paraId="49D04740" w14:textId="77777777" w:rsidR="00742F5F" w:rsidRPr="00953F7D" w:rsidRDefault="00742F5F" w:rsidP="006E76CA">
            <w:pPr>
              <w:ind w:left="11" w:firstLine="0"/>
              <w:jc w:val="both"/>
              <w:rPr>
                <w:bCs/>
              </w:rPr>
            </w:pPr>
            <w:r w:rsidRPr="00953F7D">
              <w:rPr>
                <w:bCs/>
              </w:rPr>
              <w:t>Investments in the Tier 2 capital of banking, financial and insurance entities that are outside the scope of regulatory consolidation, net of eligible short positions, where the ADI does not own more than 10% of the issued share capital (amount above 10% threshold)</w:t>
            </w:r>
          </w:p>
        </w:tc>
        <w:tc>
          <w:tcPr>
            <w:tcW w:w="851" w:type="dxa"/>
            <w:tcBorders>
              <w:top w:val="single" w:sz="4" w:space="0" w:color="auto"/>
              <w:left w:val="single" w:sz="4" w:space="0" w:color="auto"/>
              <w:bottom w:val="single" w:sz="4" w:space="0" w:color="auto"/>
              <w:right w:val="single" w:sz="4" w:space="0" w:color="auto"/>
            </w:tcBorders>
          </w:tcPr>
          <w:p w14:paraId="49D04741" w14:textId="77777777" w:rsidR="00742F5F" w:rsidRPr="00953F7D" w:rsidRDefault="00742F5F" w:rsidP="009164E6">
            <w:pPr>
              <w:jc w:val="both"/>
              <w:rPr>
                <w:bCs/>
              </w:rPr>
            </w:pPr>
          </w:p>
        </w:tc>
      </w:tr>
      <w:tr w:rsidR="00742F5F" w:rsidRPr="00953F7D" w14:paraId="49D04746"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43" w14:textId="77777777" w:rsidR="00742F5F" w:rsidRPr="00953F7D" w:rsidRDefault="00742F5F" w:rsidP="009164E6">
            <w:pPr>
              <w:jc w:val="both"/>
              <w:rPr>
                <w:bCs/>
              </w:rPr>
            </w:pPr>
            <w:r w:rsidRPr="00953F7D">
              <w:rPr>
                <w:bCs/>
              </w:rPr>
              <w:t>55</w:t>
            </w:r>
          </w:p>
        </w:tc>
        <w:tc>
          <w:tcPr>
            <w:tcW w:w="6237" w:type="dxa"/>
            <w:tcBorders>
              <w:top w:val="single" w:sz="4" w:space="0" w:color="auto"/>
              <w:left w:val="single" w:sz="4" w:space="0" w:color="auto"/>
              <w:bottom w:val="single" w:sz="4" w:space="0" w:color="auto"/>
              <w:right w:val="single" w:sz="4" w:space="0" w:color="auto"/>
            </w:tcBorders>
            <w:hideMark/>
          </w:tcPr>
          <w:p w14:paraId="49D04744" w14:textId="77777777" w:rsidR="00742F5F" w:rsidRPr="00953F7D" w:rsidRDefault="00742F5F" w:rsidP="006E76CA">
            <w:pPr>
              <w:ind w:left="11" w:firstLine="0"/>
              <w:jc w:val="both"/>
              <w:rPr>
                <w:bCs/>
              </w:rPr>
            </w:pPr>
            <w:r w:rsidRPr="00953F7D">
              <w:rPr>
                <w:bCs/>
              </w:rPr>
              <w:t xml:space="preserve">Significant investments in the Tier 2 capital of banking, financial and insurance entities that are outside the scope of regulatory consolidation, net of eligible short positions </w:t>
            </w:r>
          </w:p>
        </w:tc>
        <w:tc>
          <w:tcPr>
            <w:tcW w:w="851" w:type="dxa"/>
            <w:tcBorders>
              <w:top w:val="single" w:sz="4" w:space="0" w:color="auto"/>
              <w:left w:val="single" w:sz="4" w:space="0" w:color="auto"/>
              <w:bottom w:val="single" w:sz="4" w:space="0" w:color="auto"/>
              <w:right w:val="single" w:sz="4" w:space="0" w:color="auto"/>
            </w:tcBorders>
          </w:tcPr>
          <w:p w14:paraId="49D04745" w14:textId="77777777" w:rsidR="00742F5F" w:rsidRPr="00953F7D" w:rsidRDefault="00742F5F" w:rsidP="009164E6">
            <w:pPr>
              <w:jc w:val="both"/>
              <w:rPr>
                <w:bCs/>
              </w:rPr>
            </w:pPr>
          </w:p>
        </w:tc>
      </w:tr>
      <w:tr w:rsidR="00742F5F" w:rsidRPr="00953F7D" w14:paraId="49D0474B"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47" w14:textId="77777777" w:rsidR="00742F5F" w:rsidRPr="00953F7D" w:rsidRDefault="00742F5F" w:rsidP="009164E6">
            <w:pPr>
              <w:jc w:val="both"/>
              <w:rPr>
                <w:bCs/>
              </w:rPr>
            </w:pPr>
            <w:r w:rsidRPr="00953F7D">
              <w:rPr>
                <w:bCs/>
              </w:rPr>
              <w:t>56</w:t>
            </w:r>
          </w:p>
        </w:tc>
        <w:tc>
          <w:tcPr>
            <w:tcW w:w="6237" w:type="dxa"/>
            <w:tcBorders>
              <w:top w:val="single" w:sz="4" w:space="0" w:color="auto"/>
              <w:left w:val="single" w:sz="4" w:space="0" w:color="auto"/>
              <w:bottom w:val="single" w:sz="4" w:space="0" w:color="auto"/>
              <w:right w:val="single" w:sz="4" w:space="0" w:color="auto"/>
            </w:tcBorders>
            <w:hideMark/>
          </w:tcPr>
          <w:p w14:paraId="49D04748" w14:textId="77777777" w:rsidR="00742F5F" w:rsidRPr="00953F7D" w:rsidRDefault="00742F5F" w:rsidP="006E76CA">
            <w:pPr>
              <w:ind w:left="11" w:firstLine="0"/>
              <w:jc w:val="both"/>
              <w:rPr>
                <w:bCs/>
              </w:rPr>
            </w:pPr>
            <w:r w:rsidRPr="00953F7D">
              <w:rPr>
                <w:bCs/>
              </w:rPr>
              <w:t>National specific regulatory adjustments</w:t>
            </w:r>
          </w:p>
          <w:p w14:paraId="49D04749" w14:textId="77777777" w:rsidR="00742F5F" w:rsidRPr="00953F7D" w:rsidRDefault="00742F5F" w:rsidP="006E76CA">
            <w:pPr>
              <w:ind w:left="11" w:firstLine="0"/>
              <w:jc w:val="both"/>
              <w:rPr>
                <w:bCs/>
              </w:rPr>
            </w:pPr>
            <w:r w:rsidRPr="00953F7D">
              <w:rPr>
                <w:bCs/>
              </w:rPr>
              <w:t>(sum of rows 56a, 56b and 56c)</w:t>
            </w:r>
          </w:p>
        </w:tc>
        <w:tc>
          <w:tcPr>
            <w:tcW w:w="851" w:type="dxa"/>
            <w:tcBorders>
              <w:top w:val="single" w:sz="4" w:space="0" w:color="auto"/>
              <w:left w:val="single" w:sz="4" w:space="0" w:color="auto"/>
              <w:bottom w:val="single" w:sz="4" w:space="0" w:color="auto"/>
              <w:right w:val="single" w:sz="4" w:space="0" w:color="auto"/>
            </w:tcBorders>
          </w:tcPr>
          <w:p w14:paraId="49D0474A" w14:textId="77777777" w:rsidR="00742F5F" w:rsidRPr="00953F7D" w:rsidRDefault="00742F5F" w:rsidP="009164E6">
            <w:pPr>
              <w:jc w:val="both"/>
              <w:rPr>
                <w:bCs/>
              </w:rPr>
            </w:pPr>
          </w:p>
        </w:tc>
      </w:tr>
      <w:tr w:rsidR="00742F5F" w:rsidRPr="00953F7D" w14:paraId="49D0474F" w14:textId="77777777" w:rsidTr="009C3F64">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74C" w14:textId="77777777" w:rsidR="00742F5F" w:rsidRPr="00953F7D" w:rsidRDefault="00742F5F" w:rsidP="009164E6">
            <w:pPr>
              <w:jc w:val="both"/>
              <w:rPr>
                <w:bCs/>
              </w:rPr>
            </w:pPr>
            <w:r w:rsidRPr="00953F7D">
              <w:rPr>
                <w:bCs/>
              </w:rPr>
              <w:t>56a</w:t>
            </w:r>
          </w:p>
        </w:tc>
        <w:tc>
          <w:tcPr>
            <w:tcW w:w="6237" w:type="dxa"/>
            <w:tcBorders>
              <w:top w:val="single" w:sz="4" w:space="0" w:color="auto"/>
              <w:left w:val="single" w:sz="4" w:space="0" w:color="auto"/>
              <w:bottom w:val="single" w:sz="4" w:space="0" w:color="auto"/>
              <w:right w:val="single" w:sz="4" w:space="0" w:color="auto"/>
            </w:tcBorders>
            <w:shd w:val="clear" w:color="auto" w:fill="auto"/>
            <w:hideMark/>
          </w:tcPr>
          <w:p w14:paraId="49D0474D" w14:textId="77777777" w:rsidR="00742F5F" w:rsidRPr="00953F7D" w:rsidRDefault="00742F5F" w:rsidP="00A356A9">
            <w:pPr>
              <w:ind w:left="294" w:firstLine="0"/>
              <w:jc w:val="both"/>
              <w:rPr>
                <w:bCs/>
                <w:iCs/>
              </w:rPr>
            </w:pPr>
            <w:r w:rsidRPr="00953F7D">
              <w:rPr>
                <w:bCs/>
                <w:iCs/>
              </w:rPr>
              <w:t xml:space="preserve">of which: holdings of capital instruments in group members by other group members on behalf of third parties </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9D0474E" w14:textId="77777777" w:rsidR="00742F5F" w:rsidRPr="00953F7D" w:rsidRDefault="00742F5F" w:rsidP="009164E6">
            <w:pPr>
              <w:jc w:val="both"/>
              <w:rPr>
                <w:bCs/>
              </w:rPr>
            </w:pPr>
          </w:p>
        </w:tc>
      </w:tr>
      <w:tr w:rsidR="00742F5F" w:rsidRPr="00953F7D" w14:paraId="49D04753" w14:textId="77777777" w:rsidTr="009C3F64">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750" w14:textId="77777777" w:rsidR="00742F5F" w:rsidRPr="00953F7D" w:rsidRDefault="00742F5F" w:rsidP="009164E6">
            <w:pPr>
              <w:jc w:val="both"/>
              <w:rPr>
                <w:bCs/>
              </w:rPr>
            </w:pPr>
            <w:r w:rsidRPr="00953F7D">
              <w:rPr>
                <w:bCs/>
              </w:rPr>
              <w:t>56b</w:t>
            </w:r>
          </w:p>
        </w:tc>
        <w:tc>
          <w:tcPr>
            <w:tcW w:w="6237" w:type="dxa"/>
            <w:tcBorders>
              <w:top w:val="single" w:sz="4" w:space="0" w:color="auto"/>
              <w:left w:val="single" w:sz="4" w:space="0" w:color="auto"/>
              <w:bottom w:val="single" w:sz="4" w:space="0" w:color="auto"/>
              <w:right w:val="single" w:sz="4" w:space="0" w:color="auto"/>
            </w:tcBorders>
            <w:shd w:val="clear" w:color="auto" w:fill="auto"/>
            <w:hideMark/>
          </w:tcPr>
          <w:p w14:paraId="49D04751" w14:textId="77777777" w:rsidR="00742F5F" w:rsidRPr="00953F7D" w:rsidRDefault="00742F5F" w:rsidP="00A356A9">
            <w:pPr>
              <w:ind w:left="294" w:firstLine="0"/>
              <w:jc w:val="both"/>
              <w:rPr>
                <w:bCs/>
                <w:iCs/>
              </w:rPr>
            </w:pPr>
            <w:r w:rsidRPr="00953F7D">
              <w:rPr>
                <w:bCs/>
                <w:iCs/>
              </w:rPr>
              <w:t>of which: investments in the capital of financial institutions that are outside the scope of regulatory consolidation not reported in rows 54 and 55</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9D04752" w14:textId="77777777" w:rsidR="00742F5F" w:rsidRPr="00953F7D" w:rsidRDefault="00742F5F" w:rsidP="009164E6">
            <w:pPr>
              <w:jc w:val="both"/>
              <w:rPr>
                <w:bCs/>
              </w:rPr>
            </w:pPr>
          </w:p>
        </w:tc>
      </w:tr>
      <w:tr w:rsidR="00742F5F" w:rsidRPr="00953F7D" w14:paraId="49D04757" w14:textId="77777777" w:rsidTr="009C3F64">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754" w14:textId="77777777" w:rsidR="00742F5F" w:rsidRPr="00953F7D" w:rsidRDefault="00742F5F" w:rsidP="009164E6">
            <w:pPr>
              <w:jc w:val="both"/>
              <w:rPr>
                <w:bCs/>
              </w:rPr>
            </w:pPr>
            <w:r w:rsidRPr="00953F7D">
              <w:rPr>
                <w:bCs/>
              </w:rPr>
              <w:t>56c</w:t>
            </w:r>
          </w:p>
        </w:tc>
        <w:tc>
          <w:tcPr>
            <w:tcW w:w="6237" w:type="dxa"/>
            <w:tcBorders>
              <w:top w:val="single" w:sz="4" w:space="0" w:color="auto"/>
              <w:left w:val="single" w:sz="4" w:space="0" w:color="auto"/>
              <w:bottom w:val="single" w:sz="4" w:space="0" w:color="auto"/>
              <w:right w:val="single" w:sz="4" w:space="0" w:color="auto"/>
            </w:tcBorders>
            <w:shd w:val="clear" w:color="auto" w:fill="auto"/>
            <w:hideMark/>
          </w:tcPr>
          <w:p w14:paraId="49D04755" w14:textId="77777777" w:rsidR="00742F5F" w:rsidRPr="00953F7D" w:rsidRDefault="00742F5F" w:rsidP="00A356A9">
            <w:pPr>
              <w:ind w:left="294" w:firstLine="0"/>
              <w:jc w:val="both"/>
              <w:rPr>
                <w:bCs/>
                <w:iCs/>
              </w:rPr>
            </w:pPr>
            <w:r w:rsidRPr="00953F7D">
              <w:rPr>
                <w:bCs/>
                <w:iCs/>
              </w:rPr>
              <w:t>of which: other national specific regulatory adjustments not reported in rows 56a and 56b</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9D04756" w14:textId="77777777" w:rsidR="00742F5F" w:rsidRPr="00953F7D" w:rsidRDefault="00742F5F" w:rsidP="009164E6">
            <w:pPr>
              <w:jc w:val="both"/>
              <w:rPr>
                <w:bCs/>
              </w:rPr>
            </w:pPr>
          </w:p>
        </w:tc>
      </w:tr>
      <w:tr w:rsidR="00742F5F" w:rsidRPr="00953F7D" w14:paraId="49D0475B"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58" w14:textId="77777777" w:rsidR="00742F5F" w:rsidRPr="00953F7D" w:rsidRDefault="00742F5F" w:rsidP="009164E6">
            <w:pPr>
              <w:jc w:val="both"/>
              <w:rPr>
                <w:bCs/>
              </w:rPr>
            </w:pPr>
            <w:r w:rsidRPr="00953F7D">
              <w:rPr>
                <w:bCs/>
              </w:rPr>
              <w:t>57</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759" w14:textId="77777777" w:rsidR="00742F5F" w:rsidRPr="00953F7D" w:rsidRDefault="00742F5F" w:rsidP="009164E6">
            <w:pPr>
              <w:jc w:val="both"/>
              <w:rPr>
                <w:b/>
                <w:bCs/>
              </w:rPr>
            </w:pPr>
            <w:r w:rsidRPr="00953F7D">
              <w:rPr>
                <w:b/>
                <w:bCs/>
              </w:rPr>
              <w:t>Total regulatory adjustments to Tier 2 capital</w:t>
            </w:r>
          </w:p>
        </w:tc>
        <w:tc>
          <w:tcPr>
            <w:tcW w:w="851" w:type="dxa"/>
            <w:tcBorders>
              <w:top w:val="single" w:sz="4" w:space="0" w:color="auto"/>
              <w:left w:val="single" w:sz="4" w:space="0" w:color="auto"/>
              <w:bottom w:val="single" w:sz="4" w:space="0" w:color="auto"/>
              <w:right w:val="single" w:sz="4" w:space="0" w:color="auto"/>
            </w:tcBorders>
          </w:tcPr>
          <w:p w14:paraId="49D0475A" w14:textId="77777777" w:rsidR="00742F5F" w:rsidRPr="00953F7D" w:rsidRDefault="00742F5F" w:rsidP="009164E6">
            <w:pPr>
              <w:jc w:val="both"/>
              <w:rPr>
                <w:bCs/>
              </w:rPr>
            </w:pPr>
          </w:p>
        </w:tc>
      </w:tr>
      <w:tr w:rsidR="00742F5F" w:rsidRPr="00953F7D" w14:paraId="49D0475F"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5C" w14:textId="77777777" w:rsidR="00742F5F" w:rsidRPr="00953F7D" w:rsidRDefault="00742F5F" w:rsidP="009164E6">
            <w:pPr>
              <w:jc w:val="both"/>
              <w:rPr>
                <w:bCs/>
              </w:rPr>
            </w:pPr>
            <w:r w:rsidRPr="00953F7D">
              <w:rPr>
                <w:bCs/>
              </w:rPr>
              <w:t>58</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75D" w14:textId="77777777" w:rsidR="00742F5F" w:rsidRPr="00953F7D" w:rsidRDefault="00742F5F" w:rsidP="009164E6">
            <w:pPr>
              <w:jc w:val="both"/>
              <w:rPr>
                <w:b/>
                <w:bCs/>
              </w:rPr>
            </w:pPr>
            <w:r w:rsidRPr="00953F7D">
              <w:rPr>
                <w:b/>
                <w:bCs/>
              </w:rPr>
              <w:t>Tier 2 capital (T2)</w:t>
            </w:r>
          </w:p>
        </w:tc>
        <w:tc>
          <w:tcPr>
            <w:tcW w:w="851" w:type="dxa"/>
            <w:tcBorders>
              <w:top w:val="single" w:sz="4" w:space="0" w:color="auto"/>
              <w:left w:val="single" w:sz="4" w:space="0" w:color="auto"/>
              <w:bottom w:val="single" w:sz="4" w:space="0" w:color="auto"/>
              <w:right w:val="single" w:sz="4" w:space="0" w:color="auto"/>
            </w:tcBorders>
          </w:tcPr>
          <w:p w14:paraId="49D0475E" w14:textId="77777777" w:rsidR="00742F5F" w:rsidRPr="00953F7D" w:rsidRDefault="00742F5F" w:rsidP="009164E6">
            <w:pPr>
              <w:jc w:val="both"/>
              <w:rPr>
                <w:bCs/>
              </w:rPr>
            </w:pPr>
          </w:p>
        </w:tc>
      </w:tr>
      <w:tr w:rsidR="00742F5F" w:rsidRPr="00953F7D" w14:paraId="49D04763"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60" w14:textId="77777777" w:rsidR="00742F5F" w:rsidRPr="00953F7D" w:rsidRDefault="00742F5F" w:rsidP="009164E6">
            <w:pPr>
              <w:jc w:val="both"/>
              <w:rPr>
                <w:bCs/>
              </w:rPr>
            </w:pPr>
            <w:r w:rsidRPr="00953F7D">
              <w:rPr>
                <w:bCs/>
              </w:rPr>
              <w:t>59</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761" w14:textId="77777777" w:rsidR="00742F5F" w:rsidRPr="00953F7D" w:rsidRDefault="00742F5F" w:rsidP="009164E6">
            <w:pPr>
              <w:jc w:val="both"/>
              <w:rPr>
                <w:b/>
                <w:bCs/>
              </w:rPr>
            </w:pPr>
            <w:r w:rsidRPr="00953F7D">
              <w:rPr>
                <w:b/>
                <w:bCs/>
              </w:rPr>
              <w:t>Total capital (TC=T1+T2)</w:t>
            </w:r>
          </w:p>
        </w:tc>
        <w:tc>
          <w:tcPr>
            <w:tcW w:w="851" w:type="dxa"/>
            <w:tcBorders>
              <w:top w:val="single" w:sz="4" w:space="0" w:color="auto"/>
              <w:left w:val="single" w:sz="4" w:space="0" w:color="auto"/>
              <w:bottom w:val="single" w:sz="4" w:space="0" w:color="auto"/>
              <w:right w:val="single" w:sz="4" w:space="0" w:color="auto"/>
            </w:tcBorders>
          </w:tcPr>
          <w:p w14:paraId="49D04762" w14:textId="77777777" w:rsidR="00742F5F" w:rsidRPr="00953F7D" w:rsidRDefault="00742F5F" w:rsidP="009164E6">
            <w:pPr>
              <w:jc w:val="both"/>
              <w:rPr>
                <w:bCs/>
              </w:rPr>
            </w:pPr>
          </w:p>
        </w:tc>
      </w:tr>
      <w:tr w:rsidR="00742F5F" w:rsidRPr="00953F7D" w14:paraId="49D04767"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64" w14:textId="77777777" w:rsidR="00742F5F" w:rsidRPr="00953F7D" w:rsidRDefault="00742F5F" w:rsidP="009164E6">
            <w:pPr>
              <w:jc w:val="both"/>
              <w:rPr>
                <w:bCs/>
              </w:rPr>
            </w:pPr>
            <w:r w:rsidRPr="00953F7D">
              <w:rPr>
                <w:bCs/>
              </w:rPr>
              <w:t>60</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765" w14:textId="77777777" w:rsidR="00742F5F" w:rsidRPr="00953F7D" w:rsidRDefault="00742F5F" w:rsidP="009164E6">
            <w:pPr>
              <w:jc w:val="both"/>
              <w:rPr>
                <w:b/>
                <w:bCs/>
              </w:rPr>
            </w:pPr>
            <w:r w:rsidRPr="00953F7D">
              <w:rPr>
                <w:b/>
                <w:bCs/>
              </w:rPr>
              <w:t>Total risk-weighted assets based on APRA standards</w:t>
            </w:r>
          </w:p>
        </w:tc>
        <w:tc>
          <w:tcPr>
            <w:tcW w:w="851" w:type="dxa"/>
            <w:tcBorders>
              <w:top w:val="single" w:sz="4" w:space="0" w:color="auto"/>
              <w:left w:val="single" w:sz="4" w:space="0" w:color="auto"/>
              <w:bottom w:val="single" w:sz="4" w:space="0" w:color="auto"/>
              <w:right w:val="single" w:sz="4" w:space="0" w:color="auto"/>
            </w:tcBorders>
          </w:tcPr>
          <w:p w14:paraId="49D04766" w14:textId="77777777" w:rsidR="00742F5F" w:rsidRPr="00953F7D" w:rsidRDefault="00742F5F" w:rsidP="009164E6">
            <w:pPr>
              <w:jc w:val="both"/>
              <w:rPr>
                <w:bCs/>
              </w:rPr>
            </w:pPr>
          </w:p>
        </w:tc>
      </w:tr>
      <w:tr w:rsidR="00742F5F" w:rsidRPr="00953F7D" w14:paraId="49D0476B" w14:textId="77777777" w:rsidTr="009C3F64">
        <w:tc>
          <w:tcPr>
            <w:tcW w:w="1134" w:type="dxa"/>
            <w:tcBorders>
              <w:top w:val="single" w:sz="4" w:space="0" w:color="auto"/>
              <w:left w:val="single" w:sz="4" w:space="0" w:color="auto"/>
              <w:bottom w:val="single" w:sz="4" w:space="0" w:color="auto"/>
              <w:right w:val="single" w:sz="4" w:space="0" w:color="auto"/>
            </w:tcBorders>
            <w:shd w:val="clear" w:color="auto" w:fill="BFBFBF"/>
            <w:hideMark/>
          </w:tcPr>
          <w:p w14:paraId="49D04768" w14:textId="77777777" w:rsidR="00742F5F" w:rsidRPr="00953F7D" w:rsidRDefault="00742F5F" w:rsidP="009164E6">
            <w:pPr>
              <w:jc w:val="both"/>
              <w:rPr>
                <w:bCs/>
              </w:rPr>
            </w:pPr>
          </w:p>
        </w:tc>
        <w:tc>
          <w:tcPr>
            <w:tcW w:w="6237" w:type="dxa"/>
            <w:tcBorders>
              <w:top w:val="single" w:sz="4" w:space="0" w:color="auto"/>
              <w:left w:val="single" w:sz="4" w:space="0" w:color="auto"/>
              <w:bottom w:val="single" w:sz="4" w:space="0" w:color="auto"/>
              <w:right w:val="single" w:sz="4" w:space="0" w:color="auto"/>
            </w:tcBorders>
            <w:shd w:val="clear" w:color="auto" w:fill="BFBFBF"/>
            <w:hideMark/>
          </w:tcPr>
          <w:p w14:paraId="49D04769" w14:textId="77777777" w:rsidR="00742F5F" w:rsidRPr="00953F7D" w:rsidRDefault="00742F5F" w:rsidP="009164E6">
            <w:pPr>
              <w:jc w:val="both"/>
              <w:rPr>
                <w:b/>
                <w:bCs/>
              </w:rPr>
            </w:pPr>
            <w:r w:rsidRPr="00953F7D">
              <w:rPr>
                <w:b/>
                <w:bCs/>
              </w:rPr>
              <w:t>Capital ratios and buffers</w:t>
            </w:r>
          </w:p>
        </w:tc>
        <w:tc>
          <w:tcPr>
            <w:tcW w:w="851" w:type="dxa"/>
            <w:tcBorders>
              <w:top w:val="single" w:sz="4" w:space="0" w:color="auto"/>
              <w:left w:val="single" w:sz="4" w:space="0" w:color="auto"/>
              <w:bottom w:val="single" w:sz="4" w:space="0" w:color="auto"/>
              <w:right w:val="single" w:sz="4" w:space="0" w:color="auto"/>
            </w:tcBorders>
            <w:shd w:val="clear" w:color="auto" w:fill="BFBFBF"/>
          </w:tcPr>
          <w:p w14:paraId="49D0476A" w14:textId="77777777" w:rsidR="00742F5F" w:rsidRPr="00953F7D" w:rsidRDefault="00742F5F" w:rsidP="009164E6">
            <w:pPr>
              <w:jc w:val="both"/>
              <w:rPr>
                <w:bCs/>
              </w:rPr>
            </w:pPr>
          </w:p>
        </w:tc>
      </w:tr>
      <w:tr w:rsidR="00742F5F" w:rsidRPr="00953F7D" w14:paraId="49D0476F"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6C" w14:textId="77777777" w:rsidR="00742F5F" w:rsidRPr="00953F7D" w:rsidRDefault="00742F5F" w:rsidP="009164E6">
            <w:pPr>
              <w:jc w:val="both"/>
              <w:rPr>
                <w:bCs/>
              </w:rPr>
            </w:pPr>
            <w:r w:rsidRPr="00953F7D">
              <w:rPr>
                <w:bCs/>
              </w:rPr>
              <w:t>61</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76D" w14:textId="77777777" w:rsidR="00742F5F" w:rsidRPr="00953F7D" w:rsidRDefault="00742F5F" w:rsidP="006E76CA">
            <w:pPr>
              <w:ind w:left="11" w:firstLine="0"/>
              <w:jc w:val="both"/>
              <w:rPr>
                <w:bCs/>
              </w:rPr>
            </w:pPr>
            <w:r w:rsidRPr="00953F7D">
              <w:rPr>
                <w:bCs/>
              </w:rPr>
              <w:t xml:space="preserve">Common Equity Tier 1 (as a percentage of risk-weighted assets) </w:t>
            </w:r>
          </w:p>
        </w:tc>
        <w:tc>
          <w:tcPr>
            <w:tcW w:w="851" w:type="dxa"/>
            <w:tcBorders>
              <w:top w:val="single" w:sz="4" w:space="0" w:color="auto"/>
              <w:left w:val="single" w:sz="4" w:space="0" w:color="auto"/>
              <w:bottom w:val="single" w:sz="4" w:space="0" w:color="auto"/>
              <w:right w:val="single" w:sz="4" w:space="0" w:color="auto"/>
            </w:tcBorders>
          </w:tcPr>
          <w:p w14:paraId="49D0476E" w14:textId="77777777" w:rsidR="00742F5F" w:rsidRPr="00953F7D" w:rsidRDefault="00742F5F" w:rsidP="009164E6">
            <w:pPr>
              <w:jc w:val="both"/>
              <w:rPr>
                <w:bCs/>
              </w:rPr>
            </w:pPr>
          </w:p>
        </w:tc>
      </w:tr>
      <w:tr w:rsidR="00742F5F" w:rsidRPr="00953F7D" w14:paraId="49D04773"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70" w14:textId="77777777" w:rsidR="00742F5F" w:rsidRPr="00953F7D" w:rsidRDefault="00742F5F" w:rsidP="009164E6">
            <w:pPr>
              <w:jc w:val="both"/>
              <w:rPr>
                <w:bCs/>
              </w:rPr>
            </w:pPr>
            <w:r w:rsidRPr="00953F7D">
              <w:rPr>
                <w:bCs/>
              </w:rPr>
              <w:t>62</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771" w14:textId="77777777" w:rsidR="00742F5F" w:rsidRPr="00953F7D" w:rsidRDefault="00742F5F" w:rsidP="006E76CA">
            <w:pPr>
              <w:ind w:left="11" w:firstLine="0"/>
              <w:jc w:val="both"/>
              <w:rPr>
                <w:bCs/>
              </w:rPr>
            </w:pPr>
            <w:r w:rsidRPr="00953F7D">
              <w:rPr>
                <w:bCs/>
              </w:rPr>
              <w:t>Tier 1 (as a percentage of risk-weighted assets)</w:t>
            </w:r>
          </w:p>
        </w:tc>
        <w:tc>
          <w:tcPr>
            <w:tcW w:w="851" w:type="dxa"/>
            <w:tcBorders>
              <w:top w:val="single" w:sz="4" w:space="0" w:color="auto"/>
              <w:left w:val="single" w:sz="4" w:space="0" w:color="auto"/>
              <w:bottom w:val="single" w:sz="4" w:space="0" w:color="auto"/>
              <w:right w:val="single" w:sz="4" w:space="0" w:color="auto"/>
            </w:tcBorders>
          </w:tcPr>
          <w:p w14:paraId="49D04772" w14:textId="77777777" w:rsidR="00742F5F" w:rsidRPr="00953F7D" w:rsidRDefault="00742F5F" w:rsidP="009164E6">
            <w:pPr>
              <w:jc w:val="both"/>
              <w:rPr>
                <w:bCs/>
              </w:rPr>
            </w:pPr>
          </w:p>
        </w:tc>
      </w:tr>
      <w:tr w:rsidR="00742F5F" w:rsidRPr="00953F7D" w14:paraId="49D04777"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74" w14:textId="77777777" w:rsidR="00742F5F" w:rsidRPr="00953F7D" w:rsidRDefault="00742F5F" w:rsidP="009164E6">
            <w:pPr>
              <w:jc w:val="both"/>
              <w:rPr>
                <w:bCs/>
              </w:rPr>
            </w:pPr>
            <w:r w:rsidRPr="00953F7D">
              <w:rPr>
                <w:bCs/>
              </w:rPr>
              <w:t>63</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775" w14:textId="77777777" w:rsidR="00742F5F" w:rsidRPr="00953F7D" w:rsidRDefault="00742F5F" w:rsidP="006E76CA">
            <w:pPr>
              <w:ind w:left="11" w:firstLine="0"/>
              <w:jc w:val="both"/>
              <w:rPr>
                <w:bCs/>
              </w:rPr>
            </w:pPr>
            <w:r w:rsidRPr="00953F7D">
              <w:rPr>
                <w:bCs/>
              </w:rPr>
              <w:t>Total capital (as a percentage of risk-weighted assets)</w:t>
            </w:r>
          </w:p>
        </w:tc>
        <w:tc>
          <w:tcPr>
            <w:tcW w:w="851" w:type="dxa"/>
            <w:tcBorders>
              <w:top w:val="single" w:sz="4" w:space="0" w:color="auto"/>
              <w:left w:val="single" w:sz="4" w:space="0" w:color="auto"/>
              <w:bottom w:val="single" w:sz="4" w:space="0" w:color="auto"/>
              <w:right w:val="single" w:sz="4" w:space="0" w:color="auto"/>
            </w:tcBorders>
          </w:tcPr>
          <w:p w14:paraId="49D04776" w14:textId="77777777" w:rsidR="00742F5F" w:rsidRPr="00953F7D" w:rsidRDefault="00742F5F" w:rsidP="009164E6">
            <w:pPr>
              <w:jc w:val="both"/>
              <w:rPr>
                <w:bCs/>
              </w:rPr>
            </w:pPr>
          </w:p>
        </w:tc>
      </w:tr>
      <w:tr w:rsidR="00742F5F" w:rsidRPr="00953F7D" w14:paraId="49D0477B"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78" w14:textId="77777777" w:rsidR="00742F5F" w:rsidRPr="00953F7D" w:rsidRDefault="00742F5F" w:rsidP="009164E6">
            <w:pPr>
              <w:jc w:val="both"/>
              <w:rPr>
                <w:bCs/>
              </w:rPr>
            </w:pPr>
            <w:r w:rsidRPr="00953F7D">
              <w:rPr>
                <w:bCs/>
              </w:rPr>
              <w:t>64</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779" w14:textId="77777777" w:rsidR="00742F5F" w:rsidRPr="00953F7D" w:rsidRDefault="00742F5F" w:rsidP="00B80CE7">
            <w:pPr>
              <w:ind w:left="11" w:firstLine="0"/>
              <w:jc w:val="both"/>
              <w:rPr>
                <w:bCs/>
              </w:rPr>
            </w:pPr>
            <w:r w:rsidRPr="00953F7D">
              <w:rPr>
                <w:bCs/>
              </w:rPr>
              <w:t>Buffer requirement (minimum CET1 requirement of 4.5% plus capital conservation buffer of 2.5% plus any countercyclical buffer requirements expressed as a percentage of risk-weighted assets)</w:t>
            </w:r>
          </w:p>
        </w:tc>
        <w:tc>
          <w:tcPr>
            <w:tcW w:w="851" w:type="dxa"/>
            <w:tcBorders>
              <w:top w:val="single" w:sz="4" w:space="0" w:color="auto"/>
              <w:left w:val="single" w:sz="4" w:space="0" w:color="auto"/>
              <w:bottom w:val="single" w:sz="4" w:space="0" w:color="auto"/>
              <w:right w:val="single" w:sz="4" w:space="0" w:color="auto"/>
            </w:tcBorders>
          </w:tcPr>
          <w:p w14:paraId="49D0477A" w14:textId="77777777" w:rsidR="00742F5F" w:rsidRPr="00953F7D" w:rsidRDefault="00742F5F" w:rsidP="009164E6">
            <w:pPr>
              <w:jc w:val="both"/>
              <w:rPr>
                <w:bCs/>
                <w:color w:val="FF0000"/>
              </w:rPr>
            </w:pPr>
          </w:p>
        </w:tc>
      </w:tr>
      <w:tr w:rsidR="00742F5F" w:rsidRPr="00953F7D" w14:paraId="49D0477F"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7C" w14:textId="77777777" w:rsidR="00742F5F" w:rsidRPr="00953F7D" w:rsidRDefault="00742F5F" w:rsidP="009164E6">
            <w:pPr>
              <w:jc w:val="both"/>
              <w:rPr>
                <w:bCs/>
              </w:rPr>
            </w:pPr>
            <w:r w:rsidRPr="00953F7D">
              <w:rPr>
                <w:bCs/>
              </w:rPr>
              <w:t>65</w:t>
            </w:r>
          </w:p>
        </w:tc>
        <w:tc>
          <w:tcPr>
            <w:tcW w:w="6237" w:type="dxa"/>
            <w:tcBorders>
              <w:top w:val="single" w:sz="4" w:space="0" w:color="auto"/>
              <w:left w:val="single" w:sz="4" w:space="0" w:color="auto"/>
              <w:bottom w:val="single" w:sz="4" w:space="0" w:color="auto"/>
              <w:right w:val="single" w:sz="4" w:space="0" w:color="auto"/>
            </w:tcBorders>
            <w:hideMark/>
          </w:tcPr>
          <w:p w14:paraId="49D0477D" w14:textId="77777777" w:rsidR="00742F5F" w:rsidRPr="00953F7D" w:rsidRDefault="00742F5F" w:rsidP="00A356A9">
            <w:pPr>
              <w:ind w:left="294" w:firstLine="0"/>
              <w:jc w:val="both"/>
              <w:rPr>
                <w:bCs/>
                <w:i/>
                <w:iCs/>
              </w:rPr>
            </w:pPr>
            <w:r w:rsidRPr="00953F7D">
              <w:rPr>
                <w:bCs/>
                <w:i/>
                <w:iCs/>
              </w:rPr>
              <w:t>of which: capital conservation buffer requirement</w:t>
            </w:r>
          </w:p>
        </w:tc>
        <w:tc>
          <w:tcPr>
            <w:tcW w:w="851" w:type="dxa"/>
            <w:tcBorders>
              <w:top w:val="single" w:sz="4" w:space="0" w:color="auto"/>
              <w:left w:val="single" w:sz="4" w:space="0" w:color="auto"/>
              <w:bottom w:val="single" w:sz="4" w:space="0" w:color="auto"/>
              <w:right w:val="single" w:sz="4" w:space="0" w:color="auto"/>
            </w:tcBorders>
          </w:tcPr>
          <w:p w14:paraId="49D0477E" w14:textId="77777777" w:rsidR="00742F5F" w:rsidRPr="00953F7D" w:rsidRDefault="00742F5F" w:rsidP="009164E6">
            <w:pPr>
              <w:jc w:val="both"/>
              <w:rPr>
                <w:bCs/>
              </w:rPr>
            </w:pPr>
          </w:p>
        </w:tc>
      </w:tr>
      <w:tr w:rsidR="00742F5F" w:rsidRPr="00953F7D" w14:paraId="49D04783"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80" w14:textId="77777777" w:rsidR="00742F5F" w:rsidRPr="00953F7D" w:rsidRDefault="00742F5F" w:rsidP="009164E6">
            <w:pPr>
              <w:jc w:val="both"/>
              <w:rPr>
                <w:bCs/>
              </w:rPr>
            </w:pPr>
            <w:r w:rsidRPr="00953F7D">
              <w:rPr>
                <w:bCs/>
              </w:rPr>
              <w:t>66</w:t>
            </w:r>
          </w:p>
        </w:tc>
        <w:tc>
          <w:tcPr>
            <w:tcW w:w="6237" w:type="dxa"/>
            <w:tcBorders>
              <w:top w:val="single" w:sz="4" w:space="0" w:color="auto"/>
              <w:left w:val="single" w:sz="4" w:space="0" w:color="auto"/>
              <w:bottom w:val="single" w:sz="4" w:space="0" w:color="auto"/>
              <w:right w:val="single" w:sz="4" w:space="0" w:color="auto"/>
            </w:tcBorders>
            <w:hideMark/>
          </w:tcPr>
          <w:p w14:paraId="49D04781" w14:textId="77777777" w:rsidR="00742F5F" w:rsidRPr="00953F7D" w:rsidRDefault="00742F5F" w:rsidP="00A356A9">
            <w:pPr>
              <w:ind w:left="294" w:firstLine="0"/>
              <w:jc w:val="both"/>
              <w:rPr>
                <w:bCs/>
                <w:i/>
                <w:iCs/>
              </w:rPr>
            </w:pPr>
            <w:r w:rsidRPr="00953F7D">
              <w:rPr>
                <w:bCs/>
                <w:i/>
                <w:iCs/>
              </w:rPr>
              <w:t>of which: ADI-specific countercyclical buffer requirements</w:t>
            </w:r>
          </w:p>
        </w:tc>
        <w:tc>
          <w:tcPr>
            <w:tcW w:w="851" w:type="dxa"/>
            <w:tcBorders>
              <w:top w:val="single" w:sz="4" w:space="0" w:color="auto"/>
              <w:left w:val="single" w:sz="4" w:space="0" w:color="auto"/>
              <w:bottom w:val="single" w:sz="4" w:space="0" w:color="auto"/>
              <w:right w:val="single" w:sz="4" w:space="0" w:color="auto"/>
            </w:tcBorders>
          </w:tcPr>
          <w:p w14:paraId="49D04782" w14:textId="77777777" w:rsidR="00742F5F" w:rsidRPr="00953F7D" w:rsidRDefault="00742F5F" w:rsidP="009164E6">
            <w:pPr>
              <w:pStyle w:val="NoSpacing"/>
              <w:jc w:val="both"/>
            </w:pPr>
          </w:p>
        </w:tc>
      </w:tr>
      <w:tr w:rsidR="00742F5F" w:rsidRPr="00953F7D" w14:paraId="49D04787"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84" w14:textId="77777777" w:rsidR="00742F5F" w:rsidRPr="00953F7D" w:rsidRDefault="00742F5F" w:rsidP="009164E6">
            <w:pPr>
              <w:jc w:val="both"/>
              <w:rPr>
                <w:bCs/>
              </w:rPr>
            </w:pPr>
            <w:r w:rsidRPr="00953F7D">
              <w:rPr>
                <w:bCs/>
              </w:rPr>
              <w:t>67</w:t>
            </w:r>
          </w:p>
        </w:tc>
        <w:tc>
          <w:tcPr>
            <w:tcW w:w="6237" w:type="dxa"/>
            <w:tcBorders>
              <w:top w:val="single" w:sz="4" w:space="0" w:color="auto"/>
              <w:left w:val="single" w:sz="4" w:space="0" w:color="auto"/>
              <w:bottom w:val="single" w:sz="4" w:space="0" w:color="auto"/>
              <w:right w:val="single" w:sz="4" w:space="0" w:color="auto"/>
            </w:tcBorders>
            <w:hideMark/>
          </w:tcPr>
          <w:p w14:paraId="49D04785" w14:textId="77777777" w:rsidR="00742F5F" w:rsidRPr="00953F7D" w:rsidRDefault="00742F5F" w:rsidP="00A356A9">
            <w:pPr>
              <w:ind w:left="294" w:firstLine="0"/>
              <w:jc w:val="both"/>
              <w:rPr>
                <w:bCs/>
                <w:i/>
                <w:iCs/>
              </w:rPr>
            </w:pPr>
            <w:r w:rsidRPr="00953F7D">
              <w:rPr>
                <w:bCs/>
                <w:i/>
                <w:iCs/>
              </w:rPr>
              <w:t>of which: G-SIB buffer requirement (not applicable)</w:t>
            </w:r>
          </w:p>
        </w:tc>
        <w:tc>
          <w:tcPr>
            <w:tcW w:w="851" w:type="dxa"/>
            <w:tcBorders>
              <w:top w:val="single" w:sz="4" w:space="0" w:color="auto"/>
              <w:left w:val="single" w:sz="4" w:space="0" w:color="auto"/>
              <w:bottom w:val="single" w:sz="4" w:space="0" w:color="auto"/>
              <w:right w:val="single" w:sz="4" w:space="0" w:color="auto"/>
            </w:tcBorders>
            <w:shd w:val="clear" w:color="auto" w:fill="000000" w:themeFill="text1"/>
          </w:tcPr>
          <w:p w14:paraId="49D04786" w14:textId="77777777" w:rsidR="00742F5F" w:rsidRPr="00953F7D" w:rsidRDefault="00742F5F" w:rsidP="009164E6">
            <w:pPr>
              <w:jc w:val="both"/>
              <w:rPr>
                <w:bCs/>
              </w:rPr>
            </w:pPr>
          </w:p>
        </w:tc>
      </w:tr>
      <w:tr w:rsidR="00742F5F" w:rsidRPr="00953F7D" w14:paraId="49D0478B"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88" w14:textId="77777777" w:rsidR="00742F5F" w:rsidRPr="00953F7D" w:rsidRDefault="00742F5F" w:rsidP="009164E6">
            <w:pPr>
              <w:jc w:val="both"/>
              <w:rPr>
                <w:bCs/>
              </w:rPr>
            </w:pPr>
            <w:r w:rsidRPr="00953F7D">
              <w:rPr>
                <w:bCs/>
              </w:rPr>
              <w:t>68</w:t>
            </w:r>
          </w:p>
        </w:tc>
        <w:tc>
          <w:tcPr>
            <w:tcW w:w="6237" w:type="dxa"/>
            <w:tcBorders>
              <w:top w:val="single" w:sz="4" w:space="0" w:color="auto"/>
              <w:left w:val="single" w:sz="4" w:space="0" w:color="auto"/>
              <w:bottom w:val="single" w:sz="4" w:space="0" w:color="auto"/>
              <w:right w:val="single" w:sz="4" w:space="0" w:color="auto"/>
            </w:tcBorders>
            <w:shd w:val="clear" w:color="auto" w:fill="D9D9D9"/>
            <w:hideMark/>
          </w:tcPr>
          <w:p w14:paraId="49D04789" w14:textId="77777777" w:rsidR="00742F5F" w:rsidRPr="00953F7D" w:rsidRDefault="00742F5F" w:rsidP="00A356A9">
            <w:pPr>
              <w:ind w:left="11" w:firstLine="0"/>
              <w:jc w:val="both"/>
              <w:rPr>
                <w:bCs/>
              </w:rPr>
            </w:pPr>
            <w:r w:rsidRPr="00953F7D">
              <w:rPr>
                <w:bCs/>
              </w:rPr>
              <w:t>Common Equity Tier 1 available to meet buffers (as a percentage of risk-weighted assets)</w:t>
            </w:r>
          </w:p>
        </w:tc>
        <w:tc>
          <w:tcPr>
            <w:tcW w:w="851" w:type="dxa"/>
            <w:tcBorders>
              <w:top w:val="single" w:sz="4" w:space="0" w:color="auto"/>
              <w:left w:val="single" w:sz="4" w:space="0" w:color="auto"/>
              <w:bottom w:val="single" w:sz="4" w:space="0" w:color="auto"/>
              <w:right w:val="single" w:sz="4" w:space="0" w:color="auto"/>
            </w:tcBorders>
          </w:tcPr>
          <w:p w14:paraId="49D0478A" w14:textId="77777777" w:rsidR="00742F5F" w:rsidRPr="00953F7D" w:rsidRDefault="00742F5F" w:rsidP="009164E6">
            <w:pPr>
              <w:jc w:val="both"/>
              <w:rPr>
                <w:bCs/>
              </w:rPr>
            </w:pPr>
          </w:p>
        </w:tc>
      </w:tr>
      <w:tr w:rsidR="00742F5F" w:rsidRPr="00953F7D" w14:paraId="49D0478D" w14:textId="77777777" w:rsidTr="009C3F64">
        <w:tc>
          <w:tcPr>
            <w:tcW w:w="822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49D0478C" w14:textId="77777777" w:rsidR="00742F5F" w:rsidRPr="00953F7D" w:rsidRDefault="00742F5F" w:rsidP="009164E6">
            <w:pPr>
              <w:jc w:val="both"/>
              <w:rPr>
                <w:b/>
                <w:bCs/>
              </w:rPr>
            </w:pPr>
            <w:r w:rsidRPr="00953F7D">
              <w:rPr>
                <w:b/>
                <w:bCs/>
              </w:rPr>
              <w:t>National minima (if different from Basel III)</w:t>
            </w:r>
          </w:p>
        </w:tc>
      </w:tr>
      <w:tr w:rsidR="00742F5F" w:rsidRPr="00953F7D" w14:paraId="49D04791"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8E" w14:textId="77777777" w:rsidR="00742F5F" w:rsidRPr="00953F7D" w:rsidRDefault="00742F5F" w:rsidP="009164E6">
            <w:pPr>
              <w:jc w:val="both"/>
              <w:rPr>
                <w:bCs/>
              </w:rPr>
            </w:pPr>
            <w:r w:rsidRPr="00953F7D">
              <w:rPr>
                <w:bCs/>
              </w:rPr>
              <w:t>69</w:t>
            </w:r>
          </w:p>
        </w:tc>
        <w:tc>
          <w:tcPr>
            <w:tcW w:w="6237" w:type="dxa"/>
            <w:tcBorders>
              <w:top w:val="single" w:sz="4" w:space="0" w:color="auto"/>
              <w:left w:val="single" w:sz="4" w:space="0" w:color="auto"/>
              <w:bottom w:val="single" w:sz="4" w:space="0" w:color="auto"/>
              <w:right w:val="single" w:sz="4" w:space="0" w:color="auto"/>
            </w:tcBorders>
            <w:hideMark/>
          </w:tcPr>
          <w:p w14:paraId="49D0478F" w14:textId="77777777" w:rsidR="00742F5F" w:rsidRPr="00953F7D" w:rsidRDefault="00742F5F" w:rsidP="006E76CA">
            <w:pPr>
              <w:ind w:left="11" w:firstLine="0"/>
              <w:jc w:val="both"/>
              <w:rPr>
                <w:bCs/>
              </w:rPr>
            </w:pPr>
            <w:r w:rsidRPr="00953F7D">
              <w:rPr>
                <w:bCs/>
              </w:rPr>
              <w:t>National Common Equity Tier 1 minimum ratio (if different from Basel III minimum)</w:t>
            </w:r>
          </w:p>
        </w:tc>
        <w:tc>
          <w:tcPr>
            <w:tcW w:w="851" w:type="dxa"/>
            <w:tcBorders>
              <w:top w:val="single" w:sz="4" w:space="0" w:color="auto"/>
              <w:left w:val="single" w:sz="4" w:space="0" w:color="auto"/>
              <w:bottom w:val="single" w:sz="4" w:space="0" w:color="auto"/>
              <w:right w:val="single" w:sz="4" w:space="0" w:color="auto"/>
            </w:tcBorders>
            <w:shd w:val="clear" w:color="auto" w:fill="000000"/>
          </w:tcPr>
          <w:p w14:paraId="49D04790" w14:textId="77777777" w:rsidR="00742F5F" w:rsidRPr="00953F7D" w:rsidRDefault="00742F5F" w:rsidP="009164E6">
            <w:pPr>
              <w:jc w:val="both"/>
              <w:rPr>
                <w:bCs/>
              </w:rPr>
            </w:pPr>
          </w:p>
        </w:tc>
      </w:tr>
      <w:tr w:rsidR="00742F5F" w:rsidRPr="00953F7D" w14:paraId="49D04795"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92" w14:textId="77777777" w:rsidR="00742F5F" w:rsidRPr="00953F7D" w:rsidRDefault="00742F5F" w:rsidP="009164E6">
            <w:pPr>
              <w:jc w:val="both"/>
              <w:rPr>
                <w:bCs/>
              </w:rPr>
            </w:pPr>
            <w:r w:rsidRPr="00953F7D">
              <w:rPr>
                <w:bCs/>
              </w:rPr>
              <w:t>70</w:t>
            </w:r>
          </w:p>
        </w:tc>
        <w:tc>
          <w:tcPr>
            <w:tcW w:w="6237" w:type="dxa"/>
            <w:tcBorders>
              <w:top w:val="single" w:sz="4" w:space="0" w:color="auto"/>
              <w:left w:val="single" w:sz="4" w:space="0" w:color="auto"/>
              <w:bottom w:val="single" w:sz="4" w:space="0" w:color="auto"/>
              <w:right w:val="single" w:sz="4" w:space="0" w:color="auto"/>
            </w:tcBorders>
            <w:hideMark/>
          </w:tcPr>
          <w:p w14:paraId="49D04793" w14:textId="77777777" w:rsidR="00742F5F" w:rsidRPr="00953F7D" w:rsidRDefault="00742F5F" w:rsidP="006E76CA">
            <w:pPr>
              <w:ind w:left="11" w:firstLine="0"/>
              <w:jc w:val="both"/>
              <w:rPr>
                <w:bCs/>
              </w:rPr>
            </w:pPr>
            <w:r w:rsidRPr="00953F7D">
              <w:rPr>
                <w:bCs/>
              </w:rPr>
              <w:t>National Tier 1 minimum ratio (if different from Basel III minimum)</w:t>
            </w:r>
          </w:p>
        </w:tc>
        <w:tc>
          <w:tcPr>
            <w:tcW w:w="851" w:type="dxa"/>
            <w:tcBorders>
              <w:top w:val="single" w:sz="4" w:space="0" w:color="auto"/>
              <w:left w:val="single" w:sz="4" w:space="0" w:color="auto"/>
              <w:bottom w:val="single" w:sz="4" w:space="0" w:color="auto"/>
              <w:right w:val="single" w:sz="4" w:space="0" w:color="auto"/>
            </w:tcBorders>
            <w:shd w:val="clear" w:color="auto" w:fill="000000"/>
          </w:tcPr>
          <w:p w14:paraId="49D04794" w14:textId="77777777" w:rsidR="00742F5F" w:rsidRPr="00953F7D" w:rsidRDefault="00742F5F" w:rsidP="009164E6">
            <w:pPr>
              <w:jc w:val="both"/>
              <w:rPr>
                <w:bCs/>
              </w:rPr>
            </w:pPr>
          </w:p>
        </w:tc>
      </w:tr>
      <w:tr w:rsidR="00742F5F" w:rsidRPr="00953F7D" w14:paraId="49D04799"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96" w14:textId="77777777" w:rsidR="00742F5F" w:rsidRPr="00953F7D" w:rsidRDefault="00742F5F" w:rsidP="009164E6">
            <w:pPr>
              <w:jc w:val="both"/>
              <w:rPr>
                <w:bCs/>
              </w:rPr>
            </w:pPr>
            <w:r w:rsidRPr="00953F7D">
              <w:rPr>
                <w:bCs/>
              </w:rPr>
              <w:t>71</w:t>
            </w:r>
          </w:p>
        </w:tc>
        <w:tc>
          <w:tcPr>
            <w:tcW w:w="6237" w:type="dxa"/>
            <w:tcBorders>
              <w:top w:val="single" w:sz="4" w:space="0" w:color="auto"/>
              <w:left w:val="single" w:sz="4" w:space="0" w:color="auto"/>
              <w:bottom w:val="single" w:sz="4" w:space="0" w:color="auto"/>
              <w:right w:val="single" w:sz="4" w:space="0" w:color="auto"/>
            </w:tcBorders>
            <w:hideMark/>
          </w:tcPr>
          <w:p w14:paraId="49D04797" w14:textId="77777777" w:rsidR="00742F5F" w:rsidRPr="00953F7D" w:rsidRDefault="00742F5F" w:rsidP="006E76CA">
            <w:pPr>
              <w:ind w:left="11" w:firstLine="0"/>
              <w:jc w:val="both"/>
              <w:rPr>
                <w:bCs/>
              </w:rPr>
            </w:pPr>
            <w:r w:rsidRPr="00953F7D">
              <w:rPr>
                <w:bCs/>
              </w:rPr>
              <w:t>National total capital minimum ratio (if different from Basel III minimum)</w:t>
            </w:r>
          </w:p>
        </w:tc>
        <w:tc>
          <w:tcPr>
            <w:tcW w:w="851" w:type="dxa"/>
            <w:tcBorders>
              <w:top w:val="single" w:sz="4" w:space="0" w:color="auto"/>
              <w:left w:val="single" w:sz="4" w:space="0" w:color="auto"/>
              <w:bottom w:val="single" w:sz="4" w:space="0" w:color="auto"/>
              <w:right w:val="single" w:sz="4" w:space="0" w:color="auto"/>
            </w:tcBorders>
            <w:shd w:val="clear" w:color="auto" w:fill="000000"/>
          </w:tcPr>
          <w:p w14:paraId="49D04798" w14:textId="77777777" w:rsidR="00742F5F" w:rsidRPr="00953F7D" w:rsidRDefault="00742F5F" w:rsidP="009164E6">
            <w:pPr>
              <w:jc w:val="both"/>
              <w:rPr>
                <w:bCs/>
              </w:rPr>
            </w:pPr>
          </w:p>
        </w:tc>
      </w:tr>
      <w:tr w:rsidR="00742F5F" w:rsidRPr="00953F7D" w14:paraId="49D0479B" w14:textId="77777777" w:rsidTr="009C3F64">
        <w:tc>
          <w:tcPr>
            <w:tcW w:w="8222" w:type="dxa"/>
            <w:gridSpan w:val="3"/>
            <w:tcBorders>
              <w:top w:val="single" w:sz="4" w:space="0" w:color="auto"/>
              <w:left w:val="single" w:sz="4" w:space="0" w:color="auto"/>
              <w:bottom w:val="single" w:sz="4" w:space="0" w:color="auto"/>
              <w:right w:val="single" w:sz="4" w:space="0" w:color="auto"/>
            </w:tcBorders>
            <w:shd w:val="clear" w:color="auto" w:fill="BFBFBF"/>
          </w:tcPr>
          <w:p w14:paraId="49D0479A" w14:textId="77777777" w:rsidR="00742F5F" w:rsidRPr="00953F7D" w:rsidRDefault="00742F5F" w:rsidP="009164E6">
            <w:pPr>
              <w:jc w:val="both"/>
              <w:rPr>
                <w:bCs/>
              </w:rPr>
            </w:pPr>
            <w:r w:rsidRPr="00953F7D">
              <w:rPr>
                <w:b/>
                <w:bCs/>
              </w:rPr>
              <w:t>Amount below thresholds for deductions (not risk-weighted)</w:t>
            </w:r>
          </w:p>
        </w:tc>
      </w:tr>
      <w:tr w:rsidR="00742F5F" w:rsidRPr="00953F7D" w14:paraId="49D0479F"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9C" w14:textId="77777777" w:rsidR="00742F5F" w:rsidRPr="00953F7D" w:rsidRDefault="00742F5F" w:rsidP="009164E6">
            <w:pPr>
              <w:jc w:val="both"/>
              <w:rPr>
                <w:bCs/>
              </w:rPr>
            </w:pPr>
            <w:r w:rsidRPr="00953F7D">
              <w:rPr>
                <w:bCs/>
              </w:rPr>
              <w:t>72</w:t>
            </w:r>
          </w:p>
        </w:tc>
        <w:tc>
          <w:tcPr>
            <w:tcW w:w="6237" w:type="dxa"/>
            <w:tcBorders>
              <w:top w:val="single" w:sz="4" w:space="0" w:color="auto"/>
              <w:left w:val="single" w:sz="4" w:space="0" w:color="auto"/>
              <w:bottom w:val="single" w:sz="4" w:space="0" w:color="auto"/>
              <w:right w:val="single" w:sz="4" w:space="0" w:color="auto"/>
            </w:tcBorders>
            <w:hideMark/>
          </w:tcPr>
          <w:p w14:paraId="49D0479D" w14:textId="77777777" w:rsidR="00742F5F" w:rsidRPr="00953F7D" w:rsidRDefault="00742F5F" w:rsidP="006E76CA">
            <w:pPr>
              <w:ind w:left="11" w:firstLine="0"/>
              <w:jc w:val="both"/>
              <w:rPr>
                <w:bCs/>
              </w:rPr>
            </w:pPr>
            <w:r w:rsidRPr="00953F7D">
              <w:rPr>
                <w:bCs/>
              </w:rPr>
              <w:t>Non-significant investments in the capital of other financial entities</w:t>
            </w:r>
          </w:p>
        </w:tc>
        <w:tc>
          <w:tcPr>
            <w:tcW w:w="851" w:type="dxa"/>
            <w:tcBorders>
              <w:top w:val="single" w:sz="4" w:space="0" w:color="auto"/>
              <w:left w:val="single" w:sz="4" w:space="0" w:color="auto"/>
              <w:bottom w:val="single" w:sz="4" w:space="0" w:color="auto"/>
              <w:right w:val="single" w:sz="4" w:space="0" w:color="auto"/>
            </w:tcBorders>
          </w:tcPr>
          <w:p w14:paraId="49D0479E" w14:textId="77777777" w:rsidR="00742F5F" w:rsidRPr="00953F7D" w:rsidRDefault="00742F5F" w:rsidP="009164E6">
            <w:pPr>
              <w:jc w:val="both"/>
              <w:rPr>
                <w:bCs/>
              </w:rPr>
            </w:pPr>
          </w:p>
        </w:tc>
      </w:tr>
      <w:tr w:rsidR="00742F5F" w:rsidRPr="00953F7D" w14:paraId="49D047A3"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A0" w14:textId="77777777" w:rsidR="00742F5F" w:rsidRPr="00953F7D" w:rsidRDefault="00742F5F" w:rsidP="009164E6">
            <w:pPr>
              <w:jc w:val="both"/>
              <w:rPr>
                <w:bCs/>
              </w:rPr>
            </w:pPr>
            <w:r w:rsidRPr="00953F7D">
              <w:rPr>
                <w:bCs/>
              </w:rPr>
              <w:t>73</w:t>
            </w:r>
          </w:p>
        </w:tc>
        <w:tc>
          <w:tcPr>
            <w:tcW w:w="6237" w:type="dxa"/>
            <w:tcBorders>
              <w:top w:val="single" w:sz="4" w:space="0" w:color="auto"/>
              <w:left w:val="single" w:sz="4" w:space="0" w:color="auto"/>
              <w:bottom w:val="single" w:sz="4" w:space="0" w:color="auto"/>
              <w:right w:val="single" w:sz="4" w:space="0" w:color="auto"/>
            </w:tcBorders>
            <w:hideMark/>
          </w:tcPr>
          <w:p w14:paraId="49D047A1" w14:textId="77777777" w:rsidR="00742F5F" w:rsidRPr="00953F7D" w:rsidRDefault="00742F5F" w:rsidP="006E76CA">
            <w:pPr>
              <w:ind w:left="11" w:firstLine="0"/>
              <w:jc w:val="both"/>
              <w:rPr>
                <w:bCs/>
              </w:rPr>
            </w:pPr>
            <w:r w:rsidRPr="00953F7D">
              <w:rPr>
                <w:bCs/>
              </w:rPr>
              <w:t>Significant investments in the ordinary shares of financial entities</w:t>
            </w:r>
          </w:p>
        </w:tc>
        <w:tc>
          <w:tcPr>
            <w:tcW w:w="851" w:type="dxa"/>
            <w:tcBorders>
              <w:top w:val="single" w:sz="4" w:space="0" w:color="auto"/>
              <w:left w:val="single" w:sz="4" w:space="0" w:color="auto"/>
              <w:bottom w:val="single" w:sz="4" w:space="0" w:color="auto"/>
              <w:right w:val="single" w:sz="4" w:space="0" w:color="auto"/>
            </w:tcBorders>
          </w:tcPr>
          <w:p w14:paraId="49D047A2" w14:textId="77777777" w:rsidR="00742F5F" w:rsidRPr="00953F7D" w:rsidRDefault="00742F5F" w:rsidP="009164E6">
            <w:pPr>
              <w:jc w:val="both"/>
              <w:rPr>
                <w:bCs/>
              </w:rPr>
            </w:pPr>
          </w:p>
        </w:tc>
      </w:tr>
      <w:tr w:rsidR="00742F5F" w:rsidRPr="00953F7D" w14:paraId="49D047A7"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A4" w14:textId="77777777" w:rsidR="00742F5F" w:rsidRPr="00953F7D" w:rsidRDefault="00742F5F" w:rsidP="009164E6">
            <w:pPr>
              <w:jc w:val="both"/>
              <w:rPr>
                <w:bCs/>
              </w:rPr>
            </w:pPr>
            <w:r w:rsidRPr="00953F7D">
              <w:rPr>
                <w:bCs/>
              </w:rPr>
              <w:t>74</w:t>
            </w:r>
          </w:p>
        </w:tc>
        <w:tc>
          <w:tcPr>
            <w:tcW w:w="6237" w:type="dxa"/>
            <w:tcBorders>
              <w:top w:val="single" w:sz="4" w:space="0" w:color="auto"/>
              <w:left w:val="single" w:sz="4" w:space="0" w:color="auto"/>
              <w:bottom w:val="single" w:sz="4" w:space="0" w:color="auto"/>
              <w:right w:val="single" w:sz="4" w:space="0" w:color="auto"/>
            </w:tcBorders>
            <w:hideMark/>
          </w:tcPr>
          <w:p w14:paraId="49D047A5" w14:textId="77777777" w:rsidR="00742F5F" w:rsidRPr="00953F7D" w:rsidRDefault="00742F5F" w:rsidP="006E76CA">
            <w:pPr>
              <w:ind w:left="11" w:firstLine="0"/>
              <w:jc w:val="both"/>
              <w:rPr>
                <w:bCs/>
              </w:rPr>
            </w:pPr>
            <w:r w:rsidRPr="00953F7D">
              <w:rPr>
                <w:bCs/>
              </w:rPr>
              <w:t>Mortgage servicing rights (net of related tax liability)</w:t>
            </w:r>
          </w:p>
        </w:tc>
        <w:tc>
          <w:tcPr>
            <w:tcW w:w="851" w:type="dxa"/>
            <w:tcBorders>
              <w:top w:val="single" w:sz="4" w:space="0" w:color="auto"/>
              <w:left w:val="single" w:sz="4" w:space="0" w:color="auto"/>
              <w:bottom w:val="single" w:sz="4" w:space="0" w:color="auto"/>
              <w:right w:val="single" w:sz="4" w:space="0" w:color="auto"/>
            </w:tcBorders>
          </w:tcPr>
          <w:p w14:paraId="49D047A6" w14:textId="77777777" w:rsidR="00742F5F" w:rsidRPr="00953F7D" w:rsidRDefault="00742F5F" w:rsidP="009164E6">
            <w:pPr>
              <w:jc w:val="both"/>
              <w:rPr>
                <w:bCs/>
              </w:rPr>
            </w:pPr>
          </w:p>
        </w:tc>
      </w:tr>
      <w:tr w:rsidR="00742F5F" w:rsidRPr="00953F7D" w14:paraId="49D047AB"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A8" w14:textId="77777777" w:rsidR="00742F5F" w:rsidRPr="00953F7D" w:rsidRDefault="00742F5F" w:rsidP="009164E6">
            <w:pPr>
              <w:jc w:val="both"/>
              <w:rPr>
                <w:bCs/>
              </w:rPr>
            </w:pPr>
            <w:r w:rsidRPr="00953F7D">
              <w:rPr>
                <w:bCs/>
              </w:rPr>
              <w:t>75</w:t>
            </w:r>
          </w:p>
        </w:tc>
        <w:tc>
          <w:tcPr>
            <w:tcW w:w="6237" w:type="dxa"/>
            <w:tcBorders>
              <w:top w:val="single" w:sz="4" w:space="0" w:color="auto"/>
              <w:left w:val="single" w:sz="4" w:space="0" w:color="auto"/>
              <w:bottom w:val="single" w:sz="4" w:space="0" w:color="auto"/>
              <w:right w:val="single" w:sz="4" w:space="0" w:color="auto"/>
            </w:tcBorders>
            <w:hideMark/>
          </w:tcPr>
          <w:p w14:paraId="49D047A9" w14:textId="77777777" w:rsidR="00742F5F" w:rsidRPr="00953F7D" w:rsidRDefault="00742F5F" w:rsidP="006E76CA">
            <w:pPr>
              <w:ind w:left="11" w:firstLine="0"/>
              <w:jc w:val="both"/>
              <w:rPr>
                <w:bCs/>
              </w:rPr>
            </w:pPr>
            <w:r w:rsidRPr="00953F7D">
              <w:rPr>
                <w:bCs/>
              </w:rPr>
              <w:t>Deferred tax assets arising from temporary differences (net of related tax liability)</w:t>
            </w:r>
          </w:p>
        </w:tc>
        <w:tc>
          <w:tcPr>
            <w:tcW w:w="851" w:type="dxa"/>
            <w:tcBorders>
              <w:top w:val="single" w:sz="4" w:space="0" w:color="auto"/>
              <w:left w:val="single" w:sz="4" w:space="0" w:color="auto"/>
              <w:bottom w:val="single" w:sz="4" w:space="0" w:color="auto"/>
              <w:right w:val="single" w:sz="4" w:space="0" w:color="auto"/>
            </w:tcBorders>
          </w:tcPr>
          <w:p w14:paraId="49D047AA" w14:textId="77777777" w:rsidR="00742F5F" w:rsidRPr="00953F7D" w:rsidRDefault="00742F5F" w:rsidP="009164E6">
            <w:pPr>
              <w:jc w:val="both"/>
              <w:rPr>
                <w:bCs/>
              </w:rPr>
            </w:pPr>
          </w:p>
        </w:tc>
      </w:tr>
      <w:tr w:rsidR="00742F5F" w:rsidRPr="00953F7D" w14:paraId="49D047AD" w14:textId="77777777" w:rsidTr="009C3F64">
        <w:tc>
          <w:tcPr>
            <w:tcW w:w="822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49D047AC" w14:textId="77777777" w:rsidR="00742F5F" w:rsidRPr="00953F7D" w:rsidRDefault="00742F5F" w:rsidP="009164E6">
            <w:pPr>
              <w:tabs>
                <w:tab w:val="left" w:pos="1318"/>
              </w:tabs>
              <w:jc w:val="both"/>
              <w:rPr>
                <w:b/>
                <w:bCs/>
              </w:rPr>
            </w:pPr>
            <w:r w:rsidRPr="00953F7D">
              <w:rPr>
                <w:b/>
                <w:bCs/>
              </w:rPr>
              <w:t>Applicable caps on the inclusion of provisions in Tier 2</w:t>
            </w:r>
          </w:p>
        </w:tc>
      </w:tr>
      <w:tr w:rsidR="00742F5F" w:rsidRPr="00953F7D" w14:paraId="49D047B1"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AE" w14:textId="77777777" w:rsidR="00742F5F" w:rsidRPr="003329B4" w:rsidRDefault="00742F5F" w:rsidP="009164E6">
            <w:pPr>
              <w:jc w:val="both"/>
              <w:rPr>
                <w:bCs/>
              </w:rPr>
            </w:pPr>
            <w:r w:rsidRPr="003329B4">
              <w:rPr>
                <w:bCs/>
              </w:rPr>
              <w:t>76</w:t>
            </w:r>
          </w:p>
        </w:tc>
        <w:tc>
          <w:tcPr>
            <w:tcW w:w="6237" w:type="dxa"/>
            <w:tcBorders>
              <w:top w:val="single" w:sz="4" w:space="0" w:color="auto"/>
              <w:left w:val="single" w:sz="4" w:space="0" w:color="auto"/>
              <w:bottom w:val="single" w:sz="4" w:space="0" w:color="auto"/>
              <w:right w:val="single" w:sz="4" w:space="0" w:color="auto"/>
            </w:tcBorders>
            <w:hideMark/>
          </w:tcPr>
          <w:p w14:paraId="49D047AF" w14:textId="77777777" w:rsidR="00742F5F" w:rsidRPr="00953F7D" w:rsidRDefault="00742F5F" w:rsidP="006E76CA">
            <w:pPr>
              <w:ind w:left="11" w:firstLine="0"/>
              <w:jc w:val="both"/>
              <w:rPr>
                <w:bCs/>
              </w:rPr>
            </w:pPr>
            <w:r w:rsidRPr="00953F7D">
              <w:rPr>
                <w:bCs/>
              </w:rPr>
              <w:t>Provisions eligible for inclusion in Tier 2 in respect of exposures subject to standardised approach (prior to application of cap)</w:t>
            </w:r>
          </w:p>
        </w:tc>
        <w:tc>
          <w:tcPr>
            <w:tcW w:w="851" w:type="dxa"/>
            <w:tcBorders>
              <w:top w:val="single" w:sz="4" w:space="0" w:color="auto"/>
              <w:left w:val="single" w:sz="4" w:space="0" w:color="auto"/>
              <w:bottom w:val="single" w:sz="4" w:space="0" w:color="auto"/>
              <w:right w:val="single" w:sz="4" w:space="0" w:color="auto"/>
            </w:tcBorders>
          </w:tcPr>
          <w:p w14:paraId="49D047B0" w14:textId="77777777" w:rsidR="00742F5F" w:rsidRPr="00953F7D" w:rsidRDefault="00742F5F" w:rsidP="009164E6">
            <w:pPr>
              <w:jc w:val="both"/>
              <w:rPr>
                <w:bCs/>
              </w:rPr>
            </w:pPr>
          </w:p>
        </w:tc>
      </w:tr>
      <w:tr w:rsidR="00742F5F" w:rsidRPr="00953F7D" w14:paraId="49D047B5"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B2" w14:textId="77777777" w:rsidR="00742F5F" w:rsidRPr="003329B4" w:rsidRDefault="00742F5F" w:rsidP="009164E6">
            <w:pPr>
              <w:jc w:val="both"/>
              <w:rPr>
                <w:bCs/>
              </w:rPr>
            </w:pPr>
            <w:r w:rsidRPr="003329B4">
              <w:rPr>
                <w:bCs/>
              </w:rPr>
              <w:t>77</w:t>
            </w:r>
          </w:p>
        </w:tc>
        <w:tc>
          <w:tcPr>
            <w:tcW w:w="6237" w:type="dxa"/>
            <w:tcBorders>
              <w:top w:val="single" w:sz="4" w:space="0" w:color="auto"/>
              <w:left w:val="single" w:sz="4" w:space="0" w:color="auto"/>
              <w:bottom w:val="single" w:sz="4" w:space="0" w:color="auto"/>
              <w:right w:val="single" w:sz="4" w:space="0" w:color="auto"/>
            </w:tcBorders>
            <w:hideMark/>
          </w:tcPr>
          <w:p w14:paraId="49D047B3" w14:textId="77777777" w:rsidR="00742F5F" w:rsidRPr="00953F7D" w:rsidRDefault="00742F5F" w:rsidP="006E76CA">
            <w:pPr>
              <w:ind w:left="11" w:firstLine="0"/>
              <w:jc w:val="both"/>
              <w:rPr>
                <w:bCs/>
              </w:rPr>
            </w:pPr>
            <w:r w:rsidRPr="00953F7D">
              <w:rPr>
                <w:bCs/>
              </w:rPr>
              <w:t>Cap on inclusion of provisions in Tier 2 under standardised approach</w:t>
            </w:r>
          </w:p>
        </w:tc>
        <w:tc>
          <w:tcPr>
            <w:tcW w:w="851" w:type="dxa"/>
            <w:tcBorders>
              <w:top w:val="single" w:sz="4" w:space="0" w:color="auto"/>
              <w:left w:val="single" w:sz="4" w:space="0" w:color="auto"/>
              <w:bottom w:val="single" w:sz="4" w:space="0" w:color="auto"/>
              <w:right w:val="single" w:sz="4" w:space="0" w:color="auto"/>
            </w:tcBorders>
          </w:tcPr>
          <w:p w14:paraId="49D047B4" w14:textId="77777777" w:rsidR="00742F5F" w:rsidRPr="00953F7D" w:rsidRDefault="00742F5F" w:rsidP="009164E6">
            <w:pPr>
              <w:jc w:val="both"/>
              <w:rPr>
                <w:bCs/>
              </w:rPr>
            </w:pPr>
          </w:p>
        </w:tc>
      </w:tr>
      <w:tr w:rsidR="00742F5F" w:rsidRPr="00953F7D" w14:paraId="49D047B9"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B6" w14:textId="77777777" w:rsidR="00742F5F" w:rsidRPr="003329B4" w:rsidRDefault="00742F5F" w:rsidP="009164E6">
            <w:pPr>
              <w:jc w:val="both"/>
              <w:rPr>
                <w:bCs/>
              </w:rPr>
            </w:pPr>
            <w:r w:rsidRPr="003329B4">
              <w:rPr>
                <w:bCs/>
              </w:rPr>
              <w:t>78</w:t>
            </w:r>
          </w:p>
        </w:tc>
        <w:tc>
          <w:tcPr>
            <w:tcW w:w="6237" w:type="dxa"/>
            <w:tcBorders>
              <w:top w:val="single" w:sz="4" w:space="0" w:color="auto"/>
              <w:left w:val="single" w:sz="4" w:space="0" w:color="auto"/>
              <w:bottom w:val="single" w:sz="4" w:space="0" w:color="auto"/>
              <w:right w:val="single" w:sz="4" w:space="0" w:color="auto"/>
            </w:tcBorders>
            <w:hideMark/>
          </w:tcPr>
          <w:p w14:paraId="49D047B7" w14:textId="77777777" w:rsidR="00742F5F" w:rsidRPr="00953F7D" w:rsidRDefault="00742F5F" w:rsidP="006E76CA">
            <w:pPr>
              <w:ind w:left="11" w:firstLine="0"/>
              <w:jc w:val="both"/>
              <w:rPr>
                <w:bCs/>
              </w:rPr>
            </w:pPr>
            <w:r w:rsidRPr="00953F7D">
              <w:rPr>
                <w:bCs/>
              </w:rPr>
              <w:t>Provisions eligible for inclusion in Tier 2 in respect of exposures subject to internal ratings-based approach (prior to application of cap)</w:t>
            </w:r>
          </w:p>
        </w:tc>
        <w:tc>
          <w:tcPr>
            <w:tcW w:w="851" w:type="dxa"/>
            <w:tcBorders>
              <w:top w:val="single" w:sz="4" w:space="0" w:color="auto"/>
              <w:left w:val="single" w:sz="4" w:space="0" w:color="auto"/>
              <w:bottom w:val="single" w:sz="4" w:space="0" w:color="auto"/>
              <w:right w:val="single" w:sz="4" w:space="0" w:color="auto"/>
            </w:tcBorders>
          </w:tcPr>
          <w:p w14:paraId="49D047B8" w14:textId="77777777" w:rsidR="00742F5F" w:rsidRPr="00953F7D" w:rsidRDefault="00742F5F" w:rsidP="009164E6">
            <w:pPr>
              <w:jc w:val="both"/>
              <w:rPr>
                <w:bCs/>
              </w:rPr>
            </w:pPr>
          </w:p>
        </w:tc>
      </w:tr>
      <w:tr w:rsidR="00742F5F" w:rsidRPr="00953F7D" w14:paraId="49D047BD"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BA" w14:textId="77777777" w:rsidR="00742F5F" w:rsidRPr="003329B4" w:rsidRDefault="00742F5F" w:rsidP="009164E6">
            <w:pPr>
              <w:jc w:val="both"/>
              <w:rPr>
                <w:bCs/>
              </w:rPr>
            </w:pPr>
            <w:r w:rsidRPr="003329B4">
              <w:rPr>
                <w:bCs/>
              </w:rPr>
              <w:t>79</w:t>
            </w:r>
          </w:p>
        </w:tc>
        <w:tc>
          <w:tcPr>
            <w:tcW w:w="6237" w:type="dxa"/>
            <w:tcBorders>
              <w:top w:val="single" w:sz="4" w:space="0" w:color="auto"/>
              <w:left w:val="single" w:sz="4" w:space="0" w:color="auto"/>
              <w:bottom w:val="single" w:sz="4" w:space="0" w:color="auto"/>
              <w:right w:val="single" w:sz="4" w:space="0" w:color="auto"/>
            </w:tcBorders>
            <w:hideMark/>
          </w:tcPr>
          <w:p w14:paraId="49D047BB" w14:textId="77777777" w:rsidR="00742F5F" w:rsidRPr="00953F7D" w:rsidRDefault="00742F5F" w:rsidP="006E76CA">
            <w:pPr>
              <w:ind w:left="11" w:firstLine="0"/>
              <w:jc w:val="both"/>
              <w:rPr>
                <w:bCs/>
              </w:rPr>
            </w:pPr>
            <w:r w:rsidRPr="00953F7D">
              <w:rPr>
                <w:bCs/>
              </w:rPr>
              <w:t>Cap for inclusion of provisions in Tier 2 under internal ratings-based approach</w:t>
            </w:r>
          </w:p>
        </w:tc>
        <w:tc>
          <w:tcPr>
            <w:tcW w:w="851" w:type="dxa"/>
            <w:tcBorders>
              <w:top w:val="single" w:sz="4" w:space="0" w:color="auto"/>
              <w:left w:val="single" w:sz="4" w:space="0" w:color="auto"/>
              <w:bottom w:val="single" w:sz="4" w:space="0" w:color="auto"/>
              <w:right w:val="single" w:sz="4" w:space="0" w:color="auto"/>
            </w:tcBorders>
          </w:tcPr>
          <w:p w14:paraId="49D047BC" w14:textId="77777777" w:rsidR="00742F5F" w:rsidRPr="00953F7D" w:rsidRDefault="00742F5F" w:rsidP="009164E6">
            <w:pPr>
              <w:jc w:val="both"/>
              <w:rPr>
                <w:bCs/>
              </w:rPr>
            </w:pPr>
          </w:p>
        </w:tc>
      </w:tr>
      <w:tr w:rsidR="00742F5F" w:rsidRPr="00953F7D" w14:paraId="49D047BF" w14:textId="77777777" w:rsidTr="009C3F64">
        <w:tc>
          <w:tcPr>
            <w:tcW w:w="8222" w:type="dxa"/>
            <w:gridSpan w:val="3"/>
            <w:tcBorders>
              <w:top w:val="single" w:sz="4" w:space="0" w:color="auto"/>
              <w:left w:val="single" w:sz="4" w:space="0" w:color="auto"/>
              <w:bottom w:val="single" w:sz="4" w:space="0" w:color="auto"/>
              <w:right w:val="single" w:sz="4" w:space="0" w:color="auto"/>
            </w:tcBorders>
            <w:shd w:val="clear" w:color="auto" w:fill="BFBFBF"/>
            <w:hideMark/>
          </w:tcPr>
          <w:p w14:paraId="49D047BE" w14:textId="77777777" w:rsidR="00742F5F" w:rsidRPr="00953F7D" w:rsidRDefault="00742F5F" w:rsidP="006E76CA">
            <w:pPr>
              <w:ind w:left="0" w:firstLine="0"/>
              <w:jc w:val="both"/>
              <w:rPr>
                <w:b/>
                <w:bCs/>
              </w:rPr>
            </w:pPr>
            <w:r w:rsidRPr="00953F7D">
              <w:rPr>
                <w:b/>
                <w:bCs/>
              </w:rPr>
              <w:t>Capital instruments subject to phase-out arrangements (only applicable between 1 Jan 2018 and 1 Jan 2022)</w:t>
            </w:r>
          </w:p>
        </w:tc>
      </w:tr>
      <w:tr w:rsidR="00742F5F" w:rsidRPr="00953F7D" w14:paraId="49D047C3"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C0" w14:textId="77777777" w:rsidR="00742F5F" w:rsidRPr="003329B4" w:rsidRDefault="00742F5F" w:rsidP="009164E6">
            <w:pPr>
              <w:jc w:val="both"/>
              <w:rPr>
                <w:bCs/>
              </w:rPr>
            </w:pPr>
            <w:r w:rsidRPr="003329B4">
              <w:rPr>
                <w:bCs/>
              </w:rPr>
              <w:t>80</w:t>
            </w:r>
          </w:p>
        </w:tc>
        <w:tc>
          <w:tcPr>
            <w:tcW w:w="6237" w:type="dxa"/>
            <w:tcBorders>
              <w:top w:val="single" w:sz="4" w:space="0" w:color="auto"/>
              <w:left w:val="single" w:sz="4" w:space="0" w:color="auto"/>
              <w:bottom w:val="single" w:sz="4" w:space="0" w:color="auto"/>
              <w:right w:val="single" w:sz="4" w:space="0" w:color="auto"/>
            </w:tcBorders>
            <w:hideMark/>
          </w:tcPr>
          <w:p w14:paraId="49D047C1" w14:textId="77777777" w:rsidR="00742F5F" w:rsidRPr="00953F7D" w:rsidRDefault="00742F5F" w:rsidP="006E76CA">
            <w:pPr>
              <w:ind w:left="11" w:hanging="11"/>
              <w:jc w:val="both"/>
              <w:rPr>
                <w:bCs/>
                <w:i/>
              </w:rPr>
            </w:pPr>
            <w:r w:rsidRPr="00953F7D">
              <w:rPr>
                <w:bCs/>
                <w:i/>
              </w:rPr>
              <w:t>Current cap on CET1 instruments subject to phase out arrangements</w:t>
            </w:r>
          </w:p>
        </w:tc>
        <w:tc>
          <w:tcPr>
            <w:tcW w:w="851" w:type="dxa"/>
            <w:tcBorders>
              <w:top w:val="single" w:sz="4" w:space="0" w:color="auto"/>
              <w:left w:val="single" w:sz="4" w:space="0" w:color="auto"/>
              <w:bottom w:val="single" w:sz="4" w:space="0" w:color="auto"/>
              <w:right w:val="single" w:sz="4" w:space="0" w:color="auto"/>
            </w:tcBorders>
          </w:tcPr>
          <w:p w14:paraId="49D047C2" w14:textId="77777777" w:rsidR="00742F5F" w:rsidRPr="00953F7D" w:rsidRDefault="00742F5F" w:rsidP="009164E6">
            <w:pPr>
              <w:jc w:val="both"/>
              <w:rPr>
                <w:bCs/>
              </w:rPr>
            </w:pPr>
          </w:p>
        </w:tc>
      </w:tr>
      <w:tr w:rsidR="00742F5F" w:rsidRPr="00953F7D" w14:paraId="49D047C7"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C4" w14:textId="77777777" w:rsidR="00742F5F" w:rsidRPr="003329B4" w:rsidRDefault="00742F5F" w:rsidP="009164E6">
            <w:pPr>
              <w:jc w:val="both"/>
              <w:rPr>
                <w:bCs/>
              </w:rPr>
            </w:pPr>
            <w:r w:rsidRPr="003329B4">
              <w:rPr>
                <w:bCs/>
              </w:rPr>
              <w:t>81</w:t>
            </w:r>
          </w:p>
        </w:tc>
        <w:tc>
          <w:tcPr>
            <w:tcW w:w="6237" w:type="dxa"/>
            <w:tcBorders>
              <w:top w:val="single" w:sz="4" w:space="0" w:color="auto"/>
              <w:left w:val="single" w:sz="4" w:space="0" w:color="auto"/>
              <w:bottom w:val="single" w:sz="4" w:space="0" w:color="auto"/>
              <w:right w:val="single" w:sz="4" w:space="0" w:color="auto"/>
            </w:tcBorders>
            <w:hideMark/>
          </w:tcPr>
          <w:p w14:paraId="49D047C5" w14:textId="77777777" w:rsidR="00742F5F" w:rsidRPr="00953F7D" w:rsidRDefault="00742F5F" w:rsidP="006E76CA">
            <w:pPr>
              <w:ind w:left="11" w:hanging="11"/>
              <w:jc w:val="both"/>
              <w:rPr>
                <w:bCs/>
                <w:i/>
              </w:rPr>
            </w:pPr>
            <w:r w:rsidRPr="00953F7D">
              <w:rPr>
                <w:bCs/>
                <w:i/>
              </w:rPr>
              <w:t>Amount excluded from CET1 due to cap (excess over cap after redemptions and maturities</w:t>
            </w:r>
          </w:p>
        </w:tc>
        <w:tc>
          <w:tcPr>
            <w:tcW w:w="851" w:type="dxa"/>
            <w:tcBorders>
              <w:top w:val="single" w:sz="4" w:space="0" w:color="auto"/>
              <w:left w:val="single" w:sz="4" w:space="0" w:color="auto"/>
              <w:bottom w:val="single" w:sz="4" w:space="0" w:color="auto"/>
              <w:right w:val="single" w:sz="4" w:space="0" w:color="auto"/>
            </w:tcBorders>
          </w:tcPr>
          <w:p w14:paraId="49D047C6" w14:textId="77777777" w:rsidR="00742F5F" w:rsidRPr="00953F7D" w:rsidRDefault="00742F5F" w:rsidP="009164E6">
            <w:pPr>
              <w:jc w:val="both"/>
              <w:rPr>
                <w:bCs/>
              </w:rPr>
            </w:pPr>
          </w:p>
        </w:tc>
      </w:tr>
      <w:tr w:rsidR="00742F5F" w:rsidRPr="00953F7D" w14:paraId="49D047CB"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C8" w14:textId="77777777" w:rsidR="00742F5F" w:rsidRPr="003329B4" w:rsidRDefault="00742F5F" w:rsidP="009164E6">
            <w:pPr>
              <w:jc w:val="both"/>
              <w:rPr>
                <w:bCs/>
              </w:rPr>
            </w:pPr>
            <w:r w:rsidRPr="003329B4">
              <w:rPr>
                <w:bCs/>
              </w:rPr>
              <w:t>82</w:t>
            </w:r>
          </w:p>
        </w:tc>
        <w:tc>
          <w:tcPr>
            <w:tcW w:w="6237" w:type="dxa"/>
            <w:tcBorders>
              <w:top w:val="single" w:sz="4" w:space="0" w:color="auto"/>
              <w:left w:val="single" w:sz="4" w:space="0" w:color="auto"/>
              <w:bottom w:val="single" w:sz="4" w:space="0" w:color="auto"/>
              <w:right w:val="single" w:sz="4" w:space="0" w:color="auto"/>
            </w:tcBorders>
            <w:hideMark/>
          </w:tcPr>
          <w:p w14:paraId="49D047C9" w14:textId="77777777" w:rsidR="00742F5F" w:rsidRPr="00953F7D" w:rsidRDefault="00742F5F" w:rsidP="006E76CA">
            <w:pPr>
              <w:ind w:left="11" w:hanging="11"/>
              <w:jc w:val="both"/>
              <w:rPr>
                <w:bCs/>
                <w:i/>
              </w:rPr>
            </w:pPr>
            <w:r w:rsidRPr="00953F7D">
              <w:rPr>
                <w:bCs/>
                <w:i/>
              </w:rPr>
              <w:t xml:space="preserve">Current cap on AT1 instruments subject to phase out arrangements </w:t>
            </w:r>
          </w:p>
        </w:tc>
        <w:tc>
          <w:tcPr>
            <w:tcW w:w="851" w:type="dxa"/>
            <w:tcBorders>
              <w:top w:val="single" w:sz="4" w:space="0" w:color="auto"/>
              <w:left w:val="single" w:sz="4" w:space="0" w:color="auto"/>
              <w:bottom w:val="single" w:sz="4" w:space="0" w:color="auto"/>
              <w:right w:val="single" w:sz="4" w:space="0" w:color="auto"/>
            </w:tcBorders>
          </w:tcPr>
          <w:p w14:paraId="49D047CA" w14:textId="77777777" w:rsidR="00742F5F" w:rsidRPr="00953F7D" w:rsidRDefault="00742F5F" w:rsidP="009164E6">
            <w:pPr>
              <w:jc w:val="both"/>
              <w:rPr>
                <w:bCs/>
              </w:rPr>
            </w:pPr>
          </w:p>
        </w:tc>
      </w:tr>
      <w:tr w:rsidR="00742F5F" w:rsidRPr="00953F7D" w14:paraId="49D047CF"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CC" w14:textId="77777777" w:rsidR="00742F5F" w:rsidRPr="003329B4" w:rsidRDefault="00742F5F" w:rsidP="009164E6">
            <w:pPr>
              <w:jc w:val="both"/>
              <w:rPr>
                <w:bCs/>
              </w:rPr>
            </w:pPr>
            <w:r w:rsidRPr="003329B4">
              <w:rPr>
                <w:bCs/>
              </w:rPr>
              <w:t>83</w:t>
            </w:r>
          </w:p>
        </w:tc>
        <w:tc>
          <w:tcPr>
            <w:tcW w:w="6237" w:type="dxa"/>
            <w:tcBorders>
              <w:top w:val="single" w:sz="4" w:space="0" w:color="auto"/>
              <w:left w:val="single" w:sz="4" w:space="0" w:color="auto"/>
              <w:bottom w:val="single" w:sz="4" w:space="0" w:color="auto"/>
              <w:right w:val="single" w:sz="4" w:space="0" w:color="auto"/>
            </w:tcBorders>
            <w:hideMark/>
          </w:tcPr>
          <w:p w14:paraId="49D047CD" w14:textId="77777777" w:rsidR="00742F5F" w:rsidRPr="00953F7D" w:rsidRDefault="00742F5F" w:rsidP="006E76CA">
            <w:pPr>
              <w:ind w:left="11" w:hanging="11"/>
              <w:jc w:val="both"/>
              <w:rPr>
                <w:bCs/>
                <w:i/>
              </w:rPr>
            </w:pPr>
            <w:r w:rsidRPr="00953F7D">
              <w:rPr>
                <w:bCs/>
                <w:i/>
              </w:rPr>
              <w:t>Amount excluded from AT1 instruments due to cap (excess over cap after redemptions and maturities)</w:t>
            </w:r>
          </w:p>
        </w:tc>
        <w:tc>
          <w:tcPr>
            <w:tcW w:w="851" w:type="dxa"/>
            <w:tcBorders>
              <w:top w:val="single" w:sz="4" w:space="0" w:color="auto"/>
              <w:left w:val="single" w:sz="4" w:space="0" w:color="auto"/>
              <w:bottom w:val="single" w:sz="4" w:space="0" w:color="auto"/>
              <w:right w:val="single" w:sz="4" w:space="0" w:color="auto"/>
            </w:tcBorders>
          </w:tcPr>
          <w:p w14:paraId="49D047CE" w14:textId="77777777" w:rsidR="00742F5F" w:rsidRPr="00953F7D" w:rsidRDefault="00742F5F" w:rsidP="009164E6">
            <w:pPr>
              <w:jc w:val="both"/>
              <w:rPr>
                <w:bCs/>
              </w:rPr>
            </w:pPr>
          </w:p>
        </w:tc>
      </w:tr>
      <w:tr w:rsidR="00742F5F" w:rsidRPr="00953F7D" w14:paraId="49D047D3"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D0" w14:textId="77777777" w:rsidR="00742F5F" w:rsidRPr="003329B4" w:rsidRDefault="00742F5F" w:rsidP="009164E6">
            <w:pPr>
              <w:jc w:val="both"/>
              <w:rPr>
                <w:bCs/>
              </w:rPr>
            </w:pPr>
            <w:r w:rsidRPr="003329B4">
              <w:rPr>
                <w:bCs/>
              </w:rPr>
              <w:t>84</w:t>
            </w:r>
          </w:p>
        </w:tc>
        <w:tc>
          <w:tcPr>
            <w:tcW w:w="6237" w:type="dxa"/>
            <w:tcBorders>
              <w:top w:val="single" w:sz="4" w:space="0" w:color="auto"/>
              <w:left w:val="single" w:sz="4" w:space="0" w:color="auto"/>
              <w:bottom w:val="single" w:sz="4" w:space="0" w:color="auto"/>
              <w:right w:val="single" w:sz="4" w:space="0" w:color="auto"/>
            </w:tcBorders>
            <w:hideMark/>
          </w:tcPr>
          <w:p w14:paraId="49D047D1" w14:textId="77777777" w:rsidR="00742F5F" w:rsidRPr="00953F7D" w:rsidRDefault="00742F5F" w:rsidP="006E76CA">
            <w:pPr>
              <w:ind w:left="11" w:hanging="11"/>
              <w:jc w:val="both"/>
              <w:rPr>
                <w:bCs/>
                <w:i/>
              </w:rPr>
            </w:pPr>
            <w:r w:rsidRPr="00953F7D">
              <w:rPr>
                <w:bCs/>
                <w:i/>
              </w:rPr>
              <w:t>Current cap on T2 instruments subject to phase out arrangements</w:t>
            </w:r>
          </w:p>
        </w:tc>
        <w:tc>
          <w:tcPr>
            <w:tcW w:w="851" w:type="dxa"/>
            <w:tcBorders>
              <w:top w:val="single" w:sz="4" w:space="0" w:color="auto"/>
              <w:left w:val="single" w:sz="4" w:space="0" w:color="auto"/>
              <w:bottom w:val="single" w:sz="4" w:space="0" w:color="auto"/>
              <w:right w:val="single" w:sz="4" w:space="0" w:color="auto"/>
            </w:tcBorders>
          </w:tcPr>
          <w:p w14:paraId="49D047D2" w14:textId="77777777" w:rsidR="00742F5F" w:rsidRPr="00953F7D" w:rsidRDefault="00742F5F" w:rsidP="009164E6">
            <w:pPr>
              <w:jc w:val="both"/>
              <w:rPr>
                <w:bCs/>
              </w:rPr>
            </w:pPr>
          </w:p>
        </w:tc>
      </w:tr>
      <w:tr w:rsidR="00742F5F" w:rsidRPr="00953F7D" w14:paraId="49D047D7"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D4" w14:textId="77777777" w:rsidR="00742F5F" w:rsidRPr="003329B4" w:rsidRDefault="00742F5F" w:rsidP="009164E6">
            <w:pPr>
              <w:jc w:val="both"/>
              <w:rPr>
                <w:bCs/>
              </w:rPr>
            </w:pPr>
            <w:r w:rsidRPr="003329B4">
              <w:rPr>
                <w:bCs/>
              </w:rPr>
              <w:t>85</w:t>
            </w:r>
          </w:p>
        </w:tc>
        <w:tc>
          <w:tcPr>
            <w:tcW w:w="6237" w:type="dxa"/>
            <w:tcBorders>
              <w:top w:val="single" w:sz="4" w:space="0" w:color="auto"/>
              <w:left w:val="single" w:sz="4" w:space="0" w:color="auto"/>
              <w:bottom w:val="single" w:sz="4" w:space="0" w:color="auto"/>
              <w:right w:val="single" w:sz="4" w:space="0" w:color="auto"/>
            </w:tcBorders>
            <w:hideMark/>
          </w:tcPr>
          <w:p w14:paraId="49D047D5" w14:textId="77777777" w:rsidR="00742F5F" w:rsidRPr="00953F7D" w:rsidRDefault="00742F5F" w:rsidP="006E76CA">
            <w:pPr>
              <w:ind w:left="11" w:hanging="11"/>
              <w:jc w:val="both"/>
              <w:rPr>
                <w:bCs/>
                <w:i/>
              </w:rPr>
            </w:pPr>
            <w:r w:rsidRPr="00953F7D">
              <w:rPr>
                <w:bCs/>
                <w:i/>
              </w:rPr>
              <w:t>Amount excluded from T2 due to cap (excess over cap after redemptions and maturities)</w:t>
            </w:r>
          </w:p>
        </w:tc>
        <w:tc>
          <w:tcPr>
            <w:tcW w:w="851" w:type="dxa"/>
            <w:tcBorders>
              <w:top w:val="single" w:sz="4" w:space="0" w:color="auto"/>
              <w:left w:val="single" w:sz="4" w:space="0" w:color="auto"/>
              <w:bottom w:val="single" w:sz="4" w:space="0" w:color="auto"/>
              <w:right w:val="single" w:sz="4" w:space="0" w:color="auto"/>
            </w:tcBorders>
          </w:tcPr>
          <w:p w14:paraId="49D047D6" w14:textId="77777777" w:rsidR="00742F5F" w:rsidRPr="00953F7D" w:rsidRDefault="00742F5F" w:rsidP="009164E6">
            <w:pPr>
              <w:jc w:val="both"/>
              <w:rPr>
                <w:bCs/>
              </w:rPr>
            </w:pPr>
          </w:p>
        </w:tc>
      </w:tr>
    </w:tbl>
    <w:p w14:paraId="49D047D8" w14:textId="77777777" w:rsidR="00742F5F" w:rsidRPr="00953F7D" w:rsidRDefault="00742F5F" w:rsidP="00742F5F">
      <w:pPr>
        <w:jc w:val="both"/>
        <w:rPr>
          <w:b/>
          <w:bCs/>
        </w:rPr>
      </w:pPr>
    </w:p>
    <w:p w14:paraId="49D047D9" w14:textId="77777777" w:rsidR="00D24565" w:rsidRPr="00953F7D" w:rsidRDefault="008B2850" w:rsidP="00044A3D">
      <w:pPr>
        <w:pStyle w:val="BodyText"/>
      </w:pPr>
      <w:r w:rsidRPr="00953F7D">
        <w:t>An ADI</w:t>
      </w:r>
      <w:r w:rsidR="00D24565" w:rsidRPr="00953F7D">
        <w:t xml:space="preserve"> must </w:t>
      </w:r>
      <w:r w:rsidRPr="00953F7D">
        <w:t xml:space="preserve">also </w:t>
      </w:r>
      <w:r w:rsidR="00D24565" w:rsidRPr="00953F7D">
        <w:t>disclose t</w:t>
      </w:r>
      <w:r w:rsidRPr="00953F7D">
        <w:t>he geographic breakdown</w:t>
      </w:r>
      <w:r w:rsidR="000F7A32" w:rsidRPr="00953F7D">
        <w:t>, at country level,</w:t>
      </w:r>
      <w:r w:rsidR="00243E40" w:rsidRPr="00953F7D">
        <w:t xml:space="preserve"> </w:t>
      </w:r>
      <w:r w:rsidRPr="00953F7D">
        <w:t>of its</w:t>
      </w:r>
      <w:r w:rsidR="00D24565" w:rsidRPr="00953F7D">
        <w:t xml:space="preserve"> private sector credit exposures </w:t>
      </w:r>
      <w:r w:rsidRPr="00953F7D">
        <w:t>when disclosing its countercyclical capital</w:t>
      </w:r>
      <w:r w:rsidR="00D24565" w:rsidRPr="00953F7D">
        <w:t xml:space="preserve"> buffer requirement. </w:t>
      </w:r>
    </w:p>
    <w:p w14:paraId="49D047DA" w14:textId="77777777" w:rsidR="00742F5F" w:rsidRPr="00953F7D" w:rsidRDefault="00742F5F" w:rsidP="00E9482F">
      <w:pPr>
        <w:pStyle w:val="ListParagraph"/>
        <w:keepNext/>
        <w:numPr>
          <w:ilvl w:val="0"/>
          <w:numId w:val="29"/>
        </w:numPr>
        <w:ind w:left="567" w:hanging="567"/>
        <w:jc w:val="both"/>
        <w:rPr>
          <w:b/>
          <w:bCs/>
          <w:sz w:val="26"/>
          <w:szCs w:val="26"/>
        </w:rPr>
      </w:pPr>
      <w:r w:rsidRPr="00953F7D">
        <w:rPr>
          <w:b/>
          <w:bCs/>
          <w:sz w:val="26"/>
          <w:szCs w:val="26"/>
        </w:rPr>
        <w:br w:type="page"/>
      </w:r>
    </w:p>
    <w:p w14:paraId="49D047DB" w14:textId="77777777" w:rsidR="00742F5F" w:rsidRPr="00953F7D" w:rsidRDefault="00742F5F" w:rsidP="00742F5F">
      <w:pPr>
        <w:jc w:val="both"/>
        <w:rPr>
          <w:b/>
          <w:bCs/>
          <w:sz w:val="26"/>
          <w:szCs w:val="26"/>
        </w:rPr>
      </w:pPr>
      <w:r w:rsidRPr="00953F7D">
        <w:rPr>
          <w:b/>
          <w:bCs/>
          <w:sz w:val="26"/>
          <w:szCs w:val="26"/>
        </w:rPr>
        <w:t xml:space="preserve">Guidelines for the </w:t>
      </w:r>
      <w:r w:rsidR="009C081C" w:rsidRPr="00953F7D">
        <w:rPr>
          <w:b/>
          <w:bCs/>
          <w:sz w:val="26"/>
          <w:szCs w:val="26"/>
        </w:rPr>
        <w:t xml:space="preserve">capital </w:t>
      </w:r>
      <w:r w:rsidRPr="00953F7D">
        <w:rPr>
          <w:b/>
          <w:bCs/>
          <w:sz w:val="26"/>
          <w:szCs w:val="26"/>
        </w:rPr>
        <w:t>disclosure template</w:t>
      </w:r>
    </w:p>
    <w:p w14:paraId="49D047DC" w14:textId="77777777" w:rsidR="00742F5F" w:rsidRPr="00953F7D" w:rsidRDefault="00742F5F" w:rsidP="00742F5F">
      <w:pPr>
        <w:jc w:val="both"/>
        <w:rPr>
          <w:b/>
          <w:bCs/>
        </w:rPr>
      </w:pPr>
    </w:p>
    <w:p w14:paraId="49D047DD" w14:textId="77777777" w:rsidR="00742F5F" w:rsidRPr="00953F7D" w:rsidRDefault="00742F5F" w:rsidP="00044A3D">
      <w:pPr>
        <w:pStyle w:val="BodyText"/>
      </w:pPr>
      <w:r w:rsidRPr="00953F7D">
        <w:t>In completing Table 1, an ADI must have regard to the following Table 1A, which sets out an explanation of each row of Table 1. An ADI must report deductions from capital as positive numbers and additions to capital as negative numbers. For example, goodwill (refer to row 8) must be reported as a positive number, as must gains due to the change in the own credit risk of the bank (refer to row 14). However, losses due to the change in the own credit risk of the ADI must be reported as a negative number as these are added back in the calculation of Common Equity Tier 1 Capital.</w:t>
      </w:r>
    </w:p>
    <w:p w14:paraId="49D047DE" w14:textId="77777777" w:rsidR="00742F5F" w:rsidRPr="00953F7D" w:rsidRDefault="00742F5F" w:rsidP="008B2850">
      <w:pPr>
        <w:pStyle w:val="ListParagraph"/>
        <w:ind w:left="567" w:firstLine="0"/>
        <w:jc w:val="both"/>
        <w:rPr>
          <w:bCs/>
        </w:rPr>
      </w:pPr>
      <w:r w:rsidRPr="00953F7D">
        <w:rPr>
          <w:bCs/>
        </w:rPr>
        <w:t xml:space="preserve">Table 1A: Explanation of each row of the </w:t>
      </w:r>
      <w:r w:rsidR="009C081C" w:rsidRPr="00953F7D">
        <w:rPr>
          <w:bCs/>
        </w:rPr>
        <w:t xml:space="preserve">capital </w:t>
      </w:r>
      <w:r w:rsidRPr="00953F7D">
        <w:rPr>
          <w:bCs/>
        </w:rPr>
        <w:t>disclosure template</w:t>
      </w:r>
    </w:p>
    <w:p w14:paraId="49D047DF" w14:textId="77777777" w:rsidR="00742F5F" w:rsidRPr="00953F7D" w:rsidRDefault="00742F5F" w:rsidP="00742F5F">
      <w:pPr>
        <w:jc w:val="both"/>
        <w:rPr>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7088"/>
      </w:tblGrid>
      <w:tr w:rsidR="00742F5F" w:rsidRPr="00953F7D" w14:paraId="49D047E1" w14:textId="77777777" w:rsidTr="009C3F64">
        <w:trPr>
          <w:tblHeader/>
        </w:trPr>
        <w:tc>
          <w:tcPr>
            <w:tcW w:w="8222"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49D047E0" w14:textId="77777777" w:rsidR="00742F5F" w:rsidRPr="00953F7D" w:rsidRDefault="00742F5F" w:rsidP="008D3313">
            <w:pPr>
              <w:jc w:val="both"/>
              <w:rPr>
                <w:b/>
                <w:bCs/>
              </w:rPr>
            </w:pPr>
            <w:r w:rsidRPr="00953F7D">
              <w:rPr>
                <w:b/>
                <w:bCs/>
              </w:rPr>
              <w:t xml:space="preserve">Explanation of each row of the </w:t>
            </w:r>
            <w:r w:rsidR="009C081C" w:rsidRPr="00953F7D">
              <w:rPr>
                <w:b/>
                <w:bCs/>
              </w:rPr>
              <w:t xml:space="preserve">capital </w:t>
            </w:r>
            <w:r w:rsidRPr="00953F7D">
              <w:rPr>
                <w:b/>
                <w:bCs/>
              </w:rPr>
              <w:t>disclosure template</w:t>
            </w:r>
          </w:p>
        </w:tc>
      </w:tr>
      <w:tr w:rsidR="00742F5F" w:rsidRPr="00953F7D" w14:paraId="49D047E4"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E2" w14:textId="77777777" w:rsidR="00742F5F" w:rsidRPr="00953F7D" w:rsidRDefault="00742F5F" w:rsidP="00261295">
            <w:pPr>
              <w:ind w:left="0" w:firstLine="0"/>
              <w:jc w:val="both"/>
              <w:rPr>
                <w:b/>
                <w:bCs/>
              </w:rPr>
            </w:pPr>
            <w:r w:rsidRPr="00953F7D">
              <w:rPr>
                <w:b/>
                <w:bCs/>
              </w:rPr>
              <w:t>Row number</w:t>
            </w:r>
          </w:p>
        </w:tc>
        <w:tc>
          <w:tcPr>
            <w:tcW w:w="7088" w:type="dxa"/>
            <w:tcBorders>
              <w:top w:val="single" w:sz="4" w:space="0" w:color="auto"/>
              <w:left w:val="single" w:sz="4" w:space="0" w:color="auto"/>
              <w:bottom w:val="single" w:sz="4" w:space="0" w:color="auto"/>
              <w:right w:val="single" w:sz="4" w:space="0" w:color="auto"/>
            </w:tcBorders>
            <w:hideMark/>
          </w:tcPr>
          <w:p w14:paraId="49D047E3" w14:textId="77777777" w:rsidR="00742F5F" w:rsidRPr="00953F7D" w:rsidRDefault="00742F5F" w:rsidP="009164E6">
            <w:pPr>
              <w:jc w:val="both"/>
              <w:rPr>
                <w:b/>
                <w:bCs/>
              </w:rPr>
            </w:pPr>
            <w:r w:rsidRPr="00953F7D">
              <w:rPr>
                <w:b/>
                <w:bCs/>
              </w:rPr>
              <w:t>Explanation</w:t>
            </w:r>
          </w:p>
        </w:tc>
      </w:tr>
      <w:tr w:rsidR="00742F5F" w:rsidRPr="00953F7D" w14:paraId="49D047E7"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E5" w14:textId="77777777" w:rsidR="00742F5F" w:rsidRPr="00953F7D" w:rsidRDefault="00742F5F" w:rsidP="009164E6">
            <w:pPr>
              <w:jc w:val="both"/>
              <w:rPr>
                <w:bCs/>
              </w:rPr>
            </w:pPr>
            <w:r w:rsidRPr="00953F7D">
              <w:rPr>
                <w:bCs/>
              </w:rPr>
              <w:t>1</w:t>
            </w:r>
          </w:p>
        </w:tc>
        <w:tc>
          <w:tcPr>
            <w:tcW w:w="7088" w:type="dxa"/>
            <w:tcBorders>
              <w:top w:val="single" w:sz="4" w:space="0" w:color="auto"/>
              <w:left w:val="single" w:sz="4" w:space="0" w:color="auto"/>
              <w:bottom w:val="single" w:sz="4" w:space="0" w:color="auto"/>
              <w:right w:val="single" w:sz="4" w:space="0" w:color="auto"/>
            </w:tcBorders>
            <w:hideMark/>
          </w:tcPr>
          <w:p w14:paraId="49D047E6" w14:textId="77777777" w:rsidR="00742F5F" w:rsidRPr="00953F7D" w:rsidRDefault="00742F5F" w:rsidP="00261295">
            <w:pPr>
              <w:ind w:left="-4" w:firstLine="4"/>
              <w:jc w:val="both"/>
              <w:rPr>
                <w:bCs/>
              </w:rPr>
            </w:pPr>
            <w:r w:rsidRPr="00953F7D">
              <w:rPr>
                <w:bCs/>
              </w:rPr>
              <w:t>Instruments issued by the parent company of the reporting group that meet all of the CET1 entry criteria set out in paragraph 53 of Basel III. This must be equal to the sum of ordinary shares and other instruments for mutually-owned ADIs, both of which must meet the ordinary share criteria. This must be net of treasury shares and other investments in own shares to the extent that these are already derecognised on the balance sheet under the relevant accounting standards. Other paid-in capital elements must be excluded. All minority interest must be excluded.</w:t>
            </w:r>
          </w:p>
        </w:tc>
      </w:tr>
      <w:tr w:rsidR="00742F5F" w:rsidRPr="00953F7D" w14:paraId="49D047EA"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E8" w14:textId="77777777" w:rsidR="00742F5F" w:rsidRPr="00953F7D" w:rsidRDefault="00742F5F" w:rsidP="009164E6">
            <w:pPr>
              <w:jc w:val="both"/>
              <w:rPr>
                <w:bCs/>
              </w:rPr>
            </w:pPr>
            <w:r w:rsidRPr="00953F7D">
              <w:rPr>
                <w:bCs/>
              </w:rPr>
              <w:t>2</w:t>
            </w:r>
          </w:p>
        </w:tc>
        <w:tc>
          <w:tcPr>
            <w:tcW w:w="7088" w:type="dxa"/>
            <w:tcBorders>
              <w:top w:val="single" w:sz="4" w:space="0" w:color="auto"/>
              <w:left w:val="single" w:sz="4" w:space="0" w:color="auto"/>
              <w:bottom w:val="single" w:sz="4" w:space="0" w:color="auto"/>
              <w:right w:val="single" w:sz="4" w:space="0" w:color="auto"/>
            </w:tcBorders>
            <w:hideMark/>
          </w:tcPr>
          <w:p w14:paraId="49D047E9" w14:textId="77777777" w:rsidR="00742F5F" w:rsidRPr="00953F7D" w:rsidRDefault="00742F5F" w:rsidP="00261295">
            <w:pPr>
              <w:ind w:left="-4" w:firstLine="4"/>
              <w:jc w:val="both"/>
              <w:rPr>
                <w:bCs/>
              </w:rPr>
            </w:pPr>
            <w:r w:rsidRPr="00953F7D">
              <w:rPr>
                <w:bCs/>
              </w:rPr>
              <w:t>Retained earnings, prior to all regulatory adjustments. In accordance with paragraph 52 of Basel III, this row must include interim profit and loss that has met any audit, verification or review procedures that the supervisory authority has put in place. Dividends are to be deducted when declared in accordance with Australian Accounting Standards.</w:t>
            </w:r>
          </w:p>
        </w:tc>
      </w:tr>
      <w:tr w:rsidR="00742F5F" w:rsidRPr="00953F7D" w14:paraId="49D047ED"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EB" w14:textId="77777777" w:rsidR="00742F5F" w:rsidRPr="00953F7D" w:rsidRDefault="00742F5F" w:rsidP="009164E6">
            <w:pPr>
              <w:jc w:val="both"/>
              <w:rPr>
                <w:bCs/>
              </w:rPr>
            </w:pPr>
            <w:r w:rsidRPr="00953F7D">
              <w:rPr>
                <w:bCs/>
              </w:rPr>
              <w:t>3</w:t>
            </w:r>
          </w:p>
        </w:tc>
        <w:tc>
          <w:tcPr>
            <w:tcW w:w="7088" w:type="dxa"/>
            <w:tcBorders>
              <w:top w:val="single" w:sz="4" w:space="0" w:color="auto"/>
              <w:left w:val="single" w:sz="4" w:space="0" w:color="auto"/>
              <w:bottom w:val="single" w:sz="4" w:space="0" w:color="auto"/>
              <w:right w:val="single" w:sz="4" w:space="0" w:color="auto"/>
            </w:tcBorders>
            <w:hideMark/>
          </w:tcPr>
          <w:p w14:paraId="49D047EC" w14:textId="77777777" w:rsidR="00742F5F" w:rsidRPr="00953F7D" w:rsidRDefault="00742F5F" w:rsidP="00261295">
            <w:pPr>
              <w:ind w:left="-4" w:firstLine="4"/>
              <w:jc w:val="both"/>
              <w:rPr>
                <w:bCs/>
              </w:rPr>
            </w:pPr>
            <w:r w:rsidRPr="00953F7D">
              <w:rPr>
                <w:bCs/>
              </w:rPr>
              <w:t>Accumulated other comprehensive income and other disclosed reserves, prior to all regulatory adjustments.</w:t>
            </w:r>
          </w:p>
        </w:tc>
      </w:tr>
      <w:tr w:rsidR="00742F5F" w:rsidRPr="00953F7D" w14:paraId="49D047F0"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EE" w14:textId="77777777" w:rsidR="00742F5F" w:rsidRPr="00953F7D" w:rsidRDefault="00742F5F" w:rsidP="009164E6">
            <w:pPr>
              <w:jc w:val="both"/>
              <w:rPr>
                <w:bCs/>
              </w:rPr>
            </w:pPr>
            <w:r w:rsidRPr="00953F7D">
              <w:rPr>
                <w:bCs/>
              </w:rPr>
              <w:t>4</w:t>
            </w:r>
          </w:p>
        </w:tc>
        <w:tc>
          <w:tcPr>
            <w:tcW w:w="7088" w:type="dxa"/>
            <w:tcBorders>
              <w:top w:val="single" w:sz="4" w:space="0" w:color="auto"/>
              <w:left w:val="single" w:sz="4" w:space="0" w:color="auto"/>
              <w:bottom w:val="single" w:sz="4" w:space="0" w:color="auto"/>
              <w:right w:val="single" w:sz="4" w:space="0" w:color="auto"/>
            </w:tcBorders>
            <w:hideMark/>
          </w:tcPr>
          <w:p w14:paraId="49D047EF" w14:textId="77777777" w:rsidR="00742F5F" w:rsidRPr="00953F7D" w:rsidRDefault="00742F5F" w:rsidP="00261295">
            <w:pPr>
              <w:ind w:left="-4" w:firstLine="4"/>
              <w:jc w:val="both"/>
              <w:rPr>
                <w:bCs/>
              </w:rPr>
            </w:pPr>
            <w:r w:rsidRPr="00953F7D">
              <w:rPr>
                <w:bCs/>
              </w:rPr>
              <w:t>Directly issued capital subject to phase-out from CET1 in accordance with the requirements of paragraph 95 of Basel III. This is only applicable to mutually-owned ADIs. All other ADIs must report zero in this row.</w:t>
            </w:r>
          </w:p>
        </w:tc>
      </w:tr>
      <w:tr w:rsidR="00742F5F" w:rsidRPr="00953F7D" w14:paraId="49D047F3"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F1" w14:textId="77777777" w:rsidR="00742F5F" w:rsidRPr="00953F7D" w:rsidRDefault="00742F5F" w:rsidP="009164E6">
            <w:pPr>
              <w:jc w:val="both"/>
              <w:rPr>
                <w:bCs/>
              </w:rPr>
            </w:pPr>
            <w:r w:rsidRPr="00953F7D">
              <w:rPr>
                <w:bCs/>
              </w:rPr>
              <w:t>5</w:t>
            </w:r>
          </w:p>
        </w:tc>
        <w:tc>
          <w:tcPr>
            <w:tcW w:w="7088" w:type="dxa"/>
            <w:tcBorders>
              <w:top w:val="single" w:sz="4" w:space="0" w:color="auto"/>
              <w:left w:val="single" w:sz="4" w:space="0" w:color="auto"/>
              <w:bottom w:val="single" w:sz="4" w:space="0" w:color="auto"/>
              <w:right w:val="single" w:sz="4" w:space="0" w:color="auto"/>
            </w:tcBorders>
            <w:hideMark/>
          </w:tcPr>
          <w:p w14:paraId="49D047F2" w14:textId="77777777" w:rsidR="00742F5F" w:rsidRPr="00953F7D" w:rsidRDefault="00742F5F" w:rsidP="00261295">
            <w:pPr>
              <w:ind w:left="-4" w:firstLine="4"/>
              <w:jc w:val="both"/>
              <w:rPr>
                <w:bCs/>
              </w:rPr>
            </w:pPr>
            <w:r w:rsidRPr="00953F7D">
              <w:rPr>
                <w:bCs/>
              </w:rPr>
              <w:t>Ordinary share capital issued by subsidiaries and held by third parties. Only the amount that is eligible for inclusion in group CET1 must be reported here, as determined by the application of paragraph 62 of Basel III (see Annex 3 of Basel III for example calculation).</w:t>
            </w:r>
          </w:p>
        </w:tc>
      </w:tr>
      <w:tr w:rsidR="00742F5F" w:rsidRPr="00953F7D" w14:paraId="49D047F6"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F4" w14:textId="77777777" w:rsidR="00742F5F" w:rsidRPr="00953F7D" w:rsidRDefault="00742F5F" w:rsidP="009164E6">
            <w:pPr>
              <w:jc w:val="both"/>
              <w:rPr>
                <w:bCs/>
              </w:rPr>
            </w:pPr>
            <w:r w:rsidRPr="00953F7D">
              <w:rPr>
                <w:bCs/>
              </w:rPr>
              <w:t>6</w:t>
            </w:r>
          </w:p>
        </w:tc>
        <w:tc>
          <w:tcPr>
            <w:tcW w:w="7088" w:type="dxa"/>
            <w:tcBorders>
              <w:top w:val="single" w:sz="4" w:space="0" w:color="auto"/>
              <w:left w:val="single" w:sz="4" w:space="0" w:color="auto"/>
              <w:bottom w:val="single" w:sz="4" w:space="0" w:color="auto"/>
              <w:right w:val="single" w:sz="4" w:space="0" w:color="auto"/>
            </w:tcBorders>
            <w:hideMark/>
          </w:tcPr>
          <w:p w14:paraId="49D047F5" w14:textId="77777777" w:rsidR="00742F5F" w:rsidRPr="00953F7D" w:rsidRDefault="00742F5F" w:rsidP="00261295">
            <w:pPr>
              <w:ind w:left="-4" w:firstLine="4"/>
              <w:jc w:val="both"/>
              <w:rPr>
                <w:bCs/>
              </w:rPr>
            </w:pPr>
            <w:r w:rsidRPr="00953F7D">
              <w:rPr>
                <w:bCs/>
              </w:rPr>
              <w:t>Sum of rows 1 to 5.</w:t>
            </w:r>
          </w:p>
        </w:tc>
      </w:tr>
      <w:tr w:rsidR="00742F5F" w:rsidRPr="00953F7D" w14:paraId="49D047F9"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F7" w14:textId="77777777" w:rsidR="00742F5F" w:rsidRPr="00953F7D" w:rsidRDefault="00742F5F" w:rsidP="009164E6">
            <w:pPr>
              <w:jc w:val="both"/>
              <w:rPr>
                <w:bCs/>
              </w:rPr>
            </w:pPr>
            <w:r w:rsidRPr="00953F7D">
              <w:rPr>
                <w:bCs/>
              </w:rPr>
              <w:t>7</w:t>
            </w:r>
          </w:p>
        </w:tc>
        <w:tc>
          <w:tcPr>
            <w:tcW w:w="7088" w:type="dxa"/>
            <w:tcBorders>
              <w:top w:val="single" w:sz="4" w:space="0" w:color="auto"/>
              <w:left w:val="single" w:sz="4" w:space="0" w:color="auto"/>
              <w:bottom w:val="single" w:sz="4" w:space="0" w:color="auto"/>
              <w:right w:val="single" w:sz="4" w:space="0" w:color="auto"/>
            </w:tcBorders>
            <w:hideMark/>
          </w:tcPr>
          <w:p w14:paraId="49D047F8" w14:textId="77777777" w:rsidR="00742F5F" w:rsidRPr="00953F7D" w:rsidRDefault="00742F5F" w:rsidP="00261295">
            <w:pPr>
              <w:ind w:left="-4" w:firstLine="4"/>
              <w:jc w:val="both"/>
              <w:rPr>
                <w:bCs/>
              </w:rPr>
            </w:pPr>
            <w:r w:rsidRPr="00953F7D">
              <w:rPr>
                <w:bCs/>
              </w:rPr>
              <w:t>Prudential valuation adjustments according to the requirements of paragraphs 698 to 701 of Basel II framework, taking into account the guidance set out in Supervisory guidance for assessing banks’ financial instrument fair value practices, April 2009 (in particular, Principle 10)</w:t>
            </w:r>
          </w:p>
        </w:tc>
      </w:tr>
      <w:tr w:rsidR="00742F5F" w:rsidRPr="00953F7D" w14:paraId="49D047FC"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FA" w14:textId="77777777" w:rsidR="00742F5F" w:rsidRPr="00953F7D" w:rsidRDefault="00742F5F" w:rsidP="009164E6">
            <w:pPr>
              <w:jc w:val="both"/>
              <w:rPr>
                <w:bCs/>
              </w:rPr>
            </w:pPr>
            <w:r w:rsidRPr="00953F7D">
              <w:rPr>
                <w:bCs/>
              </w:rPr>
              <w:t>8</w:t>
            </w:r>
          </w:p>
        </w:tc>
        <w:tc>
          <w:tcPr>
            <w:tcW w:w="7088" w:type="dxa"/>
            <w:tcBorders>
              <w:top w:val="single" w:sz="4" w:space="0" w:color="auto"/>
              <w:left w:val="single" w:sz="4" w:space="0" w:color="auto"/>
              <w:bottom w:val="single" w:sz="4" w:space="0" w:color="auto"/>
              <w:right w:val="single" w:sz="4" w:space="0" w:color="auto"/>
            </w:tcBorders>
            <w:hideMark/>
          </w:tcPr>
          <w:p w14:paraId="49D047FB" w14:textId="77777777" w:rsidR="00742F5F" w:rsidRPr="00953F7D" w:rsidRDefault="00742F5F" w:rsidP="00261295">
            <w:pPr>
              <w:ind w:left="-4" w:firstLine="4"/>
              <w:jc w:val="both"/>
              <w:rPr>
                <w:bCs/>
              </w:rPr>
            </w:pPr>
            <w:r w:rsidRPr="00953F7D">
              <w:rPr>
                <w:bCs/>
              </w:rPr>
              <w:t>Goodwill net of related tax liability, as set out in paragraphs 67 to 68 of Basel III.</w:t>
            </w:r>
          </w:p>
        </w:tc>
      </w:tr>
      <w:tr w:rsidR="00742F5F" w:rsidRPr="00953F7D" w14:paraId="49D047FF"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7FD" w14:textId="77777777" w:rsidR="00742F5F" w:rsidRPr="00953F7D" w:rsidRDefault="00742F5F" w:rsidP="009164E6">
            <w:pPr>
              <w:jc w:val="both"/>
              <w:rPr>
                <w:bCs/>
              </w:rPr>
            </w:pPr>
            <w:r w:rsidRPr="00953F7D">
              <w:rPr>
                <w:bCs/>
              </w:rPr>
              <w:t>9</w:t>
            </w:r>
          </w:p>
        </w:tc>
        <w:tc>
          <w:tcPr>
            <w:tcW w:w="7088" w:type="dxa"/>
            <w:tcBorders>
              <w:top w:val="single" w:sz="4" w:space="0" w:color="auto"/>
              <w:left w:val="single" w:sz="4" w:space="0" w:color="auto"/>
              <w:bottom w:val="single" w:sz="4" w:space="0" w:color="auto"/>
              <w:right w:val="single" w:sz="4" w:space="0" w:color="auto"/>
            </w:tcBorders>
            <w:hideMark/>
          </w:tcPr>
          <w:p w14:paraId="49D047FE" w14:textId="77777777" w:rsidR="00742F5F" w:rsidRPr="00953F7D" w:rsidRDefault="00742F5F" w:rsidP="00261295">
            <w:pPr>
              <w:ind w:left="-4" w:firstLine="4"/>
              <w:jc w:val="both"/>
              <w:rPr>
                <w:bCs/>
              </w:rPr>
            </w:pPr>
            <w:r w:rsidRPr="00953F7D">
              <w:rPr>
                <w:bCs/>
              </w:rPr>
              <w:t>Other intangibles other than mortgage servicing rights (net of related tax liability), as set out in paragraph 67 to 68 of Basel III.</w:t>
            </w:r>
          </w:p>
        </w:tc>
      </w:tr>
      <w:tr w:rsidR="00742F5F" w:rsidRPr="00953F7D" w14:paraId="49D04802"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00" w14:textId="77777777" w:rsidR="00742F5F" w:rsidRPr="00953F7D" w:rsidRDefault="00742F5F" w:rsidP="009164E6">
            <w:pPr>
              <w:jc w:val="both"/>
              <w:rPr>
                <w:bCs/>
              </w:rPr>
            </w:pPr>
            <w:r w:rsidRPr="00953F7D">
              <w:rPr>
                <w:bCs/>
              </w:rPr>
              <w:t>10</w:t>
            </w:r>
          </w:p>
        </w:tc>
        <w:tc>
          <w:tcPr>
            <w:tcW w:w="7088" w:type="dxa"/>
            <w:tcBorders>
              <w:top w:val="single" w:sz="4" w:space="0" w:color="auto"/>
              <w:left w:val="single" w:sz="4" w:space="0" w:color="auto"/>
              <w:bottom w:val="single" w:sz="4" w:space="0" w:color="auto"/>
              <w:right w:val="single" w:sz="4" w:space="0" w:color="auto"/>
            </w:tcBorders>
            <w:hideMark/>
          </w:tcPr>
          <w:p w14:paraId="49D04801" w14:textId="77777777" w:rsidR="00742F5F" w:rsidRPr="00953F7D" w:rsidRDefault="00742F5F" w:rsidP="00261295">
            <w:pPr>
              <w:ind w:left="-4" w:firstLine="4"/>
              <w:jc w:val="both"/>
              <w:rPr>
                <w:bCs/>
              </w:rPr>
            </w:pPr>
            <w:r w:rsidRPr="00953F7D">
              <w:rPr>
                <w:bCs/>
              </w:rPr>
              <w:t>Deferred tax assets that rely on future profitability excluding those arising from temporary differences (net of related tax liability), as set out in paragraph 69 of Basel III.</w:t>
            </w:r>
          </w:p>
        </w:tc>
      </w:tr>
      <w:tr w:rsidR="00742F5F" w:rsidRPr="00953F7D" w14:paraId="49D04805"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03" w14:textId="77777777" w:rsidR="00742F5F" w:rsidRPr="00953F7D" w:rsidRDefault="00742F5F" w:rsidP="009164E6">
            <w:pPr>
              <w:jc w:val="both"/>
              <w:rPr>
                <w:bCs/>
              </w:rPr>
            </w:pPr>
            <w:r w:rsidRPr="00953F7D">
              <w:rPr>
                <w:bCs/>
              </w:rPr>
              <w:t>11</w:t>
            </w:r>
          </w:p>
        </w:tc>
        <w:tc>
          <w:tcPr>
            <w:tcW w:w="7088" w:type="dxa"/>
            <w:tcBorders>
              <w:top w:val="single" w:sz="4" w:space="0" w:color="auto"/>
              <w:left w:val="single" w:sz="4" w:space="0" w:color="auto"/>
              <w:bottom w:val="single" w:sz="4" w:space="0" w:color="auto"/>
              <w:right w:val="single" w:sz="4" w:space="0" w:color="auto"/>
            </w:tcBorders>
            <w:hideMark/>
          </w:tcPr>
          <w:p w14:paraId="49D04804" w14:textId="77777777" w:rsidR="00742F5F" w:rsidRPr="00953F7D" w:rsidRDefault="00742F5F" w:rsidP="00261295">
            <w:pPr>
              <w:ind w:left="-4" w:firstLine="4"/>
              <w:jc w:val="both"/>
              <w:rPr>
                <w:bCs/>
              </w:rPr>
            </w:pPr>
            <w:r w:rsidRPr="00953F7D">
              <w:rPr>
                <w:bCs/>
              </w:rPr>
              <w:t>The element of the cash-flow hedge reserve described in paragraphs 71 and 72 of Basel III.</w:t>
            </w:r>
          </w:p>
        </w:tc>
      </w:tr>
      <w:tr w:rsidR="00742F5F" w:rsidRPr="00953F7D" w14:paraId="49D04808"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06" w14:textId="77777777" w:rsidR="00742F5F" w:rsidRPr="00953F7D" w:rsidRDefault="00742F5F" w:rsidP="009164E6">
            <w:pPr>
              <w:jc w:val="both"/>
              <w:rPr>
                <w:bCs/>
              </w:rPr>
            </w:pPr>
            <w:r w:rsidRPr="00953F7D">
              <w:rPr>
                <w:bCs/>
              </w:rPr>
              <w:t>12</w:t>
            </w:r>
          </w:p>
        </w:tc>
        <w:tc>
          <w:tcPr>
            <w:tcW w:w="7088" w:type="dxa"/>
            <w:tcBorders>
              <w:top w:val="single" w:sz="4" w:space="0" w:color="auto"/>
              <w:left w:val="single" w:sz="4" w:space="0" w:color="auto"/>
              <w:bottom w:val="single" w:sz="4" w:space="0" w:color="auto"/>
              <w:right w:val="single" w:sz="4" w:space="0" w:color="auto"/>
            </w:tcBorders>
            <w:hideMark/>
          </w:tcPr>
          <w:p w14:paraId="49D04807" w14:textId="77777777" w:rsidR="00742F5F" w:rsidRPr="00953F7D" w:rsidRDefault="00742F5F" w:rsidP="00261295">
            <w:pPr>
              <w:ind w:left="-4" w:firstLine="4"/>
              <w:jc w:val="both"/>
              <w:rPr>
                <w:bCs/>
              </w:rPr>
            </w:pPr>
            <w:r w:rsidRPr="00953F7D">
              <w:rPr>
                <w:bCs/>
              </w:rPr>
              <w:t>Shortfall of provisions to expected losses as described in paragraph 73 of Basel III.</w:t>
            </w:r>
          </w:p>
        </w:tc>
      </w:tr>
      <w:tr w:rsidR="00742F5F" w:rsidRPr="00953F7D" w14:paraId="49D0480B"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09" w14:textId="77777777" w:rsidR="00742F5F" w:rsidRPr="00953F7D" w:rsidRDefault="00742F5F" w:rsidP="009164E6">
            <w:pPr>
              <w:jc w:val="both"/>
              <w:rPr>
                <w:bCs/>
              </w:rPr>
            </w:pPr>
            <w:r w:rsidRPr="00953F7D">
              <w:rPr>
                <w:bCs/>
              </w:rPr>
              <w:t>13</w:t>
            </w:r>
          </w:p>
        </w:tc>
        <w:tc>
          <w:tcPr>
            <w:tcW w:w="7088" w:type="dxa"/>
            <w:tcBorders>
              <w:top w:val="single" w:sz="4" w:space="0" w:color="auto"/>
              <w:left w:val="single" w:sz="4" w:space="0" w:color="auto"/>
              <w:bottom w:val="single" w:sz="4" w:space="0" w:color="auto"/>
              <w:right w:val="single" w:sz="4" w:space="0" w:color="auto"/>
            </w:tcBorders>
            <w:hideMark/>
          </w:tcPr>
          <w:p w14:paraId="49D0480A" w14:textId="77777777" w:rsidR="00742F5F" w:rsidRPr="00953F7D" w:rsidRDefault="00742F5F" w:rsidP="00261295">
            <w:pPr>
              <w:ind w:left="-4" w:firstLine="4"/>
              <w:jc w:val="both"/>
              <w:rPr>
                <w:bCs/>
              </w:rPr>
            </w:pPr>
            <w:r w:rsidRPr="00953F7D">
              <w:rPr>
                <w:bCs/>
              </w:rPr>
              <w:t>Securitisation gain on sale (as set out in paragraph 562 of Basel II framework)</w:t>
            </w:r>
          </w:p>
        </w:tc>
      </w:tr>
      <w:tr w:rsidR="00742F5F" w:rsidRPr="00953F7D" w14:paraId="49D0480E"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0C" w14:textId="77777777" w:rsidR="00742F5F" w:rsidRPr="00953F7D" w:rsidRDefault="00742F5F" w:rsidP="009164E6">
            <w:pPr>
              <w:jc w:val="both"/>
              <w:rPr>
                <w:bCs/>
              </w:rPr>
            </w:pPr>
            <w:r w:rsidRPr="00953F7D">
              <w:rPr>
                <w:bCs/>
              </w:rPr>
              <w:t>14</w:t>
            </w:r>
          </w:p>
        </w:tc>
        <w:tc>
          <w:tcPr>
            <w:tcW w:w="7088" w:type="dxa"/>
            <w:tcBorders>
              <w:top w:val="single" w:sz="4" w:space="0" w:color="auto"/>
              <w:left w:val="single" w:sz="4" w:space="0" w:color="auto"/>
              <w:bottom w:val="single" w:sz="4" w:space="0" w:color="auto"/>
              <w:right w:val="single" w:sz="4" w:space="0" w:color="auto"/>
            </w:tcBorders>
            <w:hideMark/>
          </w:tcPr>
          <w:p w14:paraId="49D0480D" w14:textId="77777777" w:rsidR="00742F5F" w:rsidRPr="00953F7D" w:rsidRDefault="00742F5F" w:rsidP="00261295">
            <w:pPr>
              <w:ind w:left="-4" w:firstLine="4"/>
              <w:jc w:val="both"/>
              <w:rPr>
                <w:bCs/>
              </w:rPr>
            </w:pPr>
            <w:r w:rsidRPr="00953F7D">
              <w:rPr>
                <w:bCs/>
              </w:rPr>
              <w:t>Gains and losses due to changes in own credit risk on fair valued liabilities, as set out in paragraph 75 of Basel III.</w:t>
            </w:r>
          </w:p>
        </w:tc>
      </w:tr>
      <w:tr w:rsidR="00742F5F" w:rsidRPr="00953F7D" w14:paraId="49D04811"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0F" w14:textId="77777777" w:rsidR="00742F5F" w:rsidRPr="00953F7D" w:rsidRDefault="00742F5F" w:rsidP="009164E6">
            <w:pPr>
              <w:jc w:val="both"/>
              <w:rPr>
                <w:bCs/>
              </w:rPr>
            </w:pPr>
            <w:r w:rsidRPr="00953F7D">
              <w:rPr>
                <w:bCs/>
              </w:rPr>
              <w:t>15</w:t>
            </w:r>
          </w:p>
        </w:tc>
        <w:tc>
          <w:tcPr>
            <w:tcW w:w="7088" w:type="dxa"/>
            <w:tcBorders>
              <w:top w:val="single" w:sz="4" w:space="0" w:color="auto"/>
              <w:left w:val="single" w:sz="4" w:space="0" w:color="auto"/>
              <w:bottom w:val="single" w:sz="4" w:space="0" w:color="auto"/>
              <w:right w:val="single" w:sz="4" w:space="0" w:color="auto"/>
            </w:tcBorders>
            <w:hideMark/>
          </w:tcPr>
          <w:p w14:paraId="49D04810" w14:textId="77777777" w:rsidR="00742F5F" w:rsidRPr="00953F7D" w:rsidRDefault="00742F5F" w:rsidP="00261295">
            <w:pPr>
              <w:ind w:left="-4" w:firstLine="4"/>
              <w:jc w:val="both"/>
              <w:rPr>
                <w:bCs/>
              </w:rPr>
            </w:pPr>
            <w:r w:rsidRPr="00953F7D">
              <w:rPr>
                <w:bCs/>
              </w:rPr>
              <w:t>Defined benefit pension fund net assets as set out in paragraphs 76 and 77 of Basel III.</w:t>
            </w:r>
          </w:p>
        </w:tc>
      </w:tr>
      <w:tr w:rsidR="00742F5F" w:rsidRPr="00953F7D" w14:paraId="49D04814"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12" w14:textId="77777777" w:rsidR="00742F5F" w:rsidRPr="00953F7D" w:rsidRDefault="00742F5F" w:rsidP="009164E6">
            <w:pPr>
              <w:jc w:val="both"/>
              <w:rPr>
                <w:bCs/>
              </w:rPr>
            </w:pPr>
            <w:r w:rsidRPr="00953F7D">
              <w:rPr>
                <w:bCs/>
              </w:rPr>
              <w:t>16</w:t>
            </w:r>
          </w:p>
        </w:tc>
        <w:tc>
          <w:tcPr>
            <w:tcW w:w="7088" w:type="dxa"/>
            <w:tcBorders>
              <w:top w:val="single" w:sz="4" w:space="0" w:color="auto"/>
              <w:left w:val="single" w:sz="4" w:space="0" w:color="auto"/>
              <w:bottom w:val="single" w:sz="4" w:space="0" w:color="auto"/>
              <w:right w:val="single" w:sz="4" w:space="0" w:color="auto"/>
            </w:tcBorders>
            <w:hideMark/>
          </w:tcPr>
          <w:p w14:paraId="49D04813" w14:textId="77777777" w:rsidR="00742F5F" w:rsidRPr="00953F7D" w:rsidRDefault="00742F5F" w:rsidP="00261295">
            <w:pPr>
              <w:ind w:left="-4" w:firstLine="4"/>
              <w:jc w:val="both"/>
              <w:rPr>
                <w:bCs/>
              </w:rPr>
            </w:pPr>
            <w:r w:rsidRPr="00953F7D">
              <w:rPr>
                <w:bCs/>
              </w:rPr>
              <w:t>Investments in own shares (if not already netted off paid-in capital on reported balance sheet), as set out in paragraph 78 of Basel III.</w:t>
            </w:r>
          </w:p>
        </w:tc>
      </w:tr>
      <w:tr w:rsidR="00742F5F" w:rsidRPr="00953F7D" w14:paraId="49D04817"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15" w14:textId="77777777" w:rsidR="00742F5F" w:rsidRPr="00953F7D" w:rsidRDefault="00742F5F" w:rsidP="009164E6">
            <w:pPr>
              <w:jc w:val="both"/>
              <w:rPr>
                <w:bCs/>
              </w:rPr>
            </w:pPr>
            <w:r w:rsidRPr="00953F7D">
              <w:rPr>
                <w:bCs/>
              </w:rPr>
              <w:t>17</w:t>
            </w:r>
          </w:p>
        </w:tc>
        <w:tc>
          <w:tcPr>
            <w:tcW w:w="7088" w:type="dxa"/>
            <w:tcBorders>
              <w:top w:val="single" w:sz="4" w:space="0" w:color="auto"/>
              <w:left w:val="single" w:sz="4" w:space="0" w:color="auto"/>
              <w:bottom w:val="single" w:sz="4" w:space="0" w:color="auto"/>
              <w:right w:val="single" w:sz="4" w:space="0" w:color="auto"/>
            </w:tcBorders>
            <w:hideMark/>
          </w:tcPr>
          <w:p w14:paraId="49D04816" w14:textId="77777777" w:rsidR="00742F5F" w:rsidRPr="00953F7D" w:rsidRDefault="00742F5F" w:rsidP="00261295">
            <w:pPr>
              <w:ind w:left="-4" w:firstLine="4"/>
              <w:jc w:val="both"/>
              <w:rPr>
                <w:bCs/>
              </w:rPr>
            </w:pPr>
            <w:r w:rsidRPr="00953F7D">
              <w:rPr>
                <w:bCs/>
              </w:rPr>
              <w:t>Reciprocal cross-holdings in common equity as set out in paragraph 79 of Basel III.</w:t>
            </w:r>
          </w:p>
        </w:tc>
      </w:tr>
      <w:tr w:rsidR="00742F5F" w:rsidRPr="00953F7D" w14:paraId="49D0481A"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18" w14:textId="77777777" w:rsidR="00742F5F" w:rsidRPr="00953F7D" w:rsidRDefault="00742F5F" w:rsidP="009164E6">
            <w:pPr>
              <w:jc w:val="both"/>
              <w:rPr>
                <w:bCs/>
              </w:rPr>
            </w:pPr>
            <w:r w:rsidRPr="00953F7D">
              <w:rPr>
                <w:bCs/>
              </w:rPr>
              <w:t>18</w:t>
            </w:r>
          </w:p>
        </w:tc>
        <w:tc>
          <w:tcPr>
            <w:tcW w:w="7088" w:type="dxa"/>
            <w:tcBorders>
              <w:top w:val="single" w:sz="4" w:space="0" w:color="auto"/>
              <w:left w:val="single" w:sz="4" w:space="0" w:color="auto"/>
              <w:bottom w:val="single" w:sz="4" w:space="0" w:color="auto"/>
              <w:right w:val="single" w:sz="4" w:space="0" w:color="auto"/>
            </w:tcBorders>
            <w:hideMark/>
          </w:tcPr>
          <w:p w14:paraId="49D04819" w14:textId="77777777" w:rsidR="00742F5F" w:rsidRPr="00953F7D" w:rsidRDefault="00742F5F" w:rsidP="00261295">
            <w:pPr>
              <w:ind w:left="-4" w:firstLine="4"/>
              <w:jc w:val="both"/>
              <w:rPr>
                <w:bCs/>
              </w:rPr>
            </w:pPr>
            <w:r w:rsidRPr="00953F7D">
              <w:rPr>
                <w:bCs/>
              </w:rPr>
              <w:t>Investments in the capital of banking, financial and insurance entities that are outside the scope of regulatory consolidation, net of eligible short positions, where the ADI does not own more than 10% of the issued share capital (amount above 10% threshold), amount to be deducted from CET1 in accordance with paragraphs 80 to 83 of Basel III.</w:t>
            </w:r>
          </w:p>
        </w:tc>
      </w:tr>
      <w:tr w:rsidR="00742F5F" w:rsidRPr="00953F7D" w14:paraId="49D0481D"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1B" w14:textId="77777777" w:rsidR="00742F5F" w:rsidRPr="00953F7D" w:rsidRDefault="00742F5F" w:rsidP="009164E6">
            <w:pPr>
              <w:jc w:val="both"/>
              <w:rPr>
                <w:bCs/>
              </w:rPr>
            </w:pPr>
            <w:r w:rsidRPr="00953F7D">
              <w:rPr>
                <w:bCs/>
              </w:rPr>
              <w:t>19</w:t>
            </w:r>
          </w:p>
        </w:tc>
        <w:tc>
          <w:tcPr>
            <w:tcW w:w="7088" w:type="dxa"/>
            <w:tcBorders>
              <w:top w:val="single" w:sz="4" w:space="0" w:color="auto"/>
              <w:left w:val="single" w:sz="4" w:space="0" w:color="auto"/>
              <w:bottom w:val="single" w:sz="4" w:space="0" w:color="auto"/>
              <w:right w:val="single" w:sz="4" w:space="0" w:color="auto"/>
            </w:tcBorders>
            <w:hideMark/>
          </w:tcPr>
          <w:p w14:paraId="49D0481C" w14:textId="77777777" w:rsidR="00742F5F" w:rsidRPr="00953F7D" w:rsidRDefault="00742F5F" w:rsidP="00261295">
            <w:pPr>
              <w:ind w:left="-4" w:firstLine="4"/>
              <w:jc w:val="both"/>
              <w:rPr>
                <w:bCs/>
              </w:rPr>
            </w:pPr>
            <w:r w:rsidRPr="00953F7D">
              <w:rPr>
                <w:bCs/>
              </w:rPr>
              <w:t>Significant investments in the ordinary shares of banking, financial and insurance entities that are outside the scope of regulatory consolidation, net of eligible short positions (amount above 10% threshold), amount to be deducted from CET1 in accordance with paragraphs 84 to 88 of Basel III.</w:t>
            </w:r>
          </w:p>
        </w:tc>
      </w:tr>
      <w:tr w:rsidR="00742F5F" w:rsidRPr="00953F7D" w14:paraId="49D04820"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1E" w14:textId="77777777" w:rsidR="00742F5F" w:rsidRPr="00953F7D" w:rsidRDefault="00742F5F" w:rsidP="009164E6">
            <w:pPr>
              <w:jc w:val="both"/>
              <w:rPr>
                <w:bCs/>
              </w:rPr>
            </w:pPr>
            <w:r w:rsidRPr="00953F7D">
              <w:rPr>
                <w:bCs/>
              </w:rPr>
              <w:t>20</w:t>
            </w:r>
          </w:p>
        </w:tc>
        <w:tc>
          <w:tcPr>
            <w:tcW w:w="7088" w:type="dxa"/>
            <w:tcBorders>
              <w:top w:val="single" w:sz="4" w:space="0" w:color="auto"/>
              <w:left w:val="single" w:sz="4" w:space="0" w:color="auto"/>
              <w:bottom w:val="single" w:sz="4" w:space="0" w:color="auto"/>
              <w:right w:val="single" w:sz="4" w:space="0" w:color="auto"/>
            </w:tcBorders>
            <w:hideMark/>
          </w:tcPr>
          <w:p w14:paraId="49D0481F" w14:textId="77777777" w:rsidR="00742F5F" w:rsidRPr="00953F7D" w:rsidRDefault="00742F5F" w:rsidP="00261295">
            <w:pPr>
              <w:ind w:left="-4" w:firstLine="4"/>
              <w:jc w:val="both"/>
              <w:rPr>
                <w:bCs/>
              </w:rPr>
            </w:pPr>
            <w:r w:rsidRPr="00953F7D">
              <w:rPr>
                <w:bCs/>
              </w:rPr>
              <w:t>Mortgage servicing rights (amount above 10% threshold), amount to be deducted from CET1 in accordance with paragraphs 87 and 88 of Basel III.</w:t>
            </w:r>
          </w:p>
        </w:tc>
      </w:tr>
      <w:tr w:rsidR="00742F5F" w:rsidRPr="00953F7D" w14:paraId="49D04823"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21" w14:textId="77777777" w:rsidR="00742F5F" w:rsidRPr="00953F7D" w:rsidRDefault="00742F5F" w:rsidP="009164E6">
            <w:pPr>
              <w:jc w:val="both"/>
              <w:rPr>
                <w:bCs/>
              </w:rPr>
            </w:pPr>
            <w:r w:rsidRPr="00953F7D">
              <w:rPr>
                <w:bCs/>
              </w:rPr>
              <w:t>21</w:t>
            </w:r>
          </w:p>
        </w:tc>
        <w:tc>
          <w:tcPr>
            <w:tcW w:w="7088" w:type="dxa"/>
            <w:tcBorders>
              <w:top w:val="single" w:sz="4" w:space="0" w:color="auto"/>
              <w:left w:val="single" w:sz="4" w:space="0" w:color="auto"/>
              <w:bottom w:val="single" w:sz="4" w:space="0" w:color="auto"/>
              <w:right w:val="single" w:sz="4" w:space="0" w:color="auto"/>
            </w:tcBorders>
            <w:hideMark/>
          </w:tcPr>
          <w:p w14:paraId="49D04822" w14:textId="77777777" w:rsidR="00742F5F" w:rsidRPr="00953F7D" w:rsidRDefault="00742F5F" w:rsidP="00261295">
            <w:pPr>
              <w:ind w:left="-4" w:firstLine="4"/>
              <w:jc w:val="both"/>
              <w:rPr>
                <w:bCs/>
              </w:rPr>
            </w:pPr>
            <w:r w:rsidRPr="00953F7D">
              <w:rPr>
                <w:bCs/>
              </w:rPr>
              <w:t>Deferred tax assets arising from temporary differences (amount above 10% threshold, net of related tax liability), amount to be deducted from CET1 in accordance with paragraphs 87 and 88 of Basel III.</w:t>
            </w:r>
          </w:p>
        </w:tc>
      </w:tr>
      <w:tr w:rsidR="00742F5F" w:rsidRPr="00953F7D" w14:paraId="49D04826"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24" w14:textId="77777777" w:rsidR="00742F5F" w:rsidRPr="00953F7D" w:rsidRDefault="00742F5F" w:rsidP="009164E6">
            <w:pPr>
              <w:jc w:val="both"/>
              <w:rPr>
                <w:bCs/>
              </w:rPr>
            </w:pPr>
            <w:r w:rsidRPr="00953F7D">
              <w:rPr>
                <w:bCs/>
              </w:rPr>
              <w:t>22</w:t>
            </w:r>
          </w:p>
        </w:tc>
        <w:tc>
          <w:tcPr>
            <w:tcW w:w="7088" w:type="dxa"/>
            <w:tcBorders>
              <w:top w:val="single" w:sz="4" w:space="0" w:color="auto"/>
              <w:left w:val="single" w:sz="4" w:space="0" w:color="auto"/>
              <w:bottom w:val="single" w:sz="4" w:space="0" w:color="auto"/>
              <w:right w:val="single" w:sz="4" w:space="0" w:color="auto"/>
            </w:tcBorders>
            <w:hideMark/>
          </w:tcPr>
          <w:p w14:paraId="49D04825" w14:textId="77777777" w:rsidR="00742F5F" w:rsidRPr="00953F7D" w:rsidRDefault="00742F5F" w:rsidP="00261295">
            <w:pPr>
              <w:ind w:left="-4" w:firstLine="4"/>
              <w:jc w:val="both"/>
              <w:rPr>
                <w:bCs/>
              </w:rPr>
            </w:pPr>
            <w:r w:rsidRPr="00953F7D">
              <w:rPr>
                <w:bCs/>
              </w:rPr>
              <w:t>Total amount by which the 3 threshold items exceed the 15% threshold, excluding amounts reported in rows 19 to 21, calculated in accordance with paragraphs 87 and 88 of Basel III.</w:t>
            </w:r>
          </w:p>
        </w:tc>
      </w:tr>
      <w:tr w:rsidR="00742F5F" w:rsidRPr="00953F7D" w14:paraId="49D04829"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27" w14:textId="77777777" w:rsidR="00742F5F" w:rsidRPr="00953F7D" w:rsidRDefault="00742F5F" w:rsidP="009164E6">
            <w:pPr>
              <w:jc w:val="both"/>
              <w:rPr>
                <w:bCs/>
              </w:rPr>
            </w:pPr>
            <w:r w:rsidRPr="00953F7D">
              <w:rPr>
                <w:bCs/>
              </w:rPr>
              <w:t>23</w:t>
            </w:r>
          </w:p>
        </w:tc>
        <w:tc>
          <w:tcPr>
            <w:tcW w:w="7088" w:type="dxa"/>
            <w:tcBorders>
              <w:top w:val="single" w:sz="4" w:space="0" w:color="auto"/>
              <w:left w:val="single" w:sz="4" w:space="0" w:color="auto"/>
              <w:bottom w:val="single" w:sz="4" w:space="0" w:color="auto"/>
              <w:right w:val="single" w:sz="4" w:space="0" w:color="auto"/>
            </w:tcBorders>
            <w:hideMark/>
          </w:tcPr>
          <w:p w14:paraId="49D04828" w14:textId="77777777" w:rsidR="00742F5F" w:rsidRPr="00953F7D" w:rsidRDefault="00742F5F" w:rsidP="00261295">
            <w:pPr>
              <w:ind w:left="-4" w:firstLine="4"/>
              <w:jc w:val="both"/>
              <w:rPr>
                <w:bCs/>
              </w:rPr>
            </w:pPr>
            <w:r w:rsidRPr="00953F7D">
              <w:rPr>
                <w:bCs/>
              </w:rPr>
              <w:t>The amount reported in row 22 that relates to significant investments in the ordinary shares of financial entities.</w:t>
            </w:r>
          </w:p>
        </w:tc>
      </w:tr>
      <w:tr w:rsidR="00742F5F" w:rsidRPr="00953F7D" w14:paraId="49D0482C"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2A" w14:textId="77777777" w:rsidR="00742F5F" w:rsidRPr="00953F7D" w:rsidRDefault="00742F5F" w:rsidP="009164E6">
            <w:pPr>
              <w:jc w:val="both"/>
              <w:rPr>
                <w:bCs/>
              </w:rPr>
            </w:pPr>
            <w:r w:rsidRPr="00953F7D">
              <w:rPr>
                <w:bCs/>
              </w:rPr>
              <w:t>24</w:t>
            </w:r>
          </w:p>
        </w:tc>
        <w:tc>
          <w:tcPr>
            <w:tcW w:w="7088" w:type="dxa"/>
            <w:tcBorders>
              <w:top w:val="single" w:sz="4" w:space="0" w:color="auto"/>
              <w:left w:val="single" w:sz="4" w:space="0" w:color="auto"/>
              <w:bottom w:val="single" w:sz="4" w:space="0" w:color="auto"/>
              <w:right w:val="single" w:sz="4" w:space="0" w:color="auto"/>
            </w:tcBorders>
            <w:hideMark/>
          </w:tcPr>
          <w:p w14:paraId="49D0482B" w14:textId="77777777" w:rsidR="00742F5F" w:rsidRPr="00953F7D" w:rsidRDefault="00742F5F" w:rsidP="00261295">
            <w:pPr>
              <w:ind w:left="-4" w:firstLine="4"/>
              <w:jc w:val="both"/>
              <w:rPr>
                <w:bCs/>
              </w:rPr>
            </w:pPr>
            <w:r w:rsidRPr="00953F7D">
              <w:rPr>
                <w:bCs/>
              </w:rPr>
              <w:t>The amount reported in row 22 that relates to mortgage servicing rights.</w:t>
            </w:r>
          </w:p>
        </w:tc>
      </w:tr>
      <w:tr w:rsidR="00742F5F" w:rsidRPr="00953F7D" w14:paraId="49D0482F"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2D" w14:textId="77777777" w:rsidR="00742F5F" w:rsidRPr="00953F7D" w:rsidRDefault="00742F5F" w:rsidP="009164E6">
            <w:pPr>
              <w:jc w:val="both"/>
              <w:rPr>
                <w:bCs/>
              </w:rPr>
            </w:pPr>
            <w:r w:rsidRPr="00953F7D">
              <w:rPr>
                <w:bCs/>
              </w:rPr>
              <w:t>25</w:t>
            </w:r>
          </w:p>
        </w:tc>
        <w:tc>
          <w:tcPr>
            <w:tcW w:w="7088" w:type="dxa"/>
            <w:tcBorders>
              <w:top w:val="single" w:sz="4" w:space="0" w:color="auto"/>
              <w:left w:val="single" w:sz="4" w:space="0" w:color="auto"/>
              <w:bottom w:val="single" w:sz="4" w:space="0" w:color="auto"/>
              <w:right w:val="single" w:sz="4" w:space="0" w:color="auto"/>
            </w:tcBorders>
            <w:hideMark/>
          </w:tcPr>
          <w:p w14:paraId="49D0482E" w14:textId="77777777" w:rsidR="00742F5F" w:rsidRPr="00953F7D" w:rsidRDefault="00742F5F" w:rsidP="00261295">
            <w:pPr>
              <w:ind w:left="-4" w:firstLine="4"/>
              <w:jc w:val="both"/>
              <w:rPr>
                <w:bCs/>
              </w:rPr>
            </w:pPr>
            <w:r w:rsidRPr="00953F7D">
              <w:rPr>
                <w:bCs/>
              </w:rPr>
              <w:t>The amount reported in row 22 that relates to deferred tax assets arising from temporary differences.</w:t>
            </w:r>
          </w:p>
        </w:tc>
      </w:tr>
      <w:tr w:rsidR="00742F5F" w:rsidRPr="00953F7D" w14:paraId="49D04832" w14:textId="77777777" w:rsidTr="009C3F64">
        <w:trPr>
          <w:trHeight w:val="283"/>
        </w:trPr>
        <w:tc>
          <w:tcPr>
            <w:tcW w:w="1134" w:type="dxa"/>
            <w:tcBorders>
              <w:top w:val="single" w:sz="4" w:space="0" w:color="auto"/>
              <w:left w:val="single" w:sz="4" w:space="0" w:color="auto"/>
              <w:bottom w:val="single" w:sz="4" w:space="0" w:color="auto"/>
              <w:right w:val="single" w:sz="4" w:space="0" w:color="auto"/>
            </w:tcBorders>
            <w:hideMark/>
          </w:tcPr>
          <w:p w14:paraId="49D04830" w14:textId="77777777" w:rsidR="00742F5F" w:rsidRPr="00953F7D" w:rsidRDefault="00742F5F" w:rsidP="009164E6">
            <w:pPr>
              <w:jc w:val="both"/>
              <w:rPr>
                <w:bCs/>
              </w:rPr>
            </w:pPr>
            <w:r w:rsidRPr="00953F7D">
              <w:rPr>
                <w:bCs/>
              </w:rPr>
              <w:t>26</w:t>
            </w:r>
          </w:p>
        </w:tc>
        <w:tc>
          <w:tcPr>
            <w:tcW w:w="7088" w:type="dxa"/>
            <w:tcBorders>
              <w:top w:val="single" w:sz="4" w:space="0" w:color="auto"/>
              <w:left w:val="single" w:sz="4" w:space="0" w:color="auto"/>
              <w:bottom w:val="single" w:sz="4" w:space="0" w:color="auto"/>
              <w:right w:val="single" w:sz="4" w:space="0" w:color="auto"/>
            </w:tcBorders>
            <w:hideMark/>
          </w:tcPr>
          <w:p w14:paraId="49D04831" w14:textId="77777777" w:rsidR="00742F5F" w:rsidRPr="00953F7D" w:rsidRDefault="00742F5F" w:rsidP="00261295">
            <w:pPr>
              <w:ind w:left="-4" w:firstLine="4"/>
              <w:jc w:val="both"/>
              <w:rPr>
                <w:bCs/>
              </w:rPr>
            </w:pPr>
            <w:r w:rsidRPr="00953F7D">
              <w:rPr>
                <w:bCs/>
              </w:rPr>
              <w:t>Any national specific regulatory adjustments that national authorities required to be applied to CET1 in addition to the Basel III minimum set of adjustments. (This will be the sum of rows 26a, 26b, 26c, 26d, 26e, 26f, 26g, 26h, 26i and 26j).</w:t>
            </w:r>
          </w:p>
        </w:tc>
      </w:tr>
      <w:tr w:rsidR="00742F5F" w:rsidRPr="00953F7D" w14:paraId="49D04835" w14:textId="77777777" w:rsidTr="009C3F64">
        <w:trPr>
          <w:trHeight w:val="283"/>
        </w:trPr>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833" w14:textId="77777777" w:rsidR="00742F5F" w:rsidRPr="00953F7D" w:rsidRDefault="00742F5F" w:rsidP="009164E6">
            <w:pPr>
              <w:jc w:val="both"/>
              <w:rPr>
                <w:bCs/>
              </w:rPr>
            </w:pPr>
            <w:r w:rsidRPr="00953F7D">
              <w:rPr>
                <w:bCs/>
              </w:rPr>
              <w:t>26a</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34" w14:textId="77777777" w:rsidR="00742F5F" w:rsidRPr="00953F7D" w:rsidRDefault="00742F5F" w:rsidP="00261295">
            <w:pPr>
              <w:ind w:left="-4" w:firstLine="4"/>
              <w:jc w:val="both"/>
              <w:rPr>
                <w:bCs/>
              </w:rPr>
            </w:pPr>
            <w:r w:rsidRPr="00953F7D">
              <w:rPr>
                <w:bCs/>
              </w:rPr>
              <w:t xml:space="preserve">Treasury shares if not included in share capital calculated under Basel III (refer to Prudential Standard APS 111 Capital Adequacy: Measurement of Capital (APS 111), paragraphs 39 to 41). </w:t>
            </w:r>
          </w:p>
        </w:tc>
      </w:tr>
      <w:tr w:rsidR="00742F5F" w:rsidRPr="00953F7D" w14:paraId="49D04838" w14:textId="77777777" w:rsidTr="009C3F64">
        <w:trPr>
          <w:trHeight w:val="283"/>
        </w:trPr>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836" w14:textId="77777777" w:rsidR="00742F5F" w:rsidRPr="00953F7D" w:rsidRDefault="00742F5F" w:rsidP="009164E6">
            <w:pPr>
              <w:jc w:val="both"/>
              <w:rPr>
                <w:bCs/>
              </w:rPr>
            </w:pPr>
            <w:r w:rsidRPr="00953F7D">
              <w:rPr>
                <w:bCs/>
              </w:rPr>
              <w:t>26b</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37" w14:textId="77777777" w:rsidR="00742F5F" w:rsidRPr="00953F7D" w:rsidRDefault="00742F5F" w:rsidP="00261295">
            <w:pPr>
              <w:ind w:left="-4" w:firstLine="4"/>
              <w:jc w:val="both"/>
              <w:rPr>
                <w:bCs/>
              </w:rPr>
            </w:pPr>
            <w:r w:rsidRPr="00953F7D">
              <w:rPr>
                <w:bCs/>
              </w:rPr>
              <w:t>Offset to dividends declared due to a dividend reinvestment plan (DRP), to the extent that the dividends are used to purchase new ordinary shares issued by the ADI (APS 111, paragraph 21).</w:t>
            </w:r>
          </w:p>
        </w:tc>
      </w:tr>
      <w:tr w:rsidR="00742F5F" w:rsidRPr="00953F7D" w14:paraId="49D0483B" w14:textId="77777777" w:rsidTr="009C3F64">
        <w:trPr>
          <w:trHeight w:val="283"/>
        </w:trPr>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839" w14:textId="77777777" w:rsidR="00742F5F" w:rsidRPr="00953F7D" w:rsidRDefault="00742F5F" w:rsidP="009164E6">
            <w:pPr>
              <w:jc w:val="both"/>
              <w:rPr>
                <w:bCs/>
              </w:rPr>
            </w:pPr>
            <w:r w:rsidRPr="00953F7D">
              <w:rPr>
                <w:bCs/>
              </w:rPr>
              <w:t>26c</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3A" w14:textId="77777777" w:rsidR="00742F5F" w:rsidRPr="00953F7D" w:rsidRDefault="00742F5F" w:rsidP="00261295">
            <w:pPr>
              <w:ind w:left="-4" w:firstLine="4"/>
              <w:jc w:val="both"/>
              <w:rPr>
                <w:bCs/>
              </w:rPr>
            </w:pPr>
            <w:r w:rsidRPr="00953F7D">
              <w:rPr>
                <w:bCs/>
              </w:rPr>
              <w:t>Deferred fee income (APS 111, paragraphs 22 and 23).</w:t>
            </w:r>
          </w:p>
        </w:tc>
      </w:tr>
      <w:tr w:rsidR="00742F5F" w:rsidRPr="00953F7D" w14:paraId="49D0483E" w14:textId="77777777" w:rsidTr="009C3F64">
        <w:trPr>
          <w:trHeight w:val="283"/>
        </w:trPr>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83C" w14:textId="77777777" w:rsidR="00742F5F" w:rsidRPr="00953F7D" w:rsidRDefault="00742F5F" w:rsidP="009164E6">
            <w:pPr>
              <w:jc w:val="both"/>
              <w:rPr>
                <w:bCs/>
              </w:rPr>
            </w:pPr>
            <w:r w:rsidRPr="00953F7D">
              <w:rPr>
                <w:bCs/>
              </w:rPr>
              <w:t>26d</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3D" w14:textId="77777777" w:rsidR="00742F5F" w:rsidRPr="00953F7D" w:rsidRDefault="00742F5F" w:rsidP="00261295">
            <w:pPr>
              <w:ind w:left="-4" w:firstLine="4"/>
              <w:jc w:val="both"/>
              <w:rPr>
                <w:bCs/>
              </w:rPr>
            </w:pPr>
            <w:r w:rsidRPr="00953F7D">
              <w:rPr>
                <w:bCs/>
              </w:rPr>
              <w:t>Capital impact of equity investments in financial institutions not reported in rows 18, 19 and row 23 (APS 111, Attachment D paragraphs 8 to 14).</w:t>
            </w:r>
          </w:p>
        </w:tc>
      </w:tr>
      <w:tr w:rsidR="00742F5F" w:rsidRPr="00953F7D" w14:paraId="49D04841" w14:textId="77777777" w:rsidTr="009C3F64">
        <w:trPr>
          <w:trHeight w:val="283"/>
        </w:trPr>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83F" w14:textId="77777777" w:rsidR="00742F5F" w:rsidRPr="00953F7D" w:rsidRDefault="00742F5F" w:rsidP="009164E6">
            <w:pPr>
              <w:jc w:val="both"/>
              <w:rPr>
                <w:bCs/>
              </w:rPr>
            </w:pPr>
            <w:r w:rsidRPr="00953F7D">
              <w:rPr>
                <w:bCs/>
              </w:rPr>
              <w:t>26e</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40" w14:textId="77777777" w:rsidR="00742F5F" w:rsidRPr="00953F7D" w:rsidRDefault="00742F5F" w:rsidP="00261295">
            <w:pPr>
              <w:ind w:left="-4" w:firstLine="4"/>
              <w:jc w:val="both"/>
              <w:rPr>
                <w:bCs/>
              </w:rPr>
            </w:pPr>
            <w:r w:rsidRPr="00953F7D">
              <w:rPr>
                <w:bCs/>
              </w:rPr>
              <w:t>Capital impact of deferred tax assets (net of related deferred tax liability) not reported in rows 10, 21 and 25.</w:t>
            </w:r>
          </w:p>
        </w:tc>
      </w:tr>
      <w:tr w:rsidR="00742F5F" w:rsidRPr="00953F7D" w14:paraId="49D04844" w14:textId="77777777" w:rsidTr="009C3F64">
        <w:trPr>
          <w:trHeight w:val="283"/>
        </w:trPr>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842" w14:textId="77777777" w:rsidR="00742F5F" w:rsidRPr="00953F7D" w:rsidRDefault="00742F5F" w:rsidP="009164E6">
            <w:pPr>
              <w:jc w:val="both"/>
              <w:rPr>
                <w:bCs/>
              </w:rPr>
            </w:pPr>
            <w:r w:rsidRPr="00953F7D">
              <w:rPr>
                <w:bCs/>
              </w:rPr>
              <w:t>26f</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43" w14:textId="77777777" w:rsidR="00742F5F" w:rsidRPr="00953F7D" w:rsidRDefault="00742F5F" w:rsidP="00261295">
            <w:pPr>
              <w:ind w:left="-4" w:firstLine="4"/>
              <w:jc w:val="both"/>
              <w:rPr>
                <w:bCs/>
              </w:rPr>
            </w:pPr>
            <w:r w:rsidRPr="00953F7D">
              <w:rPr>
                <w:bCs/>
              </w:rPr>
              <w:t>Capitalised expenses (APS 111, Attachment D paragraph 27b).</w:t>
            </w:r>
          </w:p>
        </w:tc>
      </w:tr>
      <w:tr w:rsidR="00742F5F" w:rsidRPr="00953F7D" w14:paraId="49D04847" w14:textId="77777777" w:rsidTr="009C3F64">
        <w:trPr>
          <w:trHeight w:val="283"/>
        </w:trPr>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845" w14:textId="77777777" w:rsidR="00742F5F" w:rsidRPr="00953F7D" w:rsidRDefault="00742F5F" w:rsidP="009164E6">
            <w:pPr>
              <w:jc w:val="both"/>
              <w:rPr>
                <w:bCs/>
              </w:rPr>
            </w:pPr>
            <w:r w:rsidRPr="00953F7D">
              <w:rPr>
                <w:bCs/>
              </w:rPr>
              <w:t>26g</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46" w14:textId="77777777" w:rsidR="00742F5F" w:rsidRPr="00953F7D" w:rsidRDefault="00742F5F" w:rsidP="00261295">
            <w:pPr>
              <w:ind w:left="-4" w:firstLine="4"/>
              <w:jc w:val="both"/>
              <w:rPr>
                <w:bCs/>
              </w:rPr>
            </w:pPr>
            <w:r w:rsidRPr="00953F7D">
              <w:rPr>
                <w:bCs/>
              </w:rPr>
              <w:t>Investments in commercial (non-financial) entities deducted under APRA standards (APS 111, Attachment D paragraph 25).</w:t>
            </w:r>
          </w:p>
        </w:tc>
      </w:tr>
      <w:tr w:rsidR="00742F5F" w:rsidRPr="00953F7D" w14:paraId="49D0484A" w14:textId="77777777" w:rsidTr="009C3F64">
        <w:trPr>
          <w:trHeight w:val="283"/>
        </w:trPr>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848" w14:textId="77777777" w:rsidR="00742F5F" w:rsidRPr="00953F7D" w:rsidRDefault="00742F5F" w:rsidP="009164E6">
            <w:pPr>
              <w:jc w:val="both"/>
              <w:rPr>
                <w:bCs/>
              </w:rPr>
            </w:pPr>
            <w:r w:rsidRPr="00953F7D">
              <w:rPr>
                <w:bCs/>
              </w:rPr>
              <w:t>26h</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49" w14:textId="77777777" w:rsidR="00742F5F" w:rsidRPr="00953F7D" w:rsidRDefault="00742F5F" w:rsidP="00261295">
            <w:pPr>
              <w:ind w:left="-4" w:firstLine="4"/>
              <w:jc w:val="both"/>
              <w:rPr>
                <w:bCs/>
              </w:rPr>
            </w:pPr>
            <w:r w:rsidRPr="00953F7D">
              <w:rPr>
                <w:bCs/>
              </w:rPr>
              <w:t>Covered bonds in excess of asset cover in pools (APS 111, Attachment D paragraph 21).</w:t>
            </w:r>
          </w:p>
        </w:tc>
      </w:tr>
      <w:tr w:rsidR="00742F5F" w:rsidRPr="00953F7D" w14:paraId="49D0484D" w14:textId="77777777" w:rsidTr="009C3F64">
        <w:trPr>
          <w:trHeight w:val="283"/>
        </w:trPr>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84B" w14:textId="77777777" w:rsidR="00742F5F" w:rsidRPr="00953F7D" w:rsidRDefault="00742F5F" w:rsidP="009164E6">
            <w:pPr>
              <w:jc w:val="both"/>
              <w:rPr>
                <w:bCs/>
              </w:rPr>
            </w:pPr>
            <w:r w:rsidRPr="00953F7D">
              <w:rPr>
                <w:bCs/>
              </w:rPr>
              <w:t>26i</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4C" w14:textId="77777777" w:rsidR="00742F5F" w:rsidRPr="00953F7D" w:rsidRDefault="00742F5F" w:rsidP="00261295">
            <w:pPr>
              <w:ind w:left="-4" w:firstLine="4"/>
              <w:jc w:val="both"/>
              <w:rPr>
                <w:bCs/>
              </w:rPr>
            </w:pPr>
            <w:r w:rsidRPr="00953F7D">
              <w:rPr>
                <w:bCs/>
              </w:rPr>
              <w:t>Undercapitalisation of a non-consolidated subsidiary (APS 111 Attachment D paragraph 37).</w:t>
            </w:r>
          </w:p>
        </w:tc>
      </w:tr>
      <w:tr w:rsidR="00742F5F" w:rsidRPr="00953F7D" w14:paraId="49D04850" w14:textId="77777777" w:rsidTr="009C3F64">
        <w:trPr>
          <w:trHeight w:val="283"/>
        </w:trPr>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84E" w14:textId="77777777" w:rsidR="00742F5F" w:rsidRPr="00953F7D" w:rsidRDefault="00742F5F" w:rsidP="009164E6">
            <w:pPr>
              <w:jc w:val="both"/>
              <w:rPr>
                <w:bCs/>
              </w:rPr>
            </w:pPr>
            <w:r w:rsidRPr="00953F7D">
              <w:rPr>
                <w:bCs/>
              </w:rPr>
              <w:t>26j</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4F" w14:textId="77777777" w:rsidR="00742F5F" w:rsidRPr="00953F7D" w:rsidRDefault="00742F5F" w:rsidP="00261295">
            <w:pPr>
              <w:ind w:left="-4" w:firstLine="4"/>
              <w:jc w:val="both"/>
              <w:rPr>
                <w:bCs/>
              </w:rPr>
            </w:pPr>
            <w:r w:rsidRPr="00953F7D">
              <w:rPr>
                <w:bCs/>
              </w:rPr>
              <w:t>Any other national discretion items impacting CET1 (e.g. mortgage servicing rights) not reported in rows 26a to 26i.</w:t>
            </w:r>
          </w:p>
        </w:tc>
      </w:tr>
      <w:tr w:rsidR="00742F5F" w:rsidRPr="00953F7D" w14:paraId="49D04853"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51" w14:textId="77777777" w:rsidR="00742F5F" w:rsidRPr="00953F7D" w:rsidRDefault="00742F5F" w:rsidP="009164E6">
            <w:pPr>
              <w:jc w:val="both"/>
              <w:rPr>
                <w:bCs/>
              </w:rPr>
            </w:pPr>
            <w:r w:rsidRPr="00953F7D">
              <w:rPr>
                <w:bCs/>
              </w:rPr>
              <w:t>27</w:t>
            </w:r>
          </w:p>
        </w:tc>
        <w:tc>
          <w:tcPr>
            <w:tcW w:w="7088" w:type="dxa"/>
            <w:tcBorders>
              <w:top w:val="single" w:sz="4" w:space="0" w:color="auto"/>
              <w:left w:val="single" w:sz="4" w:space="0" w:color="auto"/>
              <w:bottom w:val="single" w:sz="4" w:space="0" w:color="auto"/>
              <w:right w:val="single" w:sz="4" w:space="0" w:color="auto"/>
            </w:tcBorders>
            <w:hideMark/>
          </w:tcPr>
          <w:p w14:paraId="49D04852" w14:textId="77777777" w:rsidR="00742F5F" w:rsidRPr="00953F7D" w:rsidRDefault="00742F5F" w:rsidP="00261295">
            <w:pPr>
              <w:ind w:left="-4" w:firstLine="4"/>
              <w:jc w:val="both"/>
              <w:rPr>
                <w:bCs/>
              </w:rPr>
            </w:pPr>
            <w:r w:rsidRPr="00953F7D">
              <w:rPr>
                <w:bCs/>
              </w:rPr>
              <w:t>Regulatory adjustments applied to Common Equity Tier 1 due to insufficient Additional Tier 1 and Tier 2 to cover deductions. If the amount reported in row 43 exceeds the amount reported in row 36 the excess is to be reported here.</w:t>
            </w:r>
          </w:p>
        </w:tc>
      </w:tr>
      <w:tr w:rsidR="00742F5F" w:rsidRPr="00953F7D" w14:paraId="49D04856"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54" w14:textId="77777777" w:rsidR="00742F5F" w:rsidRPr="00953F7D" w:rsidRDefault="00742F5F" w:rsidP="009164E6">
            <w:pPr>
              <w:jc w:val="both"/>
              <w:rPr>
                <w:bCs/>
              </w:rPr>
            </w:pPr>
            <w:r w:rsidRPr="00953F7D">
              <w:rPr>
                <w:bCs/>
              </w:rPr>
              <w:t>28</w:t>
            </w:r>
          </w:p>
        </w:tc>
        <w:tc>
          <w:tcPr>
            <w:tcW w:w="7088" w:type="dxa"/>
            <w:tcBorders>
              <w:top w:val="single" w:sz="4" w:space="0" w:color="auto"/>
              <w:left w:val="single" w:sz="4" w:space="0" w:color="auto"/>
              <w:bottom w:val="single" w:sz="4" w:space="0" w:color="auto"/>
              <w:right w:val="single" w:sz="4" w:space="0" w:color="auto"/>
            </w:tcBorders>
            <w:hideMark/>
          </w:tcPr>
          <w:p w14:paraId="49D04855" w14:textId="77777777" w:rsidR="00742F5F" w:rsidRPr="00953F7D" w:rsidRDefault="00742F5F" w:rsidP="00261295">
            <w:pPr>
              <w:ind w:left="-4" w:firstLine="4"/>
              <w:jc w:val="both"/>
              <w:rPr>
                <w:bCs/>
              </w:rPr>
            </w:pPr>
            <w:r w:rsidRPr="00953F7D">
              <w:rPr>
                <w:bCs/>
              </w:rPr>
              <w:t>Total regulatory adjustments to Common Equity Tier 1, to be calculated as the sum of rows 7 to 22 plus rows 26 and 27.</w:t>
            </w:r>
          </w:p>
        </w:tc>
      </w:tr>
      <w:tr w:rsidR="00742F5F" w:rsidRPr="00953F7D" w14:paraId="49D04859"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57" w14:textId="77777777" w:rsidR="00742F5F" w:rsidRPr="00953F7D" w:rsidRDefault="00742F5F" w:rsidP="009164E6">
            <w:pPr>
              <w:jc w:val="both"/>
              <w:rPr>
                <w:bCs/>
              </w:rPr>
            </w:pPr>
            <w:r w:rsidRPr="00953F7D">
              <w:rPr>
                <w:bCs/>
              </w:rPr>
              <w:t>29</w:t>
            </w:r>
          </w:p>
        </w:tc>
        <w:tc>
          <w:tcPr>
            <w:tcW w:w="7088" w:type="dxa"/>
            <w:tcBorders>
              <w:top w:val="single" w:sz="4" w:space="0" w:color="auto"/>
              <w:left w:val="single" w:sz="4" w:space="0" w:color="auto"/>
              <w:bottom w:val="single" w:sz="4" w:space="0" w:color="auto"/>
              <w:right w:val="single" w:sz="4" w:space="0" w:color="auto"/>
            </w:tcBorders>
            <w:hideMark/>
          </w:tcPr>
          <w:p w14:paraId="49D04858" w14:textId="77777777" w:rsidR="00742F5F" w:rsidRPr="00953F7D" w:rsidRDefault="00742F5F" w:rsidP="00261295">
            <w:pPr>
              <w:ind w:left="-4" w:firstLine="4"/>
              <w:jc w:val="both"/>
              <w:rPr>
                <w:bCs/>
              </w:rPr>
            </w:pPr>
            <w:r w:rsidRPr="00953F7D">
              <w:rPr>
                <w:bCs/>
              </w:rPr>
              <w:t>Common Equity Tier 1 capital (CET1), to be calculated as row 6 minus row 28.</w:t>
            </w:r>
          </w:p>
        </w:tc>
      </w:tr>
      <w:tr w:rsidR="00742F5F" w:rsidRPr="00953F7D" w14:paraId="49D0485C"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5A" w14:textId="77777777" w:rsidR="00742F5F" w:rsidRPr="00953F7D" w:rsidRDefault="00742F5F" w:rsidP="009164E6">
            <w:pPr>
              <w:jc w:val="both"/>
              <w:rPr>
                <w:bCs/>
              </w:rPr>
            </w:pPr>
            <w:r w:rsidRPr="00953F7D">
              <w:rPr>
                <w:bCs/>
              </w:rPr>
              <w:t>30</w:t>
            </w:r>
          </w:p>
        </w:tc>
        <w:tc>
          <w:tcPr>
            <w:tcW w:w="7088" w:type="dxa"/>
            <w:tcBorders>
              <w:top w:val="single" w:sz="4" w:space="0" w:color="auto"/>
              <w:left w:val="single" w:sz="4" w:space="0" w:color="auto"/>
              <w:bottom w:val="single" w:sz="4" w:space="0" w:color="auto"/>
              <w:right w:val="single" w:sz="4" w:space="0" w:color="auto"/>
            </w:tcBorders>
            <w:hideMark/>
          </w:tcPr>
          <w:p w14:paraId="49D0485B" w14:textId="77777777" w:rsidR="00742F5F" w:rsidRPr="00953F7D" w:rsidRDefault="00742F5F" w:rsidP="00261295">
            <w:pPr>
              <w:ind w:left="-4" w:firstLine="4"/>
              <w:jc w:val="both"/>
              <w:rPr>
                <w:bCs/>
              </w:rPr>
            </w:pPr>
            <w:r w:rsidRPr="00953F7D">
              <w:rPr>
                <w:bCs/>
              </w:rPr>
              <w:t xml:space="preserve">Instruments issued by the parent company of the reporting group that meet all of the AT1 entry criteria set out in paragraph 55 of Basel III. All instruments issued by subsidiaries of the consolidated group must be excluded from this row. This row may include Additional Tier 1 capital issued by a special purpose vehicle (SPV) of the parent company only if it meets the requirements set out in paragraph 65 of Basel III. </w:t>
            </w:r>
          </w:p>
        </w:tc>
      </w:tr>
      <w:tr w:rsidR="00742F5F" w:rsidRPr="00953F7D" w14:paraId="49D0485F"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5D" w14:textId="77777777" w:rsidR="00742F5F" w:rsidRPr="00953F7D" w:rsidRDefault="00742F5F" w:rsidP="009164E6">
            <w:pPr>
              <w:jc w:val="both"/>
              <w:rPr>
                <w:bCs/>
              </w:rPr>
            </w:pPr>
            <w:r w:rsidRPr="00953F7D">
              <w:rPr>
                <w:bCs/>
              </w:rPr>
              <w:t>31</w:t>
            </w:r>
          </w:p>
        </w:tc>
        <w:tc>
          <w:tcPr>
            <w:tcW w:w="7088" w:type="dxa"/>
            <w:tcBorders>
              <w:top w:val="single" w:sz="4" w:space="0" w:color="auto"/>
              <w:left w:val="single" w:sz="4" w:space="0" w:color="auto"/>
              <w:bottom w:val="single" w:sz="4" w:space="0" w:color="auto"/>
              <w:right w:val="single" w:sz="4" w:space="0" w:color="auto"/>
            </w:tcBorders>
            <w:hideMark/>
          </w:tcPr>
          <w:p w14:paraId="49D0485E" w14:textId="77777777" w:rsidR="00742F5F" w:rsidRPr="00953F7D" w:rsidRDefault="00742F5F" w:rsidP="00261295">
            <w:pPr>
              <w:ind w:left="-4" w:firstLine="4"/>
              <w:jc w:val="both"/>
              <w:rPr>
                <w:bCs/>
              </w:rPr>
            </w:pPr>
            <w:r w:rsidRPr="00953F7D">
              <w:rPr>
                <w:bCs/>
              </w:rPr>
              <w:t>The amount in row 30 classified as equity under Australian Accounting Standards.</w:t>
            </w:r>
          </w:p>
        </w:tc>
      </w:tr>
      <w:tr w:rsidR="00742F5F" w:rsidRPr="00953F7D" w14:paraId="49D04862"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60" w14:textId="77777777" w:rsidR="00742F5F" w:rsidRPr="00953F7D" w:rsidRDefault="00742F5F" w:rsidP="009164E6">
            <w:pPr>
              <w:jc w:val="both"/>
              <w:rPr>
                <w:bCs/>
              </w:rPr>
            </w:pPr>
            <w:r w:rsidRPr="00953F7D">
              <w:rPr>
                <w:bCs/>
              </w:rPr>
              <w:t>32</w:t>
            </w:r>
          </w:p>
        </w:tc>
        <w:tc>
          <w:tcPr>
            <w:tcW w:w="7088" w:type="dxa"/>
            <w:tcBorders>
              <w:top w:val="single" w:sz="4" w:space="0" w:color="auto"/>
              <w:left w:val="single" w:sz="4" w:space="0" w:color="auto"/>
              <w:bottom w:val="single" w:sz="4" w:space="0" w:color="auto"/>
              <w:right w:val="single" w:sz="4" w:space="0" w:color="auto"/>
            </w:tcBorders>
            <w:hideMark/>
          </w:tcPr>
          <w:p w14:paraId="49D04861" w14:textId="77777777" w:rsidR="00742F5F" w:rsidRPr="00953F7D" w:rsidRDefault="00742F5F" w:rsidP="00261295">
            <w:pPr>
              <w:ind w:left="-4" w:firstLine="4"/>
              <w:jc w:val="both"/>
              <w:rPr>
                <w:bCs/>
              </w:rPr>
            </w:pPr>
            <w:r w:rsidRPr="00953F7D">
              <w:rPr>
                <w:bCs/>
              </w:rPr>
              <w:t>The amount in row 30 classified as liabilities under Australian Accounting Standards.</w:t>
            </w:r>
          </w:p>
        </w:tc>
      </w:tr>
      <w:tr w:rsidR="00742F5F" w:rsidRPr="00953F7D" w14:paraId="49D04865"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63" w14:textId="77777777" w:rsidR="00742F5F" w:rsidRPr="00953F7D" w:rsidRDefault="00742F5F" w:rsidP="009164E6">
            <w:pPr>
              <w:jc w:val="both"/>
              <w:rPr>
                <w:bCs/>
              </w:rPr>
            </w:pPr>
            <w:r w:rsidRPr="00953F7D">
              <w:rPr>
                <w:bCs/>
              </w:rPr>
              <w:t>33</w:t>
            </w:r>
          </w:p>
        </w:tc>
        <w:tc>
          <w:tcPr>
            <w:tcW w:w="7088" w:type="dxa"/>
            <w:tcBorders>
              <w:top w:val="single" w:sz="4" w:space="0" w:color="auto"/>
              <w:left w:val="single" w:sz="4" w:space="0" w:color="auto"/>
              <w:bottom w:val="single" w:sz="4" w:space="0" w:color="auto"/>
              <w:right w:val="single" w:sz="4" w:space="0" w:color="auto"/>
            </w:tcBorders>
            <w:hideMark/>
          </w:tcPr>
          <w:p w14:paraId="49D04864" w14:textId="77777777" w:rsidR="00742F5F" w:rsidRPr="00953F7D" w:rsidRDefault="00742F5F" w:rsidP="00261295">
            <w:pPr>
              <w:ind w:left="-4" w:firstLine="4"/>
              <w:jc w:val="both"/>
              <w:rPr>
                <w:bCs/>
              </w:rPr>
            </w:pPr>
            <w:r w:rsidRPr="00953F7D">
              <w:rPr>
                <w:bCs/>
              </w:rPr>
              <w:t>Directly issued capital instruments subject to phase out from Additional Tier 1 in accordance with the requirements of paragraph 94(g) of Basel III.</w:t>
            </w:r>
          </w:p>
        </w:tc>
      </w:tr>
      <w:tr w:rsidR="00742F5F" w:rsidRPr="00953F7D" w14:paraId="49D04868"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66" w14:textId="77777777" w:rsidR="00742F5F" w:rsidRPr="00953F7D" w:rsidRDefault="00742F5F" w:rsidP="009164E6">
            <w:pPr>
              <w:jc w:val="both"/>
              <w:rPr>
                <w:bCs/>
              </w:rPr>
            </w:pPr>
            <w:r w:rsidRPr="00953F7D">
              <w:rPr>
                <w:bCs/>
              </w:rPr>
              <w:t>34</w:t>
            </w:r>
          </w:p>
        </w:tc>
        <w:tc>
          <w:tcPr>
            <w:tcW w:w="7088" w:type="dxa"/>
            <w:tcBorders>
              <w:top w:val="single" w:sz="4" w:space="0" w:color="auto"/>
              <w:left w:val="single" w:sz="4" w:space="0" w:color="auto"/>
              <w:bottom w:val="single" w:sz="4" w:space="0" w:color="auto"/>
              <w:right w:val="single" w:sz="4" w:space="0" w:color="auto"/>
            </w:tcBorders>
            <w:hideMark/>
          </w:tcPr>
          <w:p w14:paraId="49D04867" w14:textId="77777777" w:rsidR="00742F5F" w:rsidRPr="00953F7D" w:rsidRDefault="00742F5F" w:rsidP="00261295">
            <w:pPr>
              <w:ind w:left="-4" w:firstLine="4"/>
              <w:jc w:val="both"/>
              <w:rPr>
                <w:bCs/>
              </w:rPr>
            </w:pPr>
            <w:r w:rsidRPr="00953F7D">
              <w:rPr>
                <w:bCs/>
              </w:rPr>
              <w:t>Additional Tier 1 instruments (and CET1 instruments not included in row 5) issued by subsidiaries and held by third parties, the amount allowed in group AT1 in accordance with paragraph 63 of Basel III (see Annex 3 of Basel III for example calculation).</w:t>
            </w:r>
          </w:p>
        </w:tc>
      </w:tr>
      <w:tr w:rsidR="00742F5F" w:rsidRPr="00953F7D" w14:paraId="49D0486B"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69" w14:textId="77777777" w:rsidR="00742F5F" w:rsidRPr="00953F7D" w:rsidRDefault="00742F5F" w:rsidP="009164E6">
            <w:pPr>
              <w:jc w:val="both"/>
              <w:rPr>
                <w:bCs/>
              </w:rPr>
            </w:pPr>
            <w:r w:rsidRPr="00953F7D">
              <w:rPr>
                <w:bCs/>
              </w:rPr>
              <w:t>35</w:t>
            </w:r>
          </w:p>
        </w:tc>
        <w:tc>
          <w:tcPr>
            <w:tcW w:w="7088" w:type="dxa"/>
            <w:tcBorders>
              <w:top w:val="single" w:sz="4" w:space="0" w:color="auto"/>
              <w:left w:val="single" w:sz="4" w:space="0" w:color="auto"/>
              <w:bottom w:val="single" w:sz="4" w:space="0" w:color="auto"/>
              <w:right w:val="single" w:sz="4" w:space="0" w:color="auto"/>
            </w:tcBorders>
            <w:hideMark/>
          </w:tcPr>
          <w:p w14:paraId="49D0486A" w14:textId="77777777" w:rsidR="00742F5F" w:rsidRPr="00953F7D" w:rsidRDefault="00742F5F" w:rsidP="00261295">
            <w:pPr>
              <w:ind w:left="-4" w:firstLine="4"/>
              <w:jc w:val="both"/>
              <w:rPr>
                <w:bCs/>
              </w:rPr>
            </w:pPr>
            <w:r w:rsidRPr="00953F7D">
              <w:rPr>
                <w:bCs/>
              </w:rPr>
              <w:t>The amount reported in row 34 that relates to instruments issued by subsidiaries subject to phase out from AT1 in accordance with the requirements of paragraph 94(g) of Basel III.</w:t>
            </w:r>
          </w:p>
        </w:tc>
      </w:tr>
      <w:tr w:rsidR="00742F5F" w:rsidRPr="00953F7D" w14:paraId="49D0486E"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6C" w14:textId="77777777" w:rsidR="00742F5F" w:rsidRPr="00953F7D" w:rsidRDefault="00742F5F" w:rsidP="009164E6">
            <w:pPr>
              <w:jc w:val="both"/>
              <w:rPr>
                <w:bCs/>
              </w:rPr>
            </w:pPr>
            <w:r w:rsidRPr="00953F7D">
              <w:rPr>
                <w:bCs/>
              </w:rPr>
              <w:t>36</w:t>
            </w:r>
          </w:p>
        </w:tc>
        <w:tc>
          <w:tcPr>
            <w:tcW w:w="7088" w:type="dxa"/>
            <w:tcBorders>
              <w:top w:val="single" w:sz="4" w:space="0" w:color="auto"/>
              <w:left w:val="single" w:sz="4" w:space="0" w:color="auto"/>
              <w:bottom w:val="single" w:sz="4" w:space="0" w:color="auto"/>
              <w:right w:val="single" w:sz="4" w:space="0" w:color="auto"/>
            </w:tcBorders>
            <w:hideMark/>
          </w:tcPr>
          <w:p w14:paraId="49D0486D" w14:textId="77777777" w:rsidR="00742F5F" w:rsidRPr="00953F7D" w:rsidRDefault="00742F5F" w:rsidP="00261295">
            <w:pPr>
              <w:ind w:left="-4" w:firstLine="4"/>
              <w:jc w:val="both"/>
              <w:rPr>
                <w:bCs/>
              </w:rPr>
            </w:pPr>
            <w:r w:rsidRPr="00953F7D">
              <w:rPr>
                <w:bCs/>
              </w:rPr>
              <w:t>The sum of rows 30, 33 and 34.</w:t>
            </w:r>
          </w:p>
        </w:tc>
      </w:tr>
      <w:tr w:rsidR="00742F5F" w:rsidRPr="00953F7D" w14:paraId="49D04871"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6F" w14:textId="77777777" w:rsidR="00742F5F" w:rsidRPr="00953F7D" w:rsidRDefault="00742F5F" w:rsidP="009164E6">
            <w:pPr>
              <w:jc w:val="both"/>
              <w:rPr>
                <w:bCs/>
              </w:rPr>
            </w:pPr>
            <w:r w:rsidRPr="00953F7D">
              <w:rPr>
                <w:bCs/>
              </w:rPr>
              <w:t>37</w:t>
            </w:r>
          </w:p>
        </w:tc>
        <w:tc>
          <w:tcPr>
            <w:tcW w:w="7088" w:type="dxa"/>
            <w:tcBorders>
              <w:top w:val="single" w:sz="4" w:space="0" w:color="auto"/>
              <w:left w:val="single" w:sz="4" w:space="0" w:color="auto"/>
              <w:bottom w:val="single" w:sz="4" w:space="0" w:color="auto"/>
              <w:right w:val="single" w:sz="4" w:space="0" w:color="auto"/>
            </w:tcBorders>
            <w:hideMark/>
          </w:tcPr>
          <w:p w14:paraId="49D04870" w14:textId="77777777" w:rsidR="00742F5F" w:rsidRPr="00953F7D" w:rsidRDefault="00742F5F" w:rsidP="00261295">
            <w:pPr>
              <w:ind w:left="-4" w:firstLine="4"/>
              <w:jc w:val="both"/>
              <w:rPr>
                <w:bCs/>
              </w:rPr>
            </w:pPr>
            <w:r w:rsidRPr="00953F7D">
              <w:rPr>
                <w:bCs/>
              </w:rPr>
              <w:t>Investments on own Additional Tier 1 instruments, amount to be deducted from AT1 in accordance with paragraph 78 of Basel III.</w:t>
            </w:r>
          </w:p>
        </w:tc>
      </w:tr>
      <w:tr w:rsidR="00742F5F" w:rsidRPr="00953F7D" w14:paraId="49D04874"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72" w14:textId="77777777" w:rsidR="00742F5F" w:rsidRPr="00953F7D" w:rsidRDefault="00742F5F" w:rsidP="009164E6">
            <w:pPr>
              <w:jc w:val="both"/>
              <w:rPr>
                <w:bCs/>
              </w:rPr>
            </w:pPr>
            <w:r w:rsidRPr="00953F7D">
              <w:rPr>
                <w:bCs/>
              </w:rPr>
              <w:t>38</w:t>
            </w:r>
          </w:p>
        </w:tc>
        <w:tc>
          <w:tcPr>
            <w:tcW w:w="7088" w:type="dxa"/>
            <w:tcBorders>
              <w:top w:val="single" w:sz="4" w:space="0" w:color="auto"/>
              <w:left w:val="single" w:sz="4" w:space="0" w:color="auto"/>
              <w:bottom w:val="single" w:sz="4" w:space="0" w:color="auto"/>
              <w:right w:val="single" w:sz="4" w:space="0" w:color="auto"/>
            </w:tcBorders>
            <w:hideMark/>
          </w:tcPr>
          <w:p w14:paraId="49D04873" w14:textId="77777777" w:rsidR="00742F5F" w:rsidRPr="00953F7D" w:rsidRDefault="00742F5F" w:rsidP="00261295">
            <w:pPr>
              <w:ind w:left="-4" w:firstLine="4"/>
              <w:jc w:val="both"/>
              <w:rPr>
                <w:bCs/>
              </w:rPr>
            </w:pPr>
            <w:r w:rsidRPr="00953F7D">
              <w:rPr>
                <w:bCs/>
              </w:rPr>
              <w:t>Reciprocal cross-holdings in Additional Tier 1 instruments, amount to be deducted from AT1 in accordance with paragraph 79 of Basel III.</w:t>
            </w:r>
          </w:p>
        </w:tc>
      </w:tr>
      <w:tr w:rsidR="00742F5F" w:rsidRPr="00953F7D" w14:paraId="49D04877"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75" w14:textId="77777777" w:rsidR="00742F5F" w:rsidRPr="00953F7D" w:rsidRDefault="00742F5F" w:rsidP="009164E6">
            <w:pPr>
              <w:jc w:val="both"/>
              <w:rPr>
                <w:bCs/>
              </w:rPr>
            </w:pPr>
            <w:r w:rsidRPr="00953F7D">
              <w:rPr>
                <w:bCs/>
              </w:rPr>
              <w:t>39</w:t>
            </w:r>
          </w:p>
        </w:tc>
        <w:tc>
          <w:tcPr>
            <w:tcW w:w="7088" w:type="dxa"/>
            <w:tcBorders>
              <w:top w:val="single" w:sz="4" w:space="0" w:color="auto"/>
              <w:left w:val="single" w:sz="4" w:space="0" w:color="auto"/>
              <w:bottom w:val="single" w:sz="4" w:space="0" w:color="auto"/>
              <w:right w:val="single" w:sz="4" w:space="0" w:color="auto"/>
            </w:tcBorders>
            <w:hideMark/>
          </w:tcPr>
          <w:p w14:paraId="49D04876" w14:textId="77777777" w:rsidR="00742F5F" w:rsidRPr="00953F7D" w:rsidRDefault="00742F5F" w:rsidP="00261295">
            <w:pPr>
              <w:ind w:left="-4" w:firstLine="4"/>
              <w:jc w:val="both"/>
              <w:rPr>
                <w:bCs/>
              </w:rPr>
            </w:pPr>
            <w:r w:rsidRPr="00953F7D">
              <w:rPr>
                <w:bCs/>
              </w:rPr>
              <w:t>Investments in the capital of banking, financial and insurance entities that are outside the scope of regulatory consolidation where the ADI does not own more than 10% of the issued ordinary share capital of the entity (net of eligible short positions), amount to be deducted from AT1 in accordance with paragraphs 80 to 83 of Basel III.</w:t>
            </w:r>
          </w:p>
        </w:tc>
      </w:tr>
      <w:tr w:rsidR="00742F5F" w:rsidRPr="00953F7D" w14:paraId="49D0487A"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78" w14:textId="77777777" w:rsidR="00742F5F" w:rsidRPr="00953F7D" w:rsidRDefault="00742F5F" w:rsidP="009164E6">
            <w:pPr>
              <w:jc w:val="both"/>
              <w:rPr>
                <w:bCs/>
              </w:rPr>
            </w:pPr>
            <w:r w:rsidRPr="00953F7D">
              <w:rPr>
                <w:bCs/>
              </w:rPr>
              <w:t>40</w:t>
            </w:r>
          </w:p>
        </w:tc>
        <w:tc>
          <w:tcPr>
            <w:tcW w:w="7088" w:type="dxa"/>
            <w:tcBorders>
              <w:top w:val="single" w:sz="4" w:space="0" w:color="auto"/>
              <w:left w:val="single" w:sz="4" w:space="0" w:color="auto"/>
              <w:bottom w:val="single" w:sz="4" w:space="0" w:color="auto"/>
              <w:right w:val="single" w:sz="4" w:space="0" w:color="auto"/>
            </w:tcBorders>
            <w:hideMark/>
          </w:tcPr>
          <w:p w14:paraId="49D04879" w14:textId="77777777" w:rsidR="00742F5F" w:rsidRPr="00953F7D" w:rsidRDefault="00742F5F" w:rsidP="00261295">
            <w:pPr>
              <w:ind w:left="-4" w:firstLine="4"/>
              <w:jc w:val="both"/>
              <w:rPr>
                <w:bCs/>
              </w:rPr>
            </w:pPr>
            <w:r w:rsidRPr="00953F7D">
              <w:rPr>
                <w:bCs/>
              </w:rPr>
              <w:t>Significant investments in the capital of banking, financial and insurance entities that are outside the scope of regulatory consolidation, (net of eligible short positions), amount to be deducted from AT1 in accordance with paragraphs 84 and 85 of Basel III.</w:t>
            </w:r>
          </w:p>
        </w:tc>
      </w:tr>
      <w:tr w:rsidR="00742F5F" w:rsidRPr="00953F7D" w14:paraId="49D0487D"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7B" w14:textId="77777777" w:rsidR="00742F5F" w:rsidRPr="00953F7D" w:rsidRDefault="00742F5F" w:rsidP="009164E6">
            <w:pPr>
              <w:jc w:val="both"/>
              <w:rPr>
                <w:bCs/>
              </w:rPr>
            </w:pPr>
            <w:r w:rsidRPr="00953F7D">
              <w:rPr>
                <w:bCs/>
              </w:rPr>
              <w:t>41</w:t>
            </w:r>
          </w:p>
        </w:tc>
        <w:tc>
          <w:tcPr>
            <w:tcW w:w="7088" w:type="dxa"/>
            <w:tcBorders>
              <w:top w:val="single" w:sz="4" w:space="0" w:color="auto"/>
              <w:left w:val="single" w:sz="4" w:space="0" w:color="auto"/>
              <w:bottom w:val="single" w:sz="4" w:space="0" w:color="auto"/>
              <w:right w:val="single" w:sz="4" w:space="0" w:color="auto"/>
            </w:tcBorders>
            <w:hideMark/>
          </w:tcPr>
          <w:p w14:paraId="49D0487C" w14:textId="77777777" w:rsidR="00742F5F" w:rsidRPr="00953F7D" w:rsidRDefault="00742F5F" w:rsidP="00261295">
            <w:pPr>
              <w:ind w:left="-4" w:firstLine="4"/>
              <w:jc w:val="both"/>
              <w:rPr>
                <w:bCs/>
              </w:rPr>
            </w:pPr>
            <w:r w:rsidRPr="00953F7D">
              <w:rPr>
                <w:bCs/>
              </w:rPr>
              <w:t>National specific regulatory adjustments that national authorities require to be applied to T1 in addition to the Basel III minimum set of adjustments. (This will be the sum of rows 41a, 41b and 41c).</w:t>
            </w:r>
          </w:p>
        </w:tc>
      </w:tr>
      <w:tr w:rsidR="00742F5F" w:rsidRPr="00953F7D" w14:paraId="49D04880" w14:textId="77777777" w:rsidTr="009C3F64">
        <w:trPr>
          <w:trHeight w:val="513"/>
        </w:trPr>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87E" w14:textId="77777777" w:rsidR="00742F5F" w:rsidRPr="00953F7D" w:rsidRDefault="00742F5F" w:rsidP="009164E6">
            <w:pPr>
              <w:jc w:val="both"/>
              <w:rPr>
                <w:bCs/>
              </w:rPr>
            </w:pPr>
            <w:r w:rsidRPr="00953F7D">
              <w:rPr>
                <w:bCs/>
              </w:rPr>
              <w:t>41a</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7F" w14:textId="77777777" w:rsidR="00742F5F" w:rsidRPr="00953F7D" w:rsidRDefault="00742F5F" w:rsidP="00261295">
            <w:pPr>
              <w:ind w:left="-4" w:firstLine="4"/>
              <w:jc w:val="both"/>
              <w:rPr>
                <w:bCs/>
              </w:rPr>
            </w:pPr>
            <w:r w:rsidRPr="00953F7D">
              <w:rPr>
                <w:bCs/>
              </w:rPr>
              <w:t>Holdings of capital instruments in group members by other group members on behalf of third parties (APS 111, paragraphs 39 to 41).</w:t>
            </w:r>
          </w:p>
        </w:tc>
      </w:tr>
      <w:tr w:rsidR="00742F5F" w:rsidRPr="00953F7D" w14:paraId="49D04883" w14:textId="77777777" w:rsidTr="009C3F64">
        <w:trPr>
          <w:trHeight w:val="737"/>
        </w:trPr>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881" w14:textId="77777777" w:rsidR="00742F5F" w:rsidRPr="00953F7D" w:rsidRDefault="00742F5F" w:rsidP="009164E6">
            <w:pPr>
              <w:jc w:val="both"/>
              <w:rPr>
                <w:bCs/>
              </w:rPr>
            </w:pPr>
            <w:r w:rsidRPr="00953F7D">
              <w:rPr>
                <w:bCs/>
              </w:rPr>
              <w:t>41b</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82" w14:textId="77777777" w:rsidR="00742F5F" w:rsidRPr="00953F7D" w:rsidRDefault="00742F5F" w:rsidP="00261295">
            <w:pPr>
              <w:ind w:left="-4" w:firstLine="4"/>
              <w:jc w:val="both"/>
              <w:rPr>
                <w:bCs/>
              </w:rPr>
            </w:pPr>
            <w:r w:rsidRPr="00953F7D">
              <w:rPr>
                <w:bCs/>
              </w:rPr>
              <w:t>Investments in Additional Tier 1 instruments of financial institutions that are outside the scope of regulatory consolidation not reported in rows 39 and 40 (APS 111, Attachment D paragraphs 8 to 14).</w:t>
            </w:r>
          </w:p>
        </w:tc>
      </w:tr>
      <w:tr w:rsidR="00742F5F" w:rsidRPr="00953F7D" w14:paraId="49D04886" w14:textId="77777777" w:rsidTr="009C3F64">
        <w:trPr>
          <w:trHeight w:val="608"/>
        </w:trPr>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884" w14:textId="77777777" w:rsidR="00742F5F" w:rsidRPr="00953F7D" w:rsidRDefault="00742F5F" w:rsidP="009164E6">
            <w:pPr>
              <w:jc w:val="both"/>
              <w:rPr>
                <w:bCs/>
              </w:rPr>
            </w:pPr>
            <w:r w:rsidRPr="00953F7D">
              <w:rPr>
                <w:bCs/>
              </w:rPr>
              <w:t>41c</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85" w14:textId="77777777" w:rsidR="00742F5F" w:rsidRPr="00953F7D" w:rsidRDefault="00742F5F" w:rsidP="00261295">
            <w:pPr>
              <w:ind w:left="-4" w:firstLine="4"/>
              <w:jc w:val="both"/>
              <w:rPr>
                <w:bCs/>
              </w:rPr>
            </w:pPr>
            <w:r w:rsidRPr="00953F7D">
              <w:rPr>
                <w:bCs/>
              </w:rPr>
              <w:t>Any other national discretion items impacting on AT1 not reported in rows 41a or 41b.</w:t>
            </w:r>
          </w:p>
        </w:tc>
      </w:tr>
      <w:tr w:rsidR="00742F5F" w:rsidRPr="00953F7D" w14:paraId="49D04889" w14:textId="77777777" w:rsidTr="009C3F64">
        <w:trPr>
          <w:trHeight w:val="737"/>
        </w:trPr>
        <w:tc>
          <w:tcPr>
            <w:tcW w:w="1134" w:type="dxa"/>
            <w:tcBorders>
              <w:top w:val="single" w:sz="4" w:space="0" w:color="auto"/>
              <w:left w:val="single" w:sz="4" w:space="0" w:color="auto"/>
              <w:bottom w:val="single" w:sz="4" w:space="0" w:color="auto"/>
              <w:right w:val="single" w:sz="4" w:space="0" w:color="auto"/>
            </w:tcBorders>
            <w:hideMark/>
          </w:tcPr>
          <w:p w14:paraId="49D04887" w14:textId="77777777" w:rsidR="00742F5F" w:rsidRPr="00953F7D" w:rsidRDefault="00742F5F" w:rsidP="009164E6">
            <w:pPr>
              <w:jc w:val="both"/>
              <w:rPr>
                <w:bCs/>
              </w:rPr>
            </w:pPr>
            <w:r w:rsidRPr="00953F7D">
              <w:rPr>
                <w:bCs/>
              </w:rPr>
              <w:t>42</w:t>
            </w:r>
          </w:p>
        </w:tc>
        <w:tc>
          <w:tcPr>
            <w:tcW w:w="7088" w:type="dxa"/>
            <w:tcBorders>
              <w:top w:val="single" w:sz="4" w:space="0" w:color="auto"/>
              <w:left w:val="single" w:sz="4" w:space="0" w:color="auto"/>
              <w:bottom w:val="single" w:sz="4" w:space="0" w:color="auto"/>
              <w:right w:val="single" w:sz="4" w:space="0" w:color="auto"/>
            </w:tcBorders>
            <w:hideMark/>
          </w:tcPr>
          <w:p w14:paraId="49D04888" w14:textId="77777777" w:rsidR="00742F5F" w:rsidRPr="00953F7D" w:rsidRDefault="00742F5F" w:rsidP="00261295">
            <w:pPr>
              <w:ind w:left="-4" w:firstLine="4"/>
              <w:jc w:val="both"/>
              <w:rPr>
                <w:bCs/>
              </w:rPr>
            </w:pPr>
            <w:r w:rsidRPr="00953F7D">
              <w:rPr>
                <w:bCs/>
              </w:rPr>
              <w:t>Regulatory adjustments applied to Additional Tier 1 due to insufficient Tier 2 to cover deductions. If the amount reported in row 57 exceeds the amount reported in row 51 the excess is to be reported here.</w:t>
            </w:r>
          </w:p>
        </w:tc>
      </w:tr>
      <w:tr w:rsidR="00742F5F" w:rsidRPr="00953F7D" w14:paraId="49D0488C"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8A" w14:textId="77777777" w:rsidR="00742F5F" w:rsidRPr="00953F7D" w:rsidRDefault="00742F5F" w:rsidP="009164E6">
            <w:pPr>
              <w:jc w:val="both"/>
              <w:rPr>
                <w:bCs/>
              </w:rPr>
            </w:pPr>
            <w:r w:rsidRPr="00953F7D">
              <w:rPr>
                <w:bCs/>
              </w:rPr>
              <w:t>43</w:t>
            </w:r>
          </w:p>
        </w:tc>
        <w:tc>
          <w:tcPr>
            <w:tcW w:w="7088" w:type="dxa"/>
            <w:tcBorders>
              <w:top w:val="single" w:sz="4" w:space="0" w:color="auto"/>
              <w:left w:val="single" w:sz="4" w:space="0" w:color="auto"/>
              <w:bottom w:val="single" w:sz="4" w:space="0" w:color="auto"/>
              <w:right w:val="single" w:sz="4" w:space="0" w:color="auto"/>
            </w:tcBorders>
            <w:hideMark/>
          </w:tcPr>
          <w:p w14:paraId="49D0488B" w14:textId="77777777" w:rsidR="00742F5F" w:rsidRPr="00953F7D" w:rsidRDefault="00742F5F" w:rsidP="00261295">
            <w:pPr>
              <w:ind w:left="-4" w:firstLine="4"/>
              <w:jc w:val="both"/>
              <w:rPr>
                <w:bCs/>
              </w:rPr>
            </w:pPr>
            <w:r w:rsidRPr="00953F7D">
              <w:rPr>
                <w:bCs/>
              </w:rPr>
              <w:t>The sum of rows 37 to 42.</w:t>
            </w:r>
          </w:p>
        </w:tc>
      </w:tr>
      <w:tr w:rsidR="00742F5F" w:rsidRPr="00953F7D" w14:paraId="49D0488F"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8D" w14:textId="77777777" w:rsidR="00742F5F" w:rsidRPr="00953F7D" w:rsidRDefault="00742F5F" w:rsidP="009164E6">
            <w:pPr>
              <w:jc w:val="both"/>
              <w:rPr>
                <w:bCs/>
              </w:rPr>
            </w:pPr>
            <w:r w:rsidRPr="00953F7D">
              <w:rPr>
                <w:bCs/>
              </w:rPr>
              <w:t>44</w:t>
            </w:r>
          </w:p>
        </w:tc>
        <w:tc>
          <w:tcPr>
            <w:tcW w:w="7088" w:type="dxa"/>
            <w:tcBorders>
              <w:top w:val="single" w:sz="4" w:space="0" w:color="auto"/>
              <w:left w:val="single" w:sz="4" w:space="0" w:color="auto"/>
              <w:bottom w:val="single" w:sz="4" w:space="0" w:color="auto"/>
              <w:right w:val="single" w:sz="4" w:space="0" w:color="auto"/>
            </w:tcBorders>
            <w:hideMark/>
          </w:tcPr>
          <w:p w14:paraId="49D0488E" w14:textId="77777777" w:rsidR="00742F5F" w:rsidRPr="00953F7D" w:rsidRDefault="00742F5F" w:rsidP="00261295">
            <w:pPr>
              <w:ind w:left="-4" w:firstLine="4"/>
              <w:jc w:val="both"/>
              <w:rPr>
                <w:bCs/>
              </w:rPr>
            </w:pPr>
            <w:r w:rsidRPr="00953F7D">
              <w:rPr>
                <w:bCs/>
              </w:rPr>
              <w:t>Additional Tier 1 capital, to be calculated as row 36 minus row 43.</w:t>
            </w:r>
          </w:p>
        </w:tc>
      </w:tr>
      <w:tr w:rsidR="00742F5F" w:rsidRPr="00953F7D" w14:paraId="49D04892"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90" w14:textId="77777777" w:rsidR="00742F5F" w:rsidRPr="00953F7D" w:rsidRDefault="00742F5F" w:rsidP="009164E6">
            <w:pPr>
              <w:jc w:val="both"/>
              <w:rPr>
                <w:bCs/>
              </w:rPr>
            </w:pPr>
            <w:r w:rsidRPr="00953F7D">
              <w:rPr>
                <w:bCs/>
              </w:rPr>
              <w:t>45</w:t>
            </w:r>
          </w:p>
        </w:tc>
        <w:tc>
          <w:tcPr>
            <w:tcW w:w="7088" w:type="dxa"/>
            <w:tcBorders>
              <w:top w:val="single" w:sz="4" w:space="0" w:color="auto"/>
              <w:left w:val="single" w:sz="4" w:space="0" w:color="auto"/>
              <w:bottom w:val="single" w:sz="4" w:space="0" w:color="auto"/>
              <w:right w:val="single" w:sz="4" w:space="0" w:color="auto"/>
            </w:tcBorders>
            <w:hideMark/>
          </w:tcPr>
          <w:p w14:paraId="49D04891" w14:textId="77777777" w:rsidR="00742F5F" w:rsidRPr="00953F7D" w:rsidRDefault="00742F5F" w:rsidP="00261295">
            <w:pPr>
              <w:ind w:left="-4" w:firstLine="4"/>
              <w:jc w:val="both"/>
              <w:rPr>
                <w:bCs/>
              </w:rPr>
            </w:pPr>
            <w:r w:rsidRPr="00953F7D">
              <w:rPr>
                <w:bCs/>
              </w:rPr>
              <w:t>Tier 1 capital, to be calculated as row 29 plus row 44.</w:t>
            </w:r>
          </w:p>
        </w:tc>
      </w:tr>
      <w:tr w:rsidR="00742F5F" w:rsidRPr="00953F7D" w14:paraId="49D04895"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93" w14:textId="77777777" w:rsidR="00742F5F" w:rsidRPr="00953F7D" w:rsidRDefault="00742F5F" w:rsidP="009164E6">
            <w:pPr>
              <w:jc w:val="both"/>
              <w:rPr>
                <w:bCs/>
              </w:rPr>
            </w:pPr>
            <w:r w:rsidRPr="00953F7D">
              <w:rPr>
                <w:bCs/>
              </w:rPr>
              <w:t>46</w:t>
            </w:r>
          </w:p>
        </w:tc>
        <w:tc>
          <w:tcPr>
            <w:tcW w:w="7088" w:type="dxa"/>
            <w:tcBorders>
              <w:top w:val="single" w:sz="4" w:space="0" w:color="auto"/>
              <w:left w:val="single" w:sz="4" w:space="0" w:color="auto"/>
              <w:bottom w:val="single" w:sz="4" w:space="0" w:color="auto"/>
              <w:right w:val="single" w:sz="4" w:space="0" w:color="auto"/>
            </w:tcBorders>
            <w:hideMark/>
          </w:tcPr>
          <w:p w14:paraId="49D04894" w14:textId="77777777" w:rsidR="00742F5F" w:rsidRPr="00953F7D" w:rsidRDefault="00742F5F" w:rsidP="00261295">
            <w:pPr>
              <w:ind w:left="-4" w:firstLine="4"/>
              <w:jc w:val="both"/>
              <w:rPr>
                <w:bCs/>
              </w:rPr>
            </w:pPr>
            <w:r w:rsidRPr="00953F7D">
              <w:rPr>
                <w:bCs/>
              </w:rPr>
              <w:t>Instruments issued by the parent company of the reporting group that meet all of the Tier 2 entry criteria set out in paragraph 58 of Basel III and any related share surplus as set out in paragraph 59 of Basel III. All instruments issued by subsidiaries of the consolidated group must be excluded from this row. This row may include Tier 2 capital issued by an SPV of the parent company only if it meets the requirements set out in paragraph 65 of Basel III.</w:t>
            </w:r>
          </w:p>
        </w:tc>
      </w:tr>
      <w:tr w:rsidR="00742F5F" w:rsidRPr="00953F7D" w14:paraId="49D04898"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96" w14:textId="77777777" w:rsidR="00742F5F" w:rsidRPr="00953F7D" w:rsidRDefault="00742F5F" w:rsidP="009164E6">
            <w:pPr>
              <w:jc w:val="both"/>
              <w:rPr>
                <w:bCs/>
              </w:rPr>
            </w:pPr>
            <w:r w:rsidRPr="00953F7D">
              <w:rPr>
                <w:bCs/>
              </w:rPr>
              <w:t>47</w:t>
            </w:r>
          </w:p>
        </w:tc>
        <w:tc>
          <w:tcPr>
            <w:tcW w:w="7088" w:type="dxa"/>
            <w:tcBorders>
              <w:top w:val="single" w:sz="4" w:space="0" w:color="auto"/>
              <w:left w:val="single" w:sz="4" w:space="0" w:color="auto"/>
              <w:bottom w:val="single" w:sz="4" w:space="0" w:color="auto"/>
              <w:right w:val="single" w:sz="4" w:space="0" w:color="auto"/>
            </w:tcBorders>
            <w:hideMark/>
          </w:tcPr>
          <w:p w14:paraId="49D04897" w14:textId="77777777" w:rsidR="00742F5F" w:rsidRPr="00953F7D" w:rsidRDefault="00742F5F" w:rsidP="00261295">
            <w:pPr>
              <w:ind w:left="-4" w:firstLine="4"/>
              <w:jc w:val="both"/>
              <w:rPr>
                <w:bCs/>
              </w:rPr>
            </w:pPr>
            <w:r w:rsidRPr="00953F7D">
              <w:rPr>
                <w:bCs/>
              </w:rPr>
              <w:t>Directly issued capital instruments subject to phase out from Tier 2 in accordance with the requirements of paragraph 94(g) of Basel III.</w:t>
            </w:r>
          </w:p>
        </w:tc>
      </w:tr>
      <w:tr w:rsidR="00742F5F" w:rsidRPr="00953F7D" w14:paraId="49D0489B"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99" w14:textId="77777777" w:rsidR="00742F5F" w:rsidRPr="00953F7D" w:rsidRDefault="00742F5F" w:rsidP="009164E6">
            <w:pPr>
              <w:jc w:val="both"/>
              <w:rPr>
                <w:bCs/>
              </w:rPr>
            </w:pPr>
            <w:r w:rsidRPr="00953F7D">
              <w:rPr>
                <w:bCs/>
              </w:rPr>
              <w:t>48</w:t>
            </w:r>
          </w:p>
        </w:tc>
        <w:tc>
          <w:tcPr>
            <w:tcW w:w="7088" w:type="dxa"/>
            <w:tcBorders>
              <w:top w:val="single" w:sz="4" w:space="0" w:color="auto"/>
              <w:left w:val="single" w:sz="4" w:space="0" w:color="auto"/>
              <w:bottom w:val="single" w:sz="4" w:space="0" w:color="auto"/>
              <w:right w:val="single" w:sz="4" w:space="0" w:color="auto"/>
            </w:tcBorders>
            <w:hideMark/>
          </w:tcPr>
          <w:p w14:paraId="49D0489A" w14:textId="77777777" w:rsidR="00742F5F" w:rsidRPr="00953F7D" w:rsidRDefault="00742F5F" w:rsidP="00261295">
            <w:pPr>
              <w:ind w:left="-4" w:firstLine="4"/>
              <w:jc w:val="both"/>
              <w:rPr>
                <w:bCs/>
              </w:rPr>
            </w:pPr>
            <w:r w:rsidRPr="00953F7D">
              <w:rPr>
                <w:bCs/>
              </w:rPr>
              <w:t>Tier 2 instruments (and CET1 and AT1 instruments not included in rows 5 or 32) issued by subsidiaries and held by third parties (amount allowed in group Tier 2), in accordance with paragraph 64 of Basel III.</w:t>
            </w:r>
          </w:p>
        </w:tc>
      </w:tr>
      <w:tr w:rsidR="00742F5F" w:rsidRPr="00953F7D" w14:paraId="49D0489E"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9C" w14:textId="77777777" w:rsidR="00742F5F" w:rsidRPr="00953F7D" w:rsidRDefault="00742F5F" w:rsidP="009164E6">
            <w:pPr>
              <w:jc w:val="both"/>
              <w:rPr>
                <w:bCs/>
              </w:rPr>
            </w:pPr>
            <w:r w:rsidRPr="00953F7D">
              <w:rPr>
                <w:bCs/>
              </w:rPr>
              <w:t>49</w:t>
            </w:r>
          </w:p>
        </w:tc>
        <w:tc>
          <w:tcPr>
            <w:tcW w:w="7088" w:type="dxa"/>
            <w:tcBorders>
              <w:top w:val="single" w:sz="4" w:space="0" w:color="auto"/>
              <w:left w:val="single" w:sz="4" w:space="0" w:color="auto"/>
              <w:bottom w:val="single" w:sz="4" w:space="0" w:color="auto"/>
              <w:right w:val="single" w:sz="4" w:space="0" w:color="auto"/>
            </w:tcBorders>
            <w:hideMark/>
          </w:tcPr>
          <w:p w14:paraId="49D0489D" w14:textId="77777777" w:rsidR="00742F5F" w:rsidRPr="00953F7D" w:rsidRDefault="00742F5F" w:rsidP="00261295">
            <w:pPr>
              <w:ind w:left="-4" w:firstLine="4"/>
              <w:jc w:val="both"/>
              <w:rPr>
                <w:bCs/>
              </w:rPr>
            </w:pPr>
            <w:r w:rsidRPr="00953F7D">
              <w:rPr>
                <w:bCs/>
              </w:rPr>
              <w:t>The amount reported in row 48 that relates to instruments subject to phase out from Tier 2 in accordance with the requirements of paragraph 94(g) of Basel III.</w:t>
            </w:r>
          </w:p>
        </w:tc>
      </w:tr>
      <w:tr w:rsidR="00742F5F" w:rsidRPr="00953F7D" w14:paraId="49D048A1"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9F" w14:textId="77777777" w:rsidR="00742F5F" w:rsidRPr="00953F7D" w:rsidRDefault="00742F5F" w:rsidP="009164E6">
            <w:pPr>
              <w:jc w:val="both"/>
              <w:rPr>
                <w:bCs/>
              </w:rPr>
            </w:pPr>
            <w:r w:rsidRPr="00953F7D">
              <w:rPr>
                <w:bCs/>
              </w:rPr>
              <w:t>50</w:t>
            </w:r>
          </w:p>
        </w:tc>
        <w:tc>
          <w:tcPr>
            <w:tcW w:w="7088" w:type="dxa"/>
            <w:tcBorders>
              <w:top w:val="single" w:sz="4" w:space="0" w:color="auto"/>
              <w:left w:val="single" w:sz="4" w:space="0" w:color="auto"/>
              <w:bottom w:val="single" w:sz="4" w:space="0" w:color="auto"/>
              <w:right w:val="single" w:sz="4" w:space="0" w:color="auto"/>
            </w:tcBorders>
            <w:hideMark/>
          </w:tcPr>
          <w:p w14:paraId="49D048A0" w14:textId="77777777" w:rsidR="00742F5F" w:rsidRPr="00953F7D" w:rsidRDefault="00742F5F" w:rsidP="00261295">
            <w:pPr>
              <w:ind w:left="-4" w:firstLine="4"/>
              <w:jc w:val="both"/>
              <w:rPr>
                <w:bCs/>
              </w:rPr>
            </w:pPr>
            <w:r w:rsidRPr="00953F7D">
              <w:rPr>
                <w:bCs/>
              </w:rPr>
              <w:t>Provisions included in Tier 2 instruments, calculated in accordance with paragraphs 60 and 61 of Basel III.</w:t>
            </w:r>
          </w:p>
        </w:tc>
      </w:tr>
      <w:tr w:rsidR="00742F5F" w:rsidRPr="00953F7D" w14:paraId="49D048A4"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A2" w14:textId="77777777" w:rsidR="00742F5F" w:rsidRPr="00953F7D" w:rsidRDefault="00742F5F" w:rsidP="009164E6">
            <w:pPr>
              <w:jc w:val="both"/>
              <w:rPr>
                <w:bCs/>
              </w:rPr>
            </w:pPr>
            <w:r w:rsidRPr="00953F7D">
              <w:rPr>
                <w:bCs/>
              </w:rPr>
              <w:t>51</w:t>
            </w:r>
          </w:p>
        </w:tc>
        <w:tc>
          <w:tcPr>
            <w:tcW w:w="7088" w:type="dxa"/>
            <w:tcBorders>
              <w:top w:val="single" w:sz="4" w:space="0" w:color="auto"/>
              <w:left w:val="single" w:sz="4" w:space="0" w:color="auto"/>
              <w:bottom w:val="single" w:sz="4" w:space="0" w:color="auto"/>
              <w:right w:val="single" w:sz="4" w:space="0" w:color="auto"/>
            </w:tcBorders>
            <w:hideMark/>
          </w:tcPr>
          <w:p w14:paraId="49D048A3" w14:textId="77777777" w:rsidR="00742F5F" w:rsidRPr="00953F7D" w:rsidRDefault="00742F5F" w:rsidP="00261295">
            <w:pPr>
              <w:ind w:left="-4" w:firstLine="4"/>
              <w:jc w:val="both"/>
              <w:rPr>
                <w:bCs/>
              </w:rPr>
            </w:pPr>
            <w:r w:rsidRPr="00953F7D">
              <w:rPr>
                <w:bCs/>
              </w:rPr>
              <w:t>The sum of rows 46 to 48 and row 50.</w:t>
            </w:r>
          </w:p>
        </w:tc>
      </w:tr>
      <w:tr w:rsidR="00742F5F" w:rsidRPr="00953F7D" w14:paraId="49D048A7"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A5" w14:textId="77777777" w:rsidR="00742F5F" w:rsidRPr="00953F7D" w:rsidRDefault="00742F5F" w:rsidP="009164E6">
            <w:pPr>
              <w:jc w:val="both"/>
              <w:rPr>
                <w:bCs/>
              </w:rPr>
            </w:pPr>
            <w:r w:rsidRPr="00953F7D">
              <w:rPr>
                <w:bCs/>
              </w:rPr>
              <w:t>52</w:t>
            </w:r>
          </w:p>
        </w:tc>
        <w:tc>
          <w:tcPr>
            <w:tcW w:w="7088" w:type="dxa"/>
            <w:tcBorders>
              <w:top w:val="single" w:sz="4" w:space="0" w:color="auto"/>
              <w:left w:val="single" w:sz="4" w:space="0" w:color="auto"/>
              <w:bottom w:val="single" w:sz="4" w:space="0" w:color="auto"/>
              <w:right w:val="single" w:sz="4" w:space="0" w:color="auto"/>
            </w:tcBorders>
            <w:hideMark/>
          </w:tcPr>
          <w:p w14:paraId="49D048A6" w14:textId="77777777" w:rsidR="00742F5F" w:rsidRPr="00953F7D" w:rsidRDefault="00742F5F" w:rsidP="00261295">
            <w:pPr>
              <w:ind w:left="-4" w:firstLine="4"/>
              <w:jc w:val="both"/>
              <w:rPr>
                <w:bCs/>
              </w:rPr>
            </w:pPr>
            <w:r w:rsidRPr="00953F7D">
              <w:rPr>
                <w:bCs/>
              </w:rPr>
              <w:t>Investments in own Tier 2 instruments, amount to be deducted from Tier 2 in accordance with paragraph 78 of Basel III.</w:t>
            </w:r>
          </w:p>
        </w:tc>
      </w:tr>
      <w:tr w:rsidR="00742F5F" w:rsidRPr="00953F7D" w14:paraId="49D048AA"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A8" w14:textId="77777777" w:rsidR="00742F5F" w:rsidRPr="00953F7D" w:rsidRDefault="00742F5F" w:rsidP="009164E6">
            <w:pPr>
              <w:jc w:val="both"/>
              <w:rPr>
                <w:bCs/>
              </w:rPr>
            </w:pPr>
            <w:r w:rsidRPr="00953F7D">
              <w:rPr>
                <w:bCs/>
              </w:rPr>
              <w:t>53</w:t>
            </w:r>
          </w:p>
        </w:tc>
        <w:tc>
          <w:tcPr>
            <w:tcW w:w="7088" w:type="dxa"/>
            <w:tcBorders>
              <w:top w:val="single" w:sz="4" w:space="0" w:color="auto"/>
              <w:left w:val="single" w:sz="4" w:space="0" w:color="auto"/>
              <w:bottom w:val="single" w:sz="4" w:space="0" w:color="auto"/>
              <w:right w:val="single" w:sz="4" w:space="0" w:color="auto"/>
            </w:tcBorders>
            <w:hideMark/>
          </w:tcPr>
          <w:p w14:paraId="49D048A9" w14:textId="77777777" w:rsidR="00742F5F" w:rsidRPr="00953F7D" w:rsidRDefault="00742F5F" w:rsidP="00261295">
            <w:pPr>
              <w:ind w:left="-4" w:firstLine="4"/>
              <w:jc w:val="both"/>
              <w:rPr>
                <w:bCs/>
              </w:rPr>
            </w:pPr>
            <w:r w:rsidRPr="00953F7D">
              <w:rPr>
                <w:bCs/>
              </w:rPr>
              <w:t>Reciprocal cross-holdings in Tier 2 instruments, amount to be deducted from Tier 2 in accordance with paragraph 79 of Basel III.</w:t>
            </w:r>
          </w:p>
        </w:tc>
      </w:tr>
      <w:tr w:rsidR="00742F5F" w:rsidRPr="00953F7D" w14:paraId="49D048AD"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AB" w14:textId="77777777" w:rsidR="00742F5F" w:rsidRPr="00953F7D" w:rsidRDefault="00742F5F" w:rsidP="009164E6">
            <w:pPr>
              <w:jc w:val="both"/>
              <w:rPr>
                <w:bCs/>
              </w:rPr>
            </w:pPr>
            <w:r w:rsidRPr="00953F7D">
              <w:rPr>
                <w:bCs/>
              </w:rPr>
              <w:t>54</w:t>
            </w:r>
          </w:p>
        </w:tc>
        <w:tc>
          <w:tcPr>
            <w:tcW w:w="7088" w:type="dxa"/>
            <w:tcBorders>
              <w:top w:val="single" w:sz="4" w:space="0" w:color="auto"/>
              <w:left w:val="single" w:sz="4" w:space="0" w:color="auto"/>
              <w:bottom w:val="single" w:sz="4" w:space="0" w:color="auto"/>
              <w:right w:val="single" w:sz="4" w:space="0" w:color="auto"/>
            </w:tcBorders>
            <w:hideMark/>
          </w:tcPr>
          <w:p w14:paraId="49D048AC" w14:textId="77777777" w:rsidR="00742F5F" w:rsidRPr="00953F7D" w:rsidRDefault="00742F5F" w:rsidP="00261295">
            <w:pPr>
              <w:ind w:left="-4" w:firstLine="4"/>
              <w:jc w:val="both"/>
              <w:rPr>
                <w:bCs/>
              </w:rPr>
            </w:pPr>
            <w:r w:rsidRPr="00953F7D">
              <w:rPr>
                <w:bCs/>
              </w:rPr>
              <w:t>Investments in the capital of banking, financial and insurance entities that are outside the scope of regulatory consolidation where the ADI does not own more than 10% of the issued ordinary share capital of the entity (net of eligible short positions), amount to be deducted from Tier 2 in accordance with paragraphs 80 to 83 of Basel III.</w:t>
            </w:r>
          </w:p>
        </w:tc>
      </w:tr>
      <w:tr w:rsidR="00742F5F" w:rsidRPr="00953F7D" w14:paraId="49D048B0"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AE" w14:textId="77777777" w:rsidR="00742F5F" w:rsidRPr="00953F7D" w:rsidRDefault="00742F5F" w:rsidP="009164E6">
            <w:pPr>
              <w:jc w:val="both"/>
              <w:rPr>
                <w:bCs/>
              </w:rPr>
            </w:pPr>
            <w:r w:rsidRPr="00953F7D">
              <w:rPr>
                <w:bCs/>
              </w:rPr>
              <w:t>55</w:t>
            </w:r>
          </w:p>
        </w:tc>
        <w:tc>
          <w:tcPr>
            <w:tcW w:w="7088" w:type="dxa"/>
            <w:tcBorders>
              <w:top w:val="single" w:sz="4" w:space="0" w:color="auto"/>
              <w:left w:val="single" w:sz="4" w:space="0" w:color="auto"/>
              <w:bottom w:val="single" w:sz="4" w:space="0" w:color="auto"/>
              <w:right w:val="single" w:sz="4" w:space="0" w:color="auto"/>
            </w:tcBorders>
            <w:hideMark/>
          </w:tcPr>
          <w:p w14:paraId="49D048AF" w14:textId="77777777" w:rsidR="00742F5F" w:rsidRPr="00953F7D" w:rsidRDefault="00742F5F" w:rsidP="00261295">
            <w:pPr>
              <w:ind w:left="-4" w:firstLine="4"/>
              <w:jc w:val="both"/>
              <w:rPr>
                <w:bCs/>
              </w:rPr>
            </w:pPr>
            <w:r w:rsidRPr="00953F7D">
              <w:rPr>
                <w:bCs/>
              </w:rPr>
              <w:t>Significant investments in the capital of banking, financial and insurance entities that are outside the scope of regulatory consolidation (net of eligible short positions), amount to be deducted from Tier 2 in accordance with paragraphs 84 and 85 of Basel III.</w:t>
            </w:r>
          </w:p>
        </w:tc>
      </w:tr>
      <w:tr w:rsidR="00742F5F" w:rsidRPr="00953F7D" w14:paraId="49D048B3" w14:textId="77777777" w:rsidTr="009C3F64">
        <w:tc>
          <w:tcPr>
            <w:tcW w:w="1134" w:type="dxa"/>
            <w:tcBorders>
              <w:top w:val="single" w:sz="4" w:space="0" w:color="auto"/>
              <w:left w:val="single" w:sz="4" w:space="0" w:color="auto"/>
              <w:bottom w:val="single" w:sz="4" w:space="0" w:color="auto"/>
              <w:right w:val="single" w:sz="4" w:space="0" w:color="auto"/>
            </w:tcBorders>
            <w:shd w:val="clear" w:color="auto" w:fill="FFFFFF"/>
            <w:hideMark/>
          </w:tcPr>
          <w:p w14:paraId="49D048B1" w14:textId="77777777" w:rsidR="00742F5F" w:rsidRPr="00953F7D" w:rsidRDefault="00742F5F" w:rsidP="009164E6">
            <w:pPr>
              <w:jc w:val="both"/>
              <w:rPr>
                <w:bCs/>
              </w:rPr>
            </w:pPr>
            <w:r w:rsidRPr="00953F7D">
              <w:rPr>
                <w:bCs/>
              </w:rPr>
              <w:t>56</w:t>
            </w:r>
          </w:p>
        </w:tc>
        <w:tc>
          <w:tcPr>
            <w:tcW w:w="7088" w:type="dxa"/>
            <w:tcBorders>
              <w:top w:val="single" w:sz="4" w:space="0" w:color="auto"/>
              <w:left w:val="single" w:sz="4" w:space="0" w:color="auto"/>
              <w:bottom w:val="single" w:sz="4" w:space="0" w:color="auto"/>
              <w:right w:val="single" w:sz="4" w:space="0" w:color="auto"/>
            </w:tcBorders>
            <w:shd w:val="clear" w:color="auto" w:fill="FFFFFF"/>
            <w:hideMark/>
          </w:tcPr>
          <w:p w14:paraId="49D048B2" w14:textId="77777777" w:rsidR="00742F5F" w:rsidRPr="00953F7D" w:rsidRDefault="00742F5F" w:rsidP="00261295">
            <w:pPr>
              <w:ind w:left="-4" w:firstLine="4"/>
              <w:jc w:val="both"/>
              <w:rPr>
                <w:bCs/>
              </w:rPr>
            </w:pPr>
            <w:r w:rsidRPr="00953F7D">
              <w:rPr>
                <w:bCs/>
              </w:rPr>
              <w:t>Any national specific regulatory adjustments that national authorities require to be applied to Tier 2 in addition to the Basel III minimum set of adjustments. (This will be the sum of rows 56a, 56b and 56c).</w:t>
            </w:r>
          </w:p>
        </w:tc>
      </w:tr>
      <w:tr w:rsidR="00742F5F" w:rsidRPr="00953F7D" w14:paraId="49D048B6" w14:textId="77777777" w:rsidTr="009C3F64">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8B4" w14:textId="77777777" w:rsidR="00742F5F" w:rsidRPr="00953F7D" w:rsidRDefault="00742F5F" w:rsidP="009164E6">
            <w:pPr>
              <w:jc w:val="both"/>
              <w:rPr>
                <w:bCs/>
              </w:rPr>
            </w:pPr>
            <w:r w:rsidRPr="00953F7D">
              <w:rPr>
                <w:bCs/>
              </w:rPr>
              <w:t>56a</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B5" w14:textId="77777777" w:rsidR="00742F5F" w:rsidRPr="00953F7D" w:rsidRDefault="00742F5F" w:rsidP="00261295">
            <w:pPr>
              <w:ind w:left="-4" w:firstLine="4"/>
              <w:jc w:val="both"/>
              <w:rPr>
                <w:bCs/>
              </w:rPr>
            </w:pPr>
            <w:r w:rsidRPr="00953F7D">
              <w:rPr>
                <w:bCs/>
              </w:rPr>
              <w:t>Holdings of capital instruments in group members by other group members on behalf of third parties (APS 111, paragraphs 39 to 41).</w:t>
            </w:r>
          </w:p>
        </w:tc>
      </w:tr>
      <w:tr w:rsidR="00742F5F" w:rsidRPr="00953F7D" w14:paraId="49D048B9" w14:textId="77777777" w:rsidTr="009C3F64">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8B7" w14:textId="77777777" w:rsidR="00742F5F" w:rsidRPr="00953F7D" w:rsidRDefault="00742F5F" w:rsidP="009164E6">
            <w:pPr>
              <w:jc w:val="both"/>
              <w:rPr>
                <w:bCs/>
              </w:rPr>
            </w:pPr>
            <w:r w:rsidRPr="00953F7D">
              <w:rPr>
                <w:bCs/>
              </w:rPr>
              <w:t>56b</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B8" w14:textId="77777777" w:rsidR="00742F5F" w:rsidRPr="00953F7D" w:rsidRDefault="00742F5F" w:rsidP="00261295">
            <w:pPr>
              <w:ind w:left="-4" w:firstLine="4"/>
              <w:jc w:val="both"/>
              <w:rPr>
                <w:bCs/>
              </w:rPr>
            </w:pPr>
            <w:r w:rsidRPr="00953F7D">
              <w:rPr>
                <w:bCs/>
              </w:rPr>
              <w:t>Investments in Tier 2 instruments of financial institutions that are outside the scope of regulatory consolidation not reported in rows 54 and 55 (APS 111, Attachment D paragraphs 8 to 14).</w:t>
            </w:r>
          </w:p>
        </w:tc>
      </w:tr>
      <w:tr w:rsidR="00742F5F" w:rsidRPr="00953F7D" w14:paraId="49D048BC" w14:textId="77777777" w:rsidTr="009C3F64">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9D048BA" w14:textId="77777777" w:rsidR="00742F5F" w:rsidRPr="00953F7D" w:rsidRDefault="00742F5F" w:rsidP="009164E6">
            <w:pPr>
              <w:jc w:val="both"/>
              <w:rPr>
                <w:bCs/>
              </w:rPr>
            </w:pPr>
            <w:r w:rsidRPr="00953F7D">
              <w:rPr>
                <w:bCs/>
              </w:rPr>
              <w:t>56c</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BB" w14:textId="77777777" w:rsidR="00742F5F" w:rsidRPr="00953F7D" w:rsidRDefault="00742F5F" w:rsidP="00261295">
            <w:pPr>
              <w:ind w:left="-4" w:firstLine="4"/>
              <w:jc w:val="both"/>
              <w:rPr>
                <w:bCs/>
              </w:rPr>
            </w:pPr>
            <w:r w:rsidRPr="00953F7D">
              <w:rPr>
                <w:bCs/>
              </w:rPr>
              <w:t>Any other national discretion items impacting on T2, not reported in row 56a or 56b.</w:t>
            </w:r>
          </w:p>
        </w:tc>
      </w:tr>
      <w:tr w:rsidR="00742F5F" w:rsidRPr="00953F7D" w14:paraId="49D048BF"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BD" w14:textId="77777777" w:rsidR="00742F5F" w:rsidRPr="00953F7D" w:rsidRDefault="00742F5F" w:rsidP="009164E6">
            <w:pPr>
              <w:jc w:val="both"/>
              <w:rPr>
                <w:bCs/>
              </w:rPr>
            </w:pPr>
            <w:r w:rsidRPr="00953F7D">
              <w:rPr>
                <w:bCs/>
              </w:rPr>
              <w:t>57</w:t>
            </w:r>
          </w:p>
        </w:tc>
        <w:tc>
          <w:tcPr>
            <w:tcW w:w="7088" w:type="dxa"/>
            <w:tcBorders>
              <w:top w:val="single" w:sz="4" w:space="0" w:color="auto"/>
              <w:left w:val="single" w:sz="4" w:space="0" w:color="auto"/>
              <w:bottom w:val="single" w:sz="4" w:space="0" w:color="auto"/>
              <w:right w:val="single" w:sz="4" w:space="0" w:color="auto"/>
            </w:tcBorders>
            <w:hideMark/>
          </w:tcPr>
          <w:p w14:paraId="49D048BE" w14:textId="77777777" w:rsidR="00742F5F" w:rsidRPr="00953F7D" w:rsidRDefault="00742F5F" w:rsidP="00261295">
            <w:pPr>
              <w:ind w:left="-4" w:firstLine="4"/>
              <w:jc w:val="both"/>
              <w:rPr>
                <w:bCs/>
              </w:rPr>
            </w:pPr>
            <w:r w:rsidRPr="00953F7D">
              <w:rPr>
                <w:bCs/>
              </w:rPr>
              <w:t>The sum of rows 52 to 56.</w:t>
            </w:r>
          </w:p>
        </w:tc>
      </w:tr>
      <w:tr w:rsidR="00742F5F" w:rsidRPr="00953F7D" w14:paraId="49D048C2"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C0" w14:textId="77777777" w:rsidR="00742F5F" w:rsidRPr="00953F7D" w:rsidRDefault="00742F5F" w:rsidP="009164E6">
            <w:pPr>
              <w:jc w:val="both"/>
              <w:rPr>
                <w:bCs/>
              </w:rPr>
            </w:pPr>
            <w:r w:rsidRPr="00953F7D">
              <w:rPr>
                <w:bCs/>
              </w:rPr>
              <w:t>58</w:t>
            </w:r>
          </w:p>
        </w:tc>
        <w:tc>
          <w:tcPr>
            <w:tcW w:w="7088" w:type="dxa"/>
            <w:tcBorders>
              <w:top w:val="single" w:sz="4" w:space="0" w:color="auto"/>
              <w:left w:val="single" w:sz="4" w:space="0" w:color="auto"/>
              <w:bottom w:val="single" w:sz="4" w:space="0" w:color="auto"/>
              <w:right w:val="single" w:sz="4" w:space="0" w:color="auto"/>
            </w:tcBorders>
            <w:hideMark/>
          </w:tcPr>
          <w:p w14:paraId="49D048C1" w14:textId="77777777" w:rsidR="00742F5F" w:rsidRPr="00953F7D" w:rsidRDefault="00742F5F" w:rsidP="00261295">
            <w:pPr>
              <w:ind w:left="-4" w:firstLine="4"/>
              <w:jc w:val="both"/>
              <w:rPr>
                <w:bCs/>
              </w:rPr>
            </w:pPr>
            <w:r w:rsidRPr="00953F7D">
              <w:rPr>
                <w:bCs/>
              </w:rPr>
              <w:t>Tier 2 capital, to be calculated as row 51 minus row 57.</w:t>
            </w:r>
          </w:p>
        </w:tc>
      </w:tr>
      <w:tr w:rsidR="00742F5F" w:rsidRPr="00953F7D" w14:paraId="49D048C5"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C3" w14:textId="77777777" w:rsidR="00742F5F" w:rsidRPr="00953F7D" w:rsidRDefault="00742F5F" w:rsidP="009164E6">
            <w:pPr>
              <w:jc w:val="both"/>
              <w:rPr>
                <w:bCs/>
              </w:rPr>
            </w:pPr>
            <w:r w:rsidRPr="00953F7D">
              <w:rPr>
                <w:bCs/>
              </w:rPr>
              <w:t>59</w:t>
            </w:r>
          </w:p>
        </w:tc>
        <w:tc>
          <w:tcPr>
            <w:tcW w:w="7088" w:type="dxa"/>
            <w:tcBorders>
              <w:top w:val="single" w:sz="4" w:space="0" w:color="auto"/>
              <w:left w:val="single" w:sz="4" w:space="0" w:color="auto"/>
              <w:bottom w:val="single" w:sz="4" w:space="0" w:color="auto"/>
              <w:right w:val="single" w:sz="4" w:space="0" w:color="auto"/>
            </w:tcBorders>
            <w:hideMark/>
          </w:tcPr>
          <w:p w14:paraId="49D048C4" w14:textId="77777777" w:rsidR="00742F5F" w:rsidRPr="00953F7D" w:rsidRDefault="00742F5F" w:rsidP="00261295">
            <w:pPr>
              <w:ind w:left="-4" w:firstLine="4"/>
              <w:jc w:val="both"/>
              <w:rPr>
                <w:bCs/>
              </w:rPr>
            </w:pPr>
            <w:r w:rsidRPr="00953F7D">
              <w:rPr>
                <w:bCs/>
              </w:rPr>
              <w:t>Total capital, to be calculated as row 45 plus row 58.</w:t>
            </w:r>
          </w:p>
        </w:tc>
      </w:tr>
      <w:tr w:rsidR="00742F5F" w:rsidRPr="00953F7D" w14:paraId="49D048C8"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C6" w14:textId="77777777" w:rsidR="00742F5F" w:rsidRPr="00953F7D" w:rsidRDefault="00742F5F" w:rsidP="009164E6">
            <w:pPr>
              <w:jc w:val="both"/>
              <w:rPr>
                <w:bCs/>
              </w:rPr>
            </w:pPr>
            <w:r w:rsidRPr="00953F7D">
              <w:rPr>
                <w:bCs/>
              </w:rPr>
              <w:t>60</w:t>
            </w:r>
          </w:p>
        </w:tc>
        <w:tc>
          <w:tcPr>
            <w:tcW w:w="7088" w:type="dxa"/>
            <w:tcBorders>
              <w:top w:val="single" w:sz="4" w:space="0" w:color="auto"/>
              <w:left w:val="single" w:sz="4" w:space="0" w:color="auto"/>
              <w:bottom w:val="single" w:sz="4" w:space="0" w:color="auto"/>
              <w:right w:val="single" w:sz="4" w:space="0" w:color="auto"/>
            </w:tcBorders>
            <w:hideMark/>
          </w:tcPr>
          <w:p w14:paraId="49D048C7" w14:textId="77777777" w:rsidR="00742F5F" w:rsidRPr="00953F7D" w:rsidRDefault="00742F5F" w:rsidP="005A01BA">
            <w:pPr>
              <w:ind w:left="-6" w:firstLine="6"/>
              <w:jc w:val="both"/>
              <w:rPr>
                <w:bCs/>
              </w:rPr>
            </w:pPr>
            <w:r w:rsidRPr="00953F7D">
              <w:rPr>
                <w:bCs/>
              </w:rPr>
              <w:t>Total risk-weighted assets of the reporting group based on APRA’s prudential standards.</w:t>
            </w:r>
          </w:p>
        </w:tc>
      </w:tr>
      <w:tr w:rsidR="00742F5F" w:rsidRPr="00953F7D" w14:paraId="49D048CB"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C9" w14:textId="77777777" w:rsidR="00742F5F" w:rsidRPr="00953F7D" w:rsidRDefault="00742F5F" w:rsidP="009164E6">
            <w:pPr>
              <w:jc w:val="both"/>
              <w:rPr>
                <w:bCs/>
              </w:rPr>
            </w:pPr>
            <w:r w:rsidRPr="00953F7D">
              <w:rPr>
                <w:bCs/>
              </w:rPr>
              <w:t>61</w:t>
            </w:r>
          </w:p>
        </w:tc>
        <w:tc>
          <w:tcPr>
            <w:tcW w:w="7088" w:type="dxa"/>
            <w:tcBorders>
              <w:top w:val="single" w:sz="4" w:space="0" w:color="auto"/>
              <w:left w:val="single" w:sz="4" w:space="0" w:color="auto"/>
              <w:bottom w:val="single" w:sz="4" w:space="0" w:color="auto"/>
              <w:right w:val="single" w:sz="4" w:space="0" w:color="auto"/>
            </w:tcBorders>
            <w:shd w:val="clear" w:color="auto" w:fill="auto"/>
            <w:hideMark/>
          </w:tcPr>
          <w:p w14:paraId="49D048CA" w14:textId="77777777" w:rsidR="00742F5F" w:rsidRPr="00953F7D" w:rsidRDefault="00742F5F" w:rsidP="00261295">
            <w:pPr>
              <w:ind w:left="-4" w:firstLine="4"/>
              <w:jc w:val="both"/>
              <w:rPr>
                <w:bCs/>
              </w:rPr>
            </w:pPr>
            <w:r w:rsidRPr="00953F7D">
              <w:rPr>
                <w:bCs/>
              </w:rPr>
              <w:t>Common Equity Tier 1 ratio (as a percentage of risk-weighted assets), to be calculated as row 29 divided by row 60 (expressed as a percentage). This must be the same as reported to APRA in accordance with Reporting Standard ARS 110.0 Capital Adequacy (ARS 110.0).</w:t>
            </w:r>
          </w:p>
        </w:tc>
      </w:tr>
      <w:tr w:rsidR="00742F5F" w:rsidRPr="00953F7D" w14:paraId="49D048CE"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CC" w14:textId="77777777" w:rsidR="00742F5F" w:rsidRPr="00953F7D" w:rsidRDefault="00742F5F" w:rsidP="009164E6">
            <w:pPr>
              <w:jc w:val="both"/>
              <w:rPr>
                <w:bCs/>
              </w:rPr>
            </w:pPr>
            <w:r w:rsidRPr="00953F7D">
              <w:rPr>
                <w:bCs/>
              </w:rPr>
              <w:t>62</w:t>
            </w:r>
          </w:p>
        </w:tc>
        <w:tc>
          <w:tcPr>
            <w:tcW w:w="7088" w:type="dxa"/>
            <w:tcBorders>
              <w:top w:val="single" w:sz="4" w:space="0" w:color="auto"/>
              <w:left w:val="single" w:sz="4" w:space="0" w:color="auto"/>
              <w:bottom w:val="single" w:sz="4" w:space="0" w:color="auto"/>
              <w:right w:val="single" w:sz="4" w:space="0" w:color="auto"/>
            </w:tcBorders>
            <w:hideMark/>
          </w:tcPr>
          <w:p w14:paraId="49D048CD" w14:textId="77777777" w:rsidR="00742F5F" w:rsidRPr="00953F7D" w:rsidRDefault="00742F5F" w:rsidP="00261295">
            <w:pPr>
              <w:ind w:left="-4" w:firstLine="4"/>
              <w:jc w:val="both"/>
              <w:rPr>
                <w:bCs/>
              </w:rPr>
            </w:pPr>
            <w:r w:rsidRPr="00953F7D">
              <w:rPr>
                <w:bCs/>
              </w:rPr>
              <w:t>Tier 1 ratio (as a percentage of risk-weighted assets), to be calculated as row 45 divided by row 60 (expressed as a percentage). This must be the same as reported to APRA in accordance with ARS 110.0.</w:t>
            </w:r>
          </w:p>
        </w:tc>
      </w:tr>
      <w:tr w:rsidR="00742F5F" w:rsidRPr="00953F7D" w14:paraId="49D048D1"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CF" w14:textId="77777777" w:rsidR="00742F5F" w:rsidRPr="00953F7D" w:rsidRDefault="00742F5F" w:rsidP="009164E6">
            <w:pPr>
              <w:jc w:val="both"/>
              <w:rPr>
                <w:bCs/>
              </w:rPr>
            </w:pPr>
            <w:r w:rsidRPr="00953F7D">
              <w:rPr>
                <w:bCs/>
              </w:rPr>
              <w:t>63</w:t>
            </w:r>
          </w:p>
        </w:tc>
        <w:tc>
          <w:tcPr>
            <w:tcW w:w="7088" w:type="dxa"/>
            <w:tcBorders>
              <w:top w:val="single" w:sz="4" w:space="0" w:color="auto"/>
              <w:left w:val="single" w:sz="4" w:space="0" w:color="auto"/>
              <w:bottom w:val="single" w:sz="4" w:space="0" w:color="auto"/>
              <w:right w:val="single" w:sz="4" w:space="0" w:color="auto"/>
            </w:tcBorders>
            <w:hideMark/>
          </w:tcPr>
          <w:p w14:paraId="49D048D0" w14:textId="77777777" w:rsidR="00742F5F" w:rsidRPr="00953F7D" w:rsidRDefault="00742F5F" w:rsidP="00261295">
            <w:pPr>
              <w:ind w:left="-4" w:firstLine="4"/>
              <w:jc w:val="both"/>
              <w:rPr>
                <w:bCs/>
              </w:rPr>
            </w:pPr>
            <w:r w:rsidRPr="00953F7D">
              <w:rPr>
                <w:bCs/>
              </w:rPr>
              <w:t>Total capital ratio (as a percentage of risk-weighted assets), to be calculated as row 59 divided by row 60 (expressed as a percentage). This must be the same as reported to APRA in accordance with ARS 110.0.</w:t>
            </w:r>
          </w:p>
        </w:tc>
      </w:tr>
      <w:tr w:rsidR="00742F5F" w:rsidRPr="00953F7D" w14:paraId="49D048D4"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D2" w14:textId="77777777" w:rsidR="00742F5F" w:rsidRPr="00953F7D" w:rsidRDefault="00742F5F" w:rsidP="009164E6">
            <w:pPr>
              <w:jc w:val="both"/>
              <w:rPr>
                <w:bCs/>
              </w:rPr>
            </w:pPr>
            <w:r w:rsidRPr="00953F7D">
              <w:rPr>
                <w:bCs/>
              </w:rPr>
              <w:t>64</w:t>
            </w:r>
          </w:p>
        </w:tc>
        <w:tc>
          <w:tcPr>
            <w:tcW w:w="7088" w:type="dxa"/>
            <w:tcBorders>
              <w:top w:val="single" w:sz="4" w:space="0" w:color="auto"/>
              <w:left w:val="single" w:sz="4" w:space="0" w:color="auto"/>
              <w:bottom w:val="single" w:sz="4" w:space="0" w:color="auto"/>
              <w:right w:val="single" w:sz="4" w:space="0" w:color="auto"/>
            </w:tcBorders>
            <w:hideMark/>
          </w:tcPr>
          <w:p w14:paraId="49D048D3" w14:textId="77777777" w:rsidR="00742F5F" w:rsidRPr="00953F7D" w:rsidRDefault="00742F5F" w:rsidP="00261295">
            <w:pPr>
              <w:ind w:left="-4" w:firstLine="4"/>
              <w:jc w:val="both"/>
              <w:rPr>
                <w:bCs/>
              </w:rPr>
            </w:pPr>
            <w:r w:rsidRPr="00953F7D">
              <w:rPr>
                <w:bCs/>
              </w:rPr>
              <w:t>Buffer requirements (minimum CET1 requirement plus capital conservation buffer plus countercyclical buffer requirements expressed as a percentage of risk-weighted assets). To be calculated as 4.5% plus 2.5% plus the ADI-specific countercyclical buffer requirement calculated in accordance with paragraphs 142 to 145 of Basel III</w:t>
            </w:r>
            <w:r w:rsidR="009465E0" w:rsidRPr="00953F7D">
              <w:rPr>
                <w:bCs/>
              </w:rPr>
              <w:t xml:space="preserve"> </w:t>
            </w:r>
            <w:r w:rsidR="00ED1FB3" w:rsidRPr="00953F7D">
              <w:rPr>
                <w:bCs/>
              </w:rPr>
              <w:t>and based on the latest relevant jurisdictional countercyclical buffers available</w:t>
            </w:r>
            <w:r w:rsidRPr="00953F7D">
              <w:rPr>
                <w:bCs/>
              </w:rPr>
              <w:t>.</w:t>
            </w:r>
            <w:r w:rsidR="00A35EFA" w:rsidRPr="00953F7D">
              <w:rPr>
                <w:bCs/>
              </w:rPr>
              <w:t xml:space="preserve"> </w:t>
            </w:r>
          </w:p>
        </w:tc>
      </w:tr>
      <w:tr w:rsidR="00742F5F" w:rsidRPr="00953F7D" w14:paraId="49D048D7"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D5" w14:textId="77777777" w:rsidR="00742F5F" w:rsidRPr="00953F7D" w:rsidRDefault="00742F5F" w:rsidP="009164E6">
            <w:pPr>
              <w:jc w:val="both"/>
              <w:rPr>
                <w:bCs/>
              </w:rPr>
            </w:pPr>
            <w:r w:rsidRPr="00953F7D">
              <w:rPr>
                <w:bCs/>
              </w:rPr>
              <w:t>65</w:t>
            </w:r>
          </w:p>
        </w:tc>
        <w:tc>
          <w:tcPr>
            <w:tcW w:w="7088" w:type="dxa"/>
            <w:tcBorders>
              <w:top w:val="single" w:sz="4" w:space="0" w:color="auto"/>
              <w:left w:val="single" w:sz="4" w:space="0" w:color="auto"/>
              <w:bottom w:val="single" w:sz="4" w:space="0" w:color="auto"/>
              <w:right w:val="single" w:sz="4" w:space="0" w:color="auto"/>
            </w:tcBorders>
            <w:hideMark/>
          </w:tcPr>
          <w:p w14:paraId="49D048D6" w14:textId="77777777" w:rsidR="00742F5F" w:rsidRPr="00953F7D" w:rsidRDefault="00742F5F" w:rsidP="00261295">
            <w:pPr>
              <w:ind w:left="-4" w:firstLine="4"/>
              <w:jc w:val="both"/>
              <w:rPr>
                <w:bCs/>
              </w:rPr>
            </w:pPr>
            <w:r w:rsidRPr="00953F7D">
              <w:rPr>
                <w:bCs/>
              </w:rPr>
              <w:t>The amount in row 64 (expressed as a percentage of risk-weighted assets) that relates to the capital conservation buffer requirement, i.e. ADIs are to report 2.5% here.</w:t>
            </w:r>
          </w:p>
        </w:tc>
      </w:tr>
      <w:tr w:rsidR="00742F5F" w:rsidRPr="00953F7D" w14:paraId="49D048DA"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D8" w14:textId="77777777" w:rsidR="00742F5F" w:rsidRPr="00953F7D" w:rsidRDefault="00742F5F" w:rsidP="009164E6">
            <w:pPr>
              <w:jc w:val="both"/>
              <w:rPr>
                <w:bCs/>
              </w:rPr>
            </w:pPr>
            <w:r w:rsidRPr="00953F7D">
              <w:rPr>
                <w:bCs/>
              </w:rPr>
              <w:t>66</w:t>
            </w:r>
          </w:p>
        </w:tc>
        <w:tc>
          <w:tcPr>
            <w:tcW w:w="7088" w:type="dxa"/>
            <w:tcBorders>
              <w:top w:val="single" w:sz="4" w:space="0" w:color="auto"/>
              <w:left w:val="single" w:sz="4" w:space="0" w:color="auto"/>
              <w:bottom w:val="single" w:sz="4" w:space="0" w:color="auto"/>
              <w:right w:val="single" w:sz="4" w:space="0" w:color="auto"/>
            </w:tcBorders>
            <w:hideMark/>
          </w:tcPr>
          <w:p w14:paraId="49D048D9" w14:textId="77777777" w:rsidR="00742F5F" w:rsidRPr="00953F7D" w:rsidRDefault="00742F5F" w:rsidP="00261295">
            <w:pPr>
              <w:ind w:left="-4" w:firstLine="4"/>
              <w:jc w:val="both"/>
              <w:rPr>
                <w:bCs/>
              </w:rPr>
            </w:pPr>
            <w:r w:rsidRPr="00953F7D">
              <w:rPr>
                <w:bCs/>
              </w:rPr>
              <w:t>The amount in row 64 (expressed as a percentage of risk-weighted assets) that relates to any ADI-specific countercyclical buffer requirement.</w:t>
            </w:r>
          </w:p>
        </w:tc>
      </w:tr>
      <w:tr w:rsidR="00742F5F" w:rsidRPr="00953F7D" w14:paraId="49D048DD"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DB" w14:textId="77777777" w:rsidR="00742F5F" w:rsidRPr="00953F7D" w:rsidRDefault="00742F5F" w:rsidP="009164E6">
            <w:pPr>
              <w:jc w:val="both"/>
              <w:rPr>
                <w:bCs/>
              </w:rPr>
            </w:pPr>
            <w:r w:rsidRPr="00953F7D">
              <w:rPr>
                <w:bCs/>
              </w:rPr>
              <w:t>67</w:t>
            </w:r>
          </w:p>
        </w:tc>
        <w:tc>
          <w:tcPr>
            <w:tcW w:w="7088" w:type="dxa"/>
            <w:tcBorders>
              <w:top w:val="single" w:sz="4" w:space="0" w:color="auto"/>
              <w:left w:val="single" w:sz="4" w:space="0" w:color="auto"/>
              <w:bottom w:val="single" w:sz="4" w:space="0" w:color="auto"/>
              <w:right w:val="single" w:sz="4" w:space="0" w:color="auto"/>
            </w:tcBorders>
            <w:hideMark/>
          </w:tcPr>
          <w:p w14:paraId="49D048DC" w14:textId="77777777" w:rsidR="00742F5F" w:rsidRPr="00953F7D" w:rsidRDefault="00742F5F" w:rsidP="00261295">
            <w:pPr>
              <w:ind w:left="-4" w:firstLine="4"/>
              <w:jc w:val="both"/>
              <w:rPr>
                <w:bCs/>
              </w:rPr>
            </w:pPr>
            <w:r w:rsidRPr="00953F7D">
              <w:rPr>
                <w:bCs/>
              </w:rPr>
              <w:t>The amount in row 64 (expressed as a percentage of risk-weighted assets) that relates to the ADI’s G-SIB buffer requirement (not applicable).</w:t>
            </w:r>
          </w:p>
        </w:tc>
      </w:tr>
      <w:tr w:rsidR="00742F5F" w:rsidRPr="00953F7D" w14:paraId="49D048E0"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DE" w14:textId="77777777" w:rsidR="00742F5F" w:rsidRPr="00953F7D" w:rsidRDefault="00742F5F" w:rsidP="009164E6">
            <w:pPr>
              <w:jc w:val="both"/>
              <w:rPr>
                <w:bCs/>
              </w:rPr>
            </w:pPr>
            <w:r w:rsidRPr="00953F7D">
              <w:rPr>
                <w:bCs/>
              </w:rPr>
              <w:t>68</w:t>
            </w:r>
          </w:p>
        </w:tc>
        <w:tc>
          <w:tcPr>
            <w:tcW w:w="7088" w:type="dxa"/>
            <w:tcBorders>
              <w:top w:val="single" w:sz="4" w:space="0" w:color="auto"/>
              <w:left w:val="single" w:sz="4" w:space="0" w:color="auto"/>
              <w:bottom w:val="single" w:sz="4" w:space="0" w:color="auto"/>
              <w:right w:val="single" w:sz="4" w:space="0" w:color="auto"/>
            </w:tcBorders>
            <w:hideMark/>
          </w:tcPr>
          <w:p w14:paraId="49D048DF" w14:textId="77777777" w:rsidR="00742F5F" w:rsidRPr="00953F7D" w:rsidRDefault="00742F5F" w:rsidP="00261295">
            <w:pPr>
              <w:ind w:left="-4" w:firstLine="4"/>
              <w:jc w:val="both"/>
              <w:rPr>
                <w:bCs/>
              </w:rPr>
            </w:pPr>
            <w:r w:rsidRPr="00953F7D">
              <w:rPr>
                <w:bCs/>
              </w:rPr>
              <w:t>Common Equity Tier 1 available to meet buffers (as a percentage of risk-weighted assets). To be calculated as the CET1 ratio of the ADI, less any common equity used to meet the ADI’s Tier 1 and Total Capital requirements.</w:t>
            </w:r>
          </w:p>
        </w:tc>
      </w:tr>
      <w:tr w:rsidR="00742F5F" w:rsidRPr="00953F7D" w14:paraId="49D048E3"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E1" w14:textId="77777777" w:rsidR="00742F5F" w:rsidRPr="00953F7D" w:rsidRDefault="00742F5F" w:rsidP="009164E6">
            <w:pPr>
              <w:jc w:val="both"/>
              <w:rPr>
                <w:bCs/>
              </w:rPr>
            </w:pPr>
            <w:r w:rsidRPr="00953F7D">
              <w:rPr>
                <w:bCs/>
              </w:rPr>
              <w:t>69</w:t>
            </w:r>
          </w:p>
        </w:tc>
        <w:tc>
          <w:tcPr>
            <w:tcW w:w="7088" w:type="dxa"/>
            <w:tcBorders>
              <w:top w:val="single" w:sz="4" w:space="0" w:color="auto"/>
              <w:left w:val="single" w:sz="4" w:space="0" w:color="auto"/>
              <w:bottom w:val="single" w:sz="4" w:space="0" w:color="auto"/>
              <w:right w:val="single" w:sz="4" w:space="0" w:color="auto"/>
            </w:tcBorders>
            <w:hideMark/>
          </w:tcPr>
          <w:p w14:paraId="49D048E2" w14:textId="77777777" w:rsidR="00742F5F" w:rsidRPr="00953F7D" w:rsidRDefault="00742F5F" w:rsidP="00261295">
            <w:pPr>
              <w:ind w:left="-4" w:firstLine="4"/>
              <w:jc w:val="both"/>
              <w:rPr>
                <w:bCs/>
              </w:rPr>
            </w:pPr>
            <w:r w:rsidRPr="00953F7D">
              <w:rPr>
                <w:bCs/>
              </w:rPr>
              <w:t xml:space="preserve">This field is blank because APRA has not departed from the Basel III minimum CET1 requirement of 4.5%. </w:t>
            </w:r>
          </w:p>
        </w:tc>
      </w:tr>
      <w:tr w:rsidR="00742F5F" w:rsidRPr="00953F7D" w14:paraId="49D048E6"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E4" w14:textId="77777777" w:rsidR="00742F5F" w:rsidRPr="00953F7D" w:rsidRDefault="00742F5F" w:rsidP="009164E6">
            <w:pPr>
              <w:jc w:val="both"/>
              <w:rPr>
                <w:bCs/>
              </w:rPr>
            </w:pPr>
            <w:r w:rsidRPr="00953F7D">
              <w:rPr>
                <w:bCs/>
              </w:rPr>
              <w:t>70</w:t>
            </w:r>
          </w:p>
        </w:tc>
        <w:tc>
          <w:tcPr>
            <w:tcW w:w="7088" w:type="dxa"/>
            <w:tcBorders>
              <w:top w:val="single" w:sz="4" w:space="0" w:color="auto"/>
              <w:left w:val="single" w:sz="4" w:space="0" w:color="auto"/>
              <w:bottom w:val="single" w:sz="4" w:space="0" w:color="auto"/>
              <w:right w:val="single" w:sz="4" w:space="0" w:color="auto"/>
            </w:tcBorders>
            <w:hideMark/>
          </w:tcPr>
          <w:p w14:paraId="49D048E5" w14:textId="77777777" w:rsidR="00742F5F" w:rsidRPr="00953F7D" w:rsidRDefault="00742F5F" w:rsidP="00261295">
            <w:pPr>
              <w:ind w:left="-4" w:firstLine="4"/>
              <w:jc w:val="both"/>
              <w:rPr>
                <w:bCs/>
              </w:rPr>
            </w:pPr>
            <w:r w:rsidRPr="00953F7D">
              <w:rPr>
                <w:bCs/>
              </w:rPr>
              <w:t>This field is blank because APRA has not departed from the Basel III minimum T1 requirement of 6.0%.</w:t>
            </w:r>
          </w:p>
        </w:tc>
      </w:tr>
      <w:tr w:rsidR="00742F5F" w:rsidRPr="00953F7D" w14:paraId="49D048E9"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E7" w14:textId="77777777" w:rsidR="00742F5F" w:rsidRPr="00953F7D" w:rsidRDefault="00742F5F" w:rsidP="009164E6">
            <w:pPr>
              <w:jc w:val="both"/>
              <w:rPr>
                <w:bCs/>
              </w:rPr>
            </w:pPr>
            <w:r w:rsidRPr="00953F7D">
              <w:rPr>
                <w:bCs/>
              </w:rPr>
              <w:t>71</w:t>
            </w:r>
          </w:p>
        </w:tc>
        <w:tc>
          <w:tcPr>
            <w:tcW w:w="7088" w:type="dxa"/>
            <w:tcBorders>
              <w:top w:val="single" w:sz="4" w:space="0" w:color="auto"/>
              <w:left w:val="single" w:sz="4" w:space="0" w:color="auto"/>
              <w:bottom w:val="single" w:sz="4" w:space="0" w:color="auto"/>
              <w:right w:val="single" w:sz="4" w:space="0" w:color="auto"/>
            </w:tcBorders>
            <w:hideMark/>
          </w:tcPr>
          <w:p w14:paraId="49D048E8" w14:textId="77777777" w:rsidR="00742F5F" w:rsidRPr="00953F7D" w:rsidRDefault="00742F5F" w:rsidP="00261295">
            <w:pPr>
              <w:ind w:left="-4" w:firstLine="4"/>
              <w:jc w:val="both"/>
              <w:rPr>
                <w:bCs/>
              </w:rPr>
            </w:pPr>
            <w:r w:rsidRPr="00953F7D">
              <w:rPr>
                <w:bCs/>
              </w:rPr>
              <w:t>This field is blank because APRA has not departed from the Basel III minimum Total Capital requirement of 8.0%.</w:t>
            </w:r>
          </w:p>
        </w:tc>
      </w:tr>
      <w:tr w:rsidR="00742F5F" w:rsidRPr="00953F7D" w14:paraId="49D048EC"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EA" w14:textId="77777777" w:rsidR="00742F5F" w:rsidRPr="00953F7D" w:rsidRDefault="00742F5F" w:rsidP="009164E6">
            <w:pPr>
              <w:jc w:val="both"/>
              <w:rPr>
                <w:bCs/>
              </w:rPr>
            </w:pPr>
            <w:r w:rsidRPr="00953F7D">
              <w:rPr>
                <w:bCs/>
              </w:rPr>
              <w:t>72</w:t>
            </w:r>
          </w:p>
        </w:tc>
        <w:tc>
          <w:tcPr>
            <w:tcW w:w="7088" w:type="dxa"/>
            <w:tcBorders>
              <w:top w:val="single" w:sz="4" w:space="0" w:color="auto"/>
              <w:left w:val="single" w:sz="4" w:space="0" w:color="auto"/>
              <w:bottom w:val="single" w:sz="4" w:space="0" w:color="auto"/>
              <w:right w:val="single" w:sz="4" w:space="0" w:color="auto"/>
            </w:tcBorders>
            <w:hideMark/>
          </w:tcPr>
          <w:p w14:paraId="49D048EB" w14:textId="77777777" w:rsidR="00742F5F" w:rsidRPr="00953F7D" w:rsidRDefault="00742F5F" w:rsidP="00261295">
            <w:pPr>
              <w:ind w:left="-4" w:firstLine="4"/>
              <w:jc w:val="both"/>
              <w:rPr>
                <w:bCs/>
              </w:rPr>
            </w:pPr>
            <w:r w:rsidRPr="00953F7D">
              <w:rPr>
                <w:bCs/>
              </w:rPr>
              <w:t>Non-significant investments in the capital of other financials, the total amount of such holdings that are not reported in rows 18, 39 and 54.</w:t>
            </w:r>
          </w:p>
        </w:tc>
      </w:tr>
      <w:tr w:rsidR="00742F5F" w:rsidRPr="00953F7D" w14:paraId="49D048EF"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ED" w14:textId="77777777" w:rsidR="00742F5F" w:rsidRPr="00953F7D" w:rsidRDefault="00742F5F" w:rsidP="009164E6">
            <w:pPr>
              <w:jc w:val="both"/>
              <w:rPr>
                <w:bCs/>
              </w:rPr>
            </w:pPr>
            <w:r w:rsidRPr="00953F7D">
              <w:rPr>
                <w:bCs/>
              </w:rPr>
              <w:t>73</w:t>
            </w:r>
          </w:p>
        </w:tc>
        <w:tc>
          <w:tcPr>
            <w:tcW w:w="7088" w:type="dxa"/>
            <w:tcBorders>
              <w:top w:val="single" w:sz="4" w:space="0" w:color="auto"/>
              <w:left w:val="single" w:sz="4" w:space="0" w:color="auto"/>
              <w:bottom w:val="single" w:sz="4" w:space="0" w:color="auto"/>
              <w:right w:val="single" w:sz="4" w:space="0" w:color="auto"/>
            </w:tcBorders>
            <w:hideMark/>
          </w:tcPr>
          <w:p w14:paraId="49D048EE" w14:textId="77777777" w:rsidR="00742F5F" w:rsidRPr="00953F7D" w:rsidRDefault="00742F5F" w:rsidP="00261295">
            <w:pPr>
              <w:ind w:left="-4" w:firstLine="4"/>
              <w:jc w:val="both"/>
              <w:rPr>
                <w:bCs/>
              </w:rPr>
            </w:pPr>
            <w:r w:rsidRPr="00953F7D">
              <w:rPr>
                <w:bCs/>
              </w:rPr>
              <w:t>Significant investments in the common stock of financials, the total amount of such holdings that are not reported in rows 19 and 23.</w:t>
            </w:r>
          </w:p>
        </w:tc>
      </w:tr>
      <w:tr w:rsidR="00742F5F" w:rsidRPr="00953F7D" w14:paraId="49D048F2"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F0" w14:textId="77777777" w:rsidR="00742F5F" w:rsidRPr="00953F7D" w:rsidRDefault="00742F5F" w:rsidP="009164E6">
            <w:pPr>
              <w:jc w:val="both"/>
              <w:rPr>
                <w:bCs/>
              </w:rPr>
            </w:pPr>
            <w:r w:rsidRPr="00953F7D">
              <w:rPr>
                <w:bCs/>
              </w:rPr>
              <w:t>74</w:t>
            </w:r>
          </w:p>
        </w:tc>
        <w:tc>
          <w:tcPr>
            <w:tcW w:w="7088" w:type="dxa"/>
            <w:tcBorders>
              <w:top w:val="single" w:sz="4" w:space="0" w:color="auto"/>
              <w:left w:val="single" w:sz="4" w:space="0" w:color="auto"/>
              <w:bottom w:val="single" w:sz="4" w:space="0" w:color="auto"/>
              <w:right w:val="single" w:sz="4" w:space="0" w:color="auto"/>
            </w:tcBorders>
            <w:hideMark/>
          </w:tcPr>
          <w:p w14:paraId="49D048F1" w14:textId="77777777" w:rsidR="00742F5F" w:rsidRPr="00953F7D" w:rsidRDefault="00742F5F" w:rsidP="00261295">
            <w:pPr>
              <w:ind w:left="-4" w:firstLine="4"/>
              <w:jc w:val="both"/>
              <w:rPr>
                <w:bCs/>
              </w:rPr>
            </w:pPr>
            <w:r w:rsidRPr="00953F7D">
              <w:rPr>
                <w:bCs/>
              </w:rPr>
              <w:t>Mortgage servicing rights the total amount of such holdings that are not reported in rows 20 and 24.</w:t>
            </w:r>
          </w:p>
        </w:tc>
      </w:tr>
      <w:tr w:rsidR="00742F5F" w:rsidRPr="00953F7D" w14:paraId="49D048F5"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F3" w14:textId="77777777" w:rsidR="00742F5F" w:rsidRPr="00953F7D" w:rsidRDefault="00742F5F" w:rsidP="009164E6">
            <w:pPr>
              <w:jc w:val="both"/>
              <w:rPr>
                <w:bCs/>
              </w:rPr>
            </w:pPr>
            <w:r w:rsidRPr="00953F7D">
              <w:rPr>
                <w:bCs/>
              </w:rPr>
              <w:t>75</w:t>
            </w:r>
          </w:p>
        </w:tc>
        <w:tc>
          <w:tcPr>
            <w:tcW w:w="7088" w:type="dxa"/>
            <w:tcBorders>
              <w:top w:val="single" w:sz="4" w:space="0" w:color="auto"/>
              <w:left w:val="single" w:sz="4" w:space="0" w:color="auto"/>
              <w:bottom w:val="single" w:sz="4" w:space="0" w:color="auto"/>
              <w:right w:val="single" w:sz="4" w:space="0" w:color="auto"/>
            </w:tcBorders>
            <w:hideMark/>
          </w:tcPr>
          <w:p w14:paraId="49D048F4" w14:textId="77777777" w:rsidR="00742F5F" w:rsidRPr="00953F7D" w:rsidRDefault="00742F5F" w:rsidP="00261295">
            <w:pPr>
              <w:ind w:left="-4" w:firstLine="4"/>
              <w:jc w:val="both"/>
              <w:rPr>
                <w:bCs/>
              </w:rPr>
            </w:pPr>
            <w:r w:rsidRPr="00953F7D">
              <w:rPr>
                <w:bCs/>
              </w:rPr>
              <w:t>Deferred tax assets arising from temporary differences (net of related tax liability), the total amount of such holdings that are not reported in rows 21 and 25.</w:t>
            </w:r>
          </w:p>
        </w:tc>
      </w:tr>
      <w:tr w:rsidR="00742F5F" w:rsidRPr="00953F7D" w14:paraId="49D048F8"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F6" w14:textId="77777777" w:rsidR="00742F5F" w:rsidRPr="00953F7D" w:rsidRDefault="00742F5F" w:rsidP="009164E6">
            <w:pPr>
              <w:jc w:val="both"/>
              <w:rPr>
                <w:bCs/>
              </w:rPr>
            </w:pPr>
            <w:r w:rsidRPr="00953F7D">
              <w:rPr>
                <w:bCs/>
              </w:rPr>
              <w:t>76</w:t>
            </w:r>
          </w:p>
        </w:tc>
        <w:tc>
          <w:tcPr>
            <w:tcW w:w="7088" w:type="dxa"/>
            <w:tcBorders>
              <w:top w:val="single" w:sz="4" w:space="0" w:color="auto"/>
              <w:left w:val="single" w:sz="4" w:space="0" w:color="auto"/>
              <w:bottom w:val="single" w:sz="4" w:space="0" w:color="auto"/>
              <w:right w:val="single" w:sz="4" w:space="0" w:color="auto"/>
            </w:tcBorders>
            <w:hideMark/>
          </w:tcPr>
          <w:p w14:paraId="49D048F7" w14:textId="77777777" w:rsidR="00742F5F" w:rsidRPr="00953F7D" w:rsidRDefault="00742F5F" w:rsidP="00261295">
            <w:pPr>
              <w:ind w:left="-4" w:firstLine="4"/>
              <w:jc w:val="both"/>
              <w:rPr>
                <w:bCs/>
              </w:rPr>
            </w:pPr>
            <w:r w:rsidRPr="00953F7D">
              <w:rPr>
                <w:bCs/>
              </w:rPr>
              <w:t>Provisions eligible for inclusion in Tier 2 in respect of exposures subject to standardised approach, calculated in accordance with paragraph 60 of Basel III, prior to the application of the cap.</w:t>
            </w:r>
          </w:p>
        </w:tc>
      </w:tr>
      <w:tr w:rsidR="00742F5F" w:rsidRPr="00953F7D" w14:paraId="49D048FB"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F9" w14:textId="77777777" w:rsidR="00742F5F" w:rsidRPr="00953F7D" w:rsidRDefault="00742F5F" w:rsidP="009164E6">
            <w:pPr>
              <w:jc w:val="both"/>
              <w:rPr>
                <w:bCs/>
              </w:rPr>
            </w:pPr>
            <w:r w:rsidRPr="00953F7D">
              <w:rPr>
                <w:bCs/>
              </w:rPr>
              <w:t>77</w:t>
            </w:r>
          </w:p>
        </w:tc>
        <w:tc>
          <w:tcPr>
            <w:tcW w:w="7088" w:type="dxa"/>
            <w:tcBorders>
              <w:top w:val="single" w:sz="4" w:space="0" w:color="auto"/>
              <w:left w:val="single" w:sz="4" w:space="0" w:color="auto"/>
              <w:bottom w:val="single" w:sz="4" w:space="0" w:color="auto"/>
              <w:right w:val="single" w:sz="4" w:space="0" w:color="auto"/>
            </w:tcBorders>
            <w:hideMark/>
          </w:tcPr>
          <w:p w14:paraId="49D048FA" w14:textId="77777777" w:rsidR="00742F5F" w:rsidRPr="00953F7D" w:rsidRDefault="00742F5F" w:rsidP="00261295">
            <w:pPr>
              <w:ind w:left="-4" w:firstLine="4"/>
              <w:jc w:val="both"/>
              <w:rPr>
                <w:bCs/>
              </w:rPr>
            </w:pPr>
            <w:r w:rsidRPr="00953F7D">
              <w:rPr>
                <w:bCs/>
              </w:rPr>
              <w:t>Cap on inclusion of provisions in Tier 2 under standardised approach, calculated in accordance with paragraph 60 of Basel III.</w:t>
            </w:r>
          </w:p>
        </w:tc>
      </w:tr>
      <w:tr w:rsidR="00742F5F" w:rsidRPr="00953F7D" w14:paraId="49D048FE"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FC" w14:textId="77777777" w:rsidR="00742F5F" w:rsidRPr="00953F7D" w:rsidRDefault="00742F5F" w:rsidP="009164E6">
            <w:pPr>
              <w:jc w:val="both"/>
              <w:rPr>
                <w:bCs/>
              </w:rPr>
            </w:pPr>
            <w:r w:rsidRPr="00953F7D">
              <w:rPr>
                <w:bCs/>
              </w:rPr>
              <w:t>78</w:t>
            </w:r>
          </w:p>
        </w:tc>
        <w:tc>
          <w:tcPr>
            <w:tcW w:w="7088" w:type="dxa"/>
            <w:tcBorders>
              <w:top w:val="single" w:sz="4" w:space="0" w:color="auto"/>
              <w:left w:val="single" w:sz="4" w:space="0" w:color="auto"/>
              <w:bottom w:val="single" w:sz="4" w:space="0" w:color="auto"/>
              <w:right w:val="single" w:sz="4" w:space="0" w:color="auto"/>
            </w:tcBorders>
            <w:hideMark/>
          </w:tcPr>
          <w:p w14:paraId="49D048FD" w14:textId="77777777" w:rsidR="00742F5F" w:rsidRPr="00953F7D" w:rsidRDefault="00742F5F" w:rsidP="00261295">
            <w:pPr>
              <w:ind w:left="-4" w:firstLine="4"/>
              <w:jc w:val="both"/>
              <w:rPr>
                <w:bCs/>
              </w:rPr>
            </w:pPr>
            <w:r w:rsidRPr="00953F7D">
              <w:rPr>
                <w:bCs/>
              </w:rPr>
              <w:t>Provisions eligible for inclusion in Tier 2 in respect of exposures subject to internal ratings-based approach, calculated in accordance with paragraph 61 of Basel III, prior to the application of the cap.</w:t>
            </w:r>
          </w:p>
        </w:tc>
      </w:tr>
      <w:tr w:rsidR="00742F5F" w:rsidRPr="00953F7D" w14:paraId="49D04901"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8FF" w14:textId="77777777" w:rsidR="00742F5F" w:rsidRPr="00953F7D" w:rsidRDefault="00742F5F" w:rsidP="009164E6">
            <w:pPr>
              <w:jc w:val="both"/>
              <w:rPr>
                <w:bCs/>
              </w:rPr>
            </w:pPr>
            <w:r w:rsidRPr="00953F7D">
              <w:rPr>
                <w:bCs/>
              </w:rPr>
              <w:t>79</w:t>
            </w:r>
          </w:p>
        </w:tc>
        <w:tc>
          <w:tcPr>
            <w:tcW w:w="7088" w:type="dxa"/>
            <w:tcBorders>
              <w:top w:val="single" w:sz="4" w:space="0" w:color="auto"/>
              <w:left w:val="single" w:sz="4" w:space="0" w:color="auto"/>
              <w:bottom w:val="single" w:sz="4" w:space="0" w:color="auto"/>
              <w:right w:val="single" w:sz="4" w:space="0" w:color="auto"/>
            </w:tcBorders>
            <w:hideMark/>
          </w:tcPr>
          <w:p w14:paraId="49D04900" w14:textId="77777777" w:rsidR="00742F5F" w:rsidRPr="00953F7D" w:rsidRDefault="00742F5F" w:rsidP="00261295">
            <w:pPr>
              <w:ind w:left="-4" w:firstLine="4"/>
              <w:jc w:val="both"/>
              <w:rPr>
                <w:bCs/>
              </w:rPr>
            </w:pPr>
            <w:r w:rsidRPr="00953F7D">
              <w:rPr>
                <w:bCs/>
              </w:rPr>
              <w:t>Cap for inclusion of provisions in Tier 2 under internal ratings-based approach, calculated in accordance with paragraph 61 of Basel III.</w:t>
            </w:r>
          </w:p>
        </w:tc>
      </w:tr>
      <w:tr w:rsidR="00742F5F" w:rsidRPr="00953F7D" w14:paraId="49D04904"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902" w14:textId="77777777" w:rsidR="00742F5F" w:rsidRPr="00953F7D" w:rsidRDefault="00742F5F" w:rsidP="009164E6">
            <w:pPr>
              <w:jc w:val="both"/>
              <w:rPr>
                <w:bCs/>
              </w:rPr>
            </w:pPr>
            <w:r w:rsidRPr="00953F7D">
              <w:rPr>
                <w:bCs/>
              </w:rPr>
              <w:t>80</w:t>
            </w:r>
          </w:p>
        </w:tc>
        <w:tc>
          <w:tcPr>
            <w:tcW w:w="7088" w:type="dxa"/>
            <w:tcBorders>
              <w:top w:val="single" w:sz="4" w:space="0" w:color="auto"/>
              <w:left w:val="single" w:sz="4" w:space="0" w:color="auto"/>
              <w:bottom w:val="single" w:sz="4" w:space="0" w:color="auto"/>
              <w:right w:val="single" w:sz="4" w:space="0" w:color="auto"/>
            </w:tcBorders>
            <w:hideMark/>
          </w:tcPr>
          <w:p w14:paraId="49D04903" w14:textId="77777777" w:rsidR="00742F5F" w:rsidRPr="00953F7D" w:rsidRDefault="00742F5F" w:rsidP="00261295">
            <w:pPr>
              <w:ind w:left="-4" w:firstLine="4"/>
              <w:jc w:val="both"/>
              <w:rPr>
                <w:bCs/>
              </w:rPr>
            </w:pPr>
            <w:r w:rsidRPr="00953F7D">
              <w:rPr>
                <w:bCs/>
              </w:rPr>
              <w:t>Current cap on CET1 instruments subject to phase out arrangements, see paragraph 95 of Basel III.</w:t>
            </w:r>
          </w:p>
        </w:tc>
      </w:tr>
      <w:tr w:rsidR="00742F5F" w:rsidRPr="00953F7D" w14:paraId="49D04907"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905" w14:textId="77777777" w:rsidR="00742F5F" w:rsidRPr="00953F7D" w:rsidRDefault="00742F5F" w:rsidP="009164E6">
            <w:pPr>
              <w:jc w:val="both"/>
              <w:rPr>
                <w:bCs/>
              </w:rPr>
            </w:pPr>
            <w:r w:rsidRPr="00953F7D">
              <w:rPr>
                <w:bCs/>
              </w:rPr>
              <w:t>81</w:t>
            </w:r>
          </w:p>
        </w:tc>
        <w:tc>
          <w:tcPr>
            <w:tcW w:w="7088" w:type="dxa"/>
            <w:tcBorders>
              <w:top w:val="single" w:sz="4" w:space="0" w:color="auto"/>
              <w:left w:val="single" w:sz="4" w:space="0" w:color="auto"/>
              <w:bottom w:val="single" w:sz="4" w:space="0" w:color="auto"/>
              <w:right w:val="single" w:sz="4" w:space="0" w:color="auto"/>
            </w:tcBorders>
            <w:hideMark/>
          </w:tcPr>
          <w:p w14:paraId="49D04906" w14:textId="77777777" w:rsidR="00742F5F" w:rsidRPr="00953F7D" w:rsidRDefault="00742F5F" w:rsidP="00261295">
            <w:pPr>
              <w:ind w:left="-4" w:firstLine="4"/>
              <w:jc w:val="both"/>
              <w:rPr>
                <w:bCs/>
              </w:rPr>
            </w:pPr>
            <w:r w:rsidRPr="00953F7D">
              <w:rPr>
                <w:bCs/>
              </w:rPr>
              <w:t>Amount excluded from CET1 due to cap (excess over cap after redemptions and maturities), see paragraph 95 of Basel III.</w:t>
            </w:r>
          </w:p>
        </w:tc>
      </w:tr>
      <w:tr w:rsidR="00742F5F" w:rsidRPr="00953F7D" w14:paraId="49D0490A"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908" w14:textId="77777777" w:rsidR="00742F5F" w:rsidRPr="00953F7D" w:rsidRDefault="00742F5F" w:rsidP="009164E6">
            <w:pPr>
              <w:jc w:val="both"/>
              <w:rPr>
                <w:bCs/>
              </w:rPr>
            </w:pPr>
            <w:r w:rsidRPr="00953F7D">
              <w:rPr>
                <w:bCs/>
              </w:rPr>
              <w:t>82</w:t>
            </w:r>
          </w:p>
        </w:tc>
        <w:tc>
          <w:tcPr>
            <w:tcW w:w="7088" w:type="dxa"/>
            <w:tcBorders>
              <w:top w:val="single" w:sz="4" w:space="0" w:color="auto"/>
              <w:left w:val="single" w:sz="4" w:space="0" w:color="auto"/>
              <w:bottom w:val="single" w:sz="4" w:space="0" w:color="auto"/>
              <w:right w:val="single" w:sz="4" w:space="0" w:color="auto"/>
            </w:tcBorders>
            <w:hideMark/>
          </w:tcPr>
          <w:p w14:paraId="49D04909" w14:textId="77777777" w:rsidR="00742F5F" w:rsidRPr="00953F7D" w:rsidRDefault="00742F5F" w:rsidP="00261295">
            <w:pPr>
              <w:ind w:left="-4" w:firstLine="4"/>
              <w:jc w:val="both"/>
              <w:rPr>
                <w:bCs/>
              </w:rPr>
            </w:pPr>
            <w:r w:rsidRPr="00953F7D">
              <w:rPr>
                <w:bCs/>
              </w:rPr>
              <w:t xml:space="preserve">Current cap on AT1 instruments subject to phase out arrangements, see paragraph 94(g) of Basel III. </w:t>
            </w:r>
          </w:p>
        </w:tc>
      </w:tr>
      <w:tr w:rsidR="00742F5F" w:rsidRPr="00953F7D" w14:paraId="49D0490D"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90B" w14:textId="77777777" w:rsidR="00742F5F" w:rsidRPr="00953F7D" w:rsidRDefault="00742F5F" w:rsidP="009164E6">
            <w:pPr>
              <w:jc w:val="both"/>
              <w:rPr>
                <w:bCs/>
              </w:rPr>
            </w:pPr>
            <w:r w:rsidRPr="00953F7D">
              <w:rPr>
                <w:bCs/>
              </w:rPr>
              <w:t>83</w:t>
            </w:r>
          </w:p>
        </w:tc>
        <w:tc>
          <w:tcPr>
            <w:tcW w:w="7088" w:type="dxa"/>
            <w:tcBorders>
              <w:top w:val="single" w:sz="4" w:space="0" w:color="auto"/>
              <w:left w:val="single" w:sz="4" w:space="0" w:color="auto"/>
              <w:bottom w:val="single" w:sz="4" w:space="0" w:color="auto"/>
              <w:right w:val="single" w:sz="4" w:space="0" w:color="auto"/>
            </w:tcBorders>
            <w:hideMark/>
          </w:tcPr>
          <w:p w14:paraId="49D0490C" w14:textId="77777777" w:rsidR="00742F5F" w:rsidRPr="00953F7D" w:rsidRDefault="00742F5F" w:rsidP="00261295">
            <w:pPr>
              <w:ind w:left="-4" w:firstLine="4"/>
              <w:jc w:val="both"/>
              <w:rPr>
                <w:bCs/>
              </w:rPr>
            </w:pPr>
            <w:r w:rsidRPr="00953F7D">
              <w:rPr>
                <w:bCs/>
              </w:rPr>
              <w:t>Amount excluded from AT1 instruments due to cap (excess over cap after redemptions and maturities), see paragraph 94(g) of Basel III.</w:t>
            </w:r>
          </w:p>
        </w:tc>
      </w:tr>
      <w:tr w:rsidR="00742F5F" w:rsidRPr="00953F7D" w14:paraId="49D04910"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90E" w14:textId="77777777" w:rsidR="00742F5F" w:rsidRPr="00953F7D" w:rsidRDefault="00742F5F" w:rsidP="009164E6">
            <w:pPr>
              <w:jc w:val="both"/>
              <w:rPr>
                <w:bCs/>
              </w:rPr>
            </w:pPr>
            <w:r w:rsidRPr="00953F7D">
              <w:rPr>
                <w:bCs/>
              </w:rPr>
              <w:t>84</w:t>
            </w:r>
          </w:p>
        </w:tc>
        <w:tc>
          <w:tcPr>
            <w:tcW w:w="7088" w:type="dxa"/>
            <w:tcBorders>
              <w:top w:val="single" w:sz="4" w:space="0" w:color="auto"/>
              <w:left w:val="single" w:sz="4" w:space="0" w:color="auto"/>
              <w:bottom w:val="single" w:sz="4" w:space="0" w:color="auto"/>
              <w:right w:val="single" w:sz="4" w:space="0" w:color="auto"/>
            </w:tcBorders>
            <w:hideMark/>
          </w:tcPr>
          <w:p w14:paraId="49D0490F" w14:textId="77777777" w:rsidR="00742F5F" w:rsidRPr="00953F7D" w:rsidRDefault="00742F5F" w:rsidP="00261295">
            <w:pPr>
              <w:ind w:left="-4" w:firstLine="4"/>
              <w:jc w:val="both"/>
              <w:rPr>
                <w:bCs/>
              </w:rPr>
            </w:pPr>
            <w:r w:rsidRPr="00953F7D">
              <w:rPr>
                <w:bCs/>
              </w:rPr>
              <w:t>Current cap on T2 instruments subject to phase out arrangements, see paragraph 94(g) of Basel III.</w:t>
            </w:r>
          </w:p>
        </w:tc>
      </w:tr>
      <w:tr w:rsidR="00742F5F" w:rsidRPr="00953F7D" w14:paraId="49D04913" w14:textId="77777777" w:rsidTr="009C3F64">
        <w:tc>
          <w:tcPr>
            <w:tcW w:w="1134" w:type="dxa"/>
            <w:tcBorders>
              <w:top w:val="single" w:sz="4" w:space="0" w:color="auto"/>
              <w:left w:val="single" w:sz="4" w:space="0" w:color="auto"/>
              <w:bottom w:val="single" w:sz="4" w:space="0" w:color="auto"/>
              <w:right w:val="single" w:sz="4" w:space="0" w:color="auto"/>
            </w:tcBorders>
            <w:hideMark/>
          </w:tcPr>
          <w:p w14:paraId="49D04911" w14:textId="77777777" w:rsidR="00742F5F" w:rsidRPr="00953F7D" w:rsidRDefault="00742F5F" w:rsidP="009164E6">
            <w:pPr>
              <w:jc w:val="both"/>
              <w:rPr>
                <w:bCs/>
              </w:rPr>
            </w:pPr>
            <w:r w:rsidRPr="00953F7D">
              <w:rPr>
                <w:bCs/>
              </w:rPr>
              <w:t>85</w:t>
            </w:r>
          </w:p>
        </w:tc>
        <w:tc>
          <w:tcPr>
            <w:tcW w:w="7088" w:type="dxa"/>
            <w:tcBorders>
              <w:top w:val="single" w:sz="4" w:space="0" w:color="auto"/>
              <w:left w:val="single" w:sz="4" w:space="0" w:color="auto"/>
              <w:bottom w:val="single" w:sz="4" w:space="0" w:color="auto"/>
              <w:right w:val="single" w:sz="4" w:space="0" w:color="auto"/>
            </w:tcBorders>
            <w:hideMark/>
          </w:tcPr>
          <w:p w14:paraId="49D04912" w14:textId="77777777" w:rsidR="00742F5F" w:rsidRPr="00953F7D" w:rsidRDefault="00742F5F" w:rsidP="00261295">
            <w:pPr>
              <w:ind w:left="-4" w:firstLine="4"/>
              <w:jc w:val="both"/>
              <w:rPr>
                <w:bCs/>
              </w:rPr>
            </w:pPr>
            <w:r w:rsidRPr="00953F7D">
              <w:rPr>
                <w:bCs/>
              </w:rPr>
              <w:t>Amount excluded from T2 due to cap (excess over cap after redemptions and maturities), see paragraph 94(g) of Basel III.</w:t>
            </w:r>
          </w:p>
        </w:tc>
      </w:tr>
    </w:tbl>
    <w:p w14:paraId="49D04914" w14:textId="77777777" w:rsidR="00145792" w:rsidRDefault="00145792" w:rsidP="00742F5F">
      <w:pPr>
        <w:pStyle w:val="Heading3"/>
        <w:spacing w:before="120" w:after="360"/>
        <w:jc w:val="both"/>
        <w:rPr>
          <w:b/>
          <w:sz w:val="32"/>
          <w:szCs w:val="32"/>
        </w:rPr>
        <w:sectPr w:rsidR="00145792" w:rsidSect="00707844">
          <w:footerReference w:type="default" r:id="rId19"/>
          <w:footerReference w:type="first" r:id="rId20"/>
          <w:pgSz w:w="11906" w:h="16838"/>
          <w:pgMar w:top="1440" w:right="1797" w:bottom="1440" w:left="1797" w:header="709" w:footer="709" w:gutter="0"/>
          <w:cols w:space="708"/>
          <w:docGrid w:linePitch="360"/>
        </w:sectPr>
      </w:pPr>
      <w:bookmarkStart w:id="152" w:name="_Toc387407125"/>
      <w:bookmarkStart w:id="153" w:name="_Toc387407361"/>
      <w:bookmarkStart w:id="154" w:name="_Toc391024778"/>
    </w:p>
    <w:p w14:paraId="49D04915" w14:textId="77777777" w:rsidR="00742F5F" w:rsidRPr="00953F7D" w:rsidRDefault="00742F5F" w:rsidP="00742F5F">
      <w:pPr>
        <w:pStyle w:val="Heading3"/>
        <w:spacing w:before="120" w:after="360"/>
        <w:jc w:val="both"/>
        <w:rPr>
          <w:b/>
          <w:sz w:val="32"/>
          <w:szCs w:val="32"/>
        </w:rPr>
      </w:pPr>
      <w:bookmarkStart w:id="155" w:name="_Toc506286034"/>
      <w:r w:rsidRPr="00953F7D">
        <w:rPr>
          <w:b/>
          <w:sz w:val="32"/>
          <w:szCs w:val="32"/>
        </w:rPr>
        <w:t>Attachment B</w:t>
      </w:r>
      <w:bookmarkEnd w:id="152"/>
      <w:bookmarkEnd w:id="153"/>
      <w:bookmarkEnd w:id="154"/>
      <w:bookmarkEnd w:id="155"/>
      <w:r w:rsidRPr="00953F7D">
        <w:rPr>
          <w:b/>
          <w:sz w:val="32"/>
          <w:szCs w:val="32"/>
        </w:rPr>
        <w:t xml:space="preserve"> </w:t>
      </w:r>
    </w:p>
    <w:p w14:paraId="49D04916" w14:textId="77777777" w:rsidR="00742F5F" w:rsidRPr="00953F7D" w:rsidRDefault="00742F5F" w:rsidP="00742F5F">
      <w:pPr>
        <w:pStyle w:val="Heading3"/>
        <w:spacing w:before="120" w:after="360"/>
        <w:jc w:val="both"/>
        <w:rPr>
          <w:b/>
          <w:sz w:val="32"/>
          <w:szCs w:val="32"/>
        </w:rPr>
      </w:pPr>
      <w:bookmarkStart w:id="156" w:name="_Toc351111221"/>
      <w:bookmarkStart w:id="157" w:name="_Toc351111648"/>
      <w:bookmarkStart w:id="158" w:name="_Toc352665700"/>
      <w:bookmarkStart w:id="159" w:name="_Toc358286585"/>
      <w:bookmarkStart w:id="160" w:name="_Toc360011875"/>
      <w:bookmarkStart w:id="161" w:name="_Toc395701854"/>
      <w:bookmarkStart w:id="162" w:name="_Toc506286035"/>
      <w:r w:rsidRPr="00953F7D">
        <w:rPr>
          <w:b/>
          <w:sz w:val="32"/>
          <w:szCs w:val="32"/>
        </w:rPr>
        <w:t>Main features of capital instruments</w:t>
      </w:r>
      <w:bookmarkEnd w:id="156"/>
      <w:bookmarkEnd w:id="157"/>
      <w:bookmarkEnd w:id="158"/>
      <w:bookmarkEnd w:id="159"/>
      <w:bookmarkEnd w:id="160"/>
      <w:bookmarkEnd w:id="161"/>
      <w:bookmarkEnd w:id="162"/>
    </w:p>
    <w:p w14:paraId="49D04917" w14:textId="77777777" w:rsidR="00742F5F" w:rsidRPr="00953F7D" w:rsidRDefault="00742F5F" w:rsidP="00044A3D">
      <w:pPr>
        <w:pStyle w:val="BodyText"/>
        <w:numPr>
          <w:ilvl w:val="0"/>
          <w:numId w:val="40"/>
        </w:numPr>
      </w:pPr>
      <w:r w:rsidRPr="00953F7D">
        <w:t xml:space="preserve">An ADI must disclose the information in Table 2 for each capital instrument included in its Regulatory Capital. </w:t>
      </w:r>
    </w:p>
    <w:p w14:paraId="49D04918" w14:textId="77777777" w:rsidR="00742F5F" w:rsidRPr="00953F7D" w:rsidRDefault="00742F5F" w:rsidP="008B2850">
      <w:pPr>
        <w:keepNext/>
        <w:spacing w:after="240"/>
        <w:ind w:firstLine="0"/>
        <w:jc w:val="both"/>
      </w:pPr>
      <w:r w:rsidRPr="00953F7D">
        <w:rPr>
          <w:color w:val="000000"/>
        </w:rPr>
        <w:t>Table 2: Main features</w:t>
      </w:r>
      <w:r w:rsidRPr="00953F7D">
        <w:rPr>
          <w:bCs/>
        </w:rPr>
        <w:t xml:space="preserve"> template </w:t>
      </w:r>
    </w:p>
    <w:tbl>
      <w:tblPr>
        <w:tblW w:w="8222" w:type="dxa"/>
        <w:tblInd w:w="1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709"/>
        <w:gridCol w:w="7513"/>
      </w:tblGrid>
      <w:tr w:rsidR="00742F5F" w:rsidRPr="00953F7D" w14:paraId="49D0491A" w14:textId="77777777" w:rsidTr="009C3F64">
        <w:trPr>
          <w:trHeight w:val="152"/>
        </w:trPr>
        <w:tc>
          <w:tcPr>
            <w:tcW w:w="8222" w:type="dxa"/>
            <w:gridSpan w:val="2"/>
            <w:tcBorders>
              <w:top w:val="single" w:sz="8" w:space="0" w:color="000000"/>
              <w:left w:val="single" w:sz="6" w:space="0" w:color="000000"/>
              <w:bottom w:val="single" w:sz="8" w:space="0" w:color="000000"/>
              <w:right w:val="single" w:sz="6" w:space="0" w:color="000000"/>
            </w:tcBorders>
          </w:tcPr>
          <w:p w14:paraId="49D04919" w14:textId="77777777" w:rsidR="00742F5F" w:rsidRPr="00953F7D" w:rsidRDefault="00742F5F" w:rsidP="009164E6">
            <w:pPr>
              <w:pStyle w:val="Default"/>
              <w:keepNext/>
              <w:keepLines/>
              <w:spacing w:before="120"/>
              <w:jc w:val="both"/>
            </w:pPr>
            <w:r w:rsidRPr="00953F7D">
              <w:rPr>
                <w:b/>
                <w:bCs/>
              </w:rPr>
              <w:t xml:space="preserve">Disclosure template for main features of Regulatory Capital instruments </w:t>
            </w:r>
          </w:p>
        </w:tc>
      </w:tr>
      <w:tr w:rsidR="00742F5F" w:rsidRPr="00953F7D" w14:paraId="49D0491D"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1B" w14:textId="77777777" w:rsidR="00742F5F" w:rsidRPr="00953F7D" w:rsidRDefault="00742F5F" w:rsidP="009164E6">
            <w:pPr>
              <w:pStyle w:val="Default"/>
              <w:jc w:val="both"/>
            </w:pPr>
            <w:r w:rsidRPr="00953F7D">
              <w:t xml:space="preserve">1 </w:t>
            </w:r>
          </w:p>
        </w:tc>
        <w:tc>
          <w:tcPr>
            <w:tcW w:w="7513" w:type="dxa"/>
            <w:tcBorders>
              <w:top w:val="single" w:sz="8" w:space="0" w:color="000000"/>
              <w:left w:val="single" w:sz="8" w:space="0" w:color="000000"/>
              <w:bottom w:val="single" w:sz="8" w:space="0" w:color="000000"/>
            </w:tcBorders>
          </w:tcPr>
          <w:p w14:paraId="49D0491C" w14:textId="77777777" w:rsidR="00742F5F" w:rsidRPr="00953F7D" w:rsidRDefault="00742F5F" w:rsidP="009164E6">
            <w:pPr>
              <w:pStyle w:val="Default"/>
              <w:jc w:val="both"/>
            </w:pPr>
            <w:r w:rsidRPr="00953F7D">
              <w:t xml:space="preserve">Issuer </w:t>
            </w:r>
          </w:p>
        </w:tc>
      </w:tr>
      <w:tr w:rsidR="00742F5F" w:rsidRPr="00953F7D" w14:paraId="49D04920"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1E" w14:textId="77777777" w:rsidR="00742F5F" w:rsidRPr="00953F7D" w:rsidRDefault="00742F5F" w:rsidP="009164E6">
            <w:pPr>
              <w:pStyle w:val="Default"/>
              <w:jc w:val="both"/>
            </w:pPr>
            <w:r w:rsidRPr="00953F7D">
              <w:t xml:space="preserve">2 </w:t>
            </w:r>
          </w:p>
        </w:tc>
        <w:tc>
          <w:tcPr>
            <w:tcW w:w="7513" w:type="dxa"/>
            <w:tcBorders>
              <w:top w:val="single" w:sz="8" w:space="0" w:color="000000"/>
              <w:left w:val="single" w:sz="8" w:space="0" w:color="000000"/>
              <w:bottom w:val="single" w:sz="8" w:space="0" w:color="000000"/>
            </w:tcBorders>
          </w:tcPr>
          <w:p w14:paraId="49D0491F" w14:textId="77777777" w:rsidR="00742F5F" w:rsidRPr="00953F7D" w:rsidRDefault="00742F5F" w:rsidP="00A356A9">
            <w:pPr>
              <w:pStyle w:val="Default"/>
              <w:ind w:left="34" w:hanging="34"/>
              <w:jc w:val="both"/>
            </w:pPr>
            <w:r w:rsidRPr="00953F7D">
              <w:t xml:space="preserve">Unique identifier (eg CUSIP, ISIN or Bloomberg identifier for private placement) </w:t>
            </w:r>
          </w:p>
        </w:tc>
      </w:tr>
      <w:tr w:rsidR="00742F5F" w:rsidRPr="00953F7D" w14:paraId="49D04923"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21" w14:textId="77777777" w:rsidR="00742F5F" w:rsidRPr="00953F7D" w:rsidRDefault="00742F5F" w:rsidP="009164E6">
            <w:pPr>
              <w:pStyle w:val="Default"/>
              <w:jc w:val="both"/>
            </w:pPr>
            <w:r w:rsidRPr="00953F7D">
              <w:t xml:space="preserve">3 </w:t>
            </w:r>
          </w:p>
        </w:tc>
        <w:tc>
          <w:tcPr>
            <w:tcW w:w="7513" w:type="dxa"/>
            <w:tcBorders>
              <w:top w:val="single" w:sz="8" w:space="0" w:color="000000"/>
              <w:left w:val="single" w:sz="8" w:space="0" w:color="000000"/>
              <w:bottom w:val="single" w:sz="8" w:space="0" w:color="000000"/>
            </w:tcBorders>
          </w:tcPr>
          <w:p w14:paraId="49D04922" w14:textId="77777777" w:rsidR="00742F5F" w:rsidRPr="00953F7D" w:rsidRDefault="00742F5F" w:rsidP="009164E6">
            <w:pPr>
              <w:pStyle w:val="Default"/>
              <w:jc w:val="both"/>
            </w:pPr>
            <w:r w:rsidRPr="00953F7D">
              <w:t xml:space="preserve">Governing law(s) of the instrument </w:t>
            </w:r>
          </w:p>
        </w:tc>
      </w:tr>
      <w:tr w:rsidR="00742F5F" w:rsidRPr="00953F7D" w14:paraId="49D04926"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24" w14:textId="77777777" w:rsidR="00742F5F" w:rsidRPr="00953F7D" w:rsidRDefault="00742F5F" w:rsidP="009164E6">
            <w:pPr>
              <w:pStyle w:val="Default"/>
              <w:jc w:val="both"/>
            </w:pPr>
          </w:p>
        </w:tc>
        <w:tc>
          <w:tcPr>
            <w:tcW w:w="7513" w:type="dxa"/>
            <w:tcBorders>
              <w:top w:val="single" w:sz="8" w:space="0" w:color="000000"/>
              <w:left w:val="single" w:sz="8" w:space="0" w:color="000000"/>
              <w:bottom w:val="single" w:sz="8" w:space="0" w:color="000000"/>
            </w:tcBorders>
          </w:tcPr>
          <w:p w14:paraId="49D04925" w14:textId="77777777" w:rsidR="00742F5F" w:rsidRPr="00953F7D" w:rsidRDefault="00742F5F" w:rsidP="009164E6">
            <w:pPr>
              <w:pStyle w:val="Default"/>
              <w:jc w:val="both"/>
              <w:rPr>
                <w:i/>
              </w:rPr>
            </w:pPr>
            <w:r w:rsidRPr="00953F7D">
              <w:rPr>
                <w:i/>
              </w:rPr>
              <w:t>Regulatory treatment</w:t>
            </w:r>
          </w:p>
        </w:tc>
      </w:tr>
      <w:tr w:rsidR="00742F5F" w:rsidRPr="00953F7D" w14:paraId="49D04929"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27" w14:textId="77777777" w:rsidR="00742F5F" w:rsidRPr="00953F7D" w:rsidRDefault="00742F5F" w:rsidP="009164E6">
            <w:pPr>
              <w:pStyle w:val="Default"/>
              <w:jc w:val="both"/>
            </w:pPr>
            <w:r w:rsidRPr="00953F7D">
              <w:t xml:space="preserve">4 </w:t>
            </w:r>
          </w:p>
        </w:tc>
        <w:tc>
          <w:tcPr>
            <w:tcW w:w="7513" w:type="dxa"/>
            <w:tcBorders>
              <w:top w:val="single" w:sz="8" w:space="0" w:color="000000"/>
              <w:left w:val="single" w:sz="8" w:space="0" w:color="000000"/>
              <w:bottom w:val="single" w:sz="8" w:space="0" w:color="000000"/>
            </w:tcBorders>
          </w:tcPr>
          <w:p w14:paraId="49D04928" w14:textId="77777777" w:rsidR="00742F5F" w:rsidRPr="00953F7D" w:rsidRDefault="00742F5F" w:rsidP="00A356A9">
            <w:pPr>
              <w:pStyle w:val="Default"/>
              <w:ind w:left="176" w:firstLine="0"/>
              <w:jc w:val="both"/>
            </w:pPr>
            <w:r w:rsidRPr="00953F7D">
              <w:t xml:space="preserve">Transitional Basel III rules </w:t>
            </w:r>
          </w:p>
        </w:tc>
      </w:tr>
      <w:tr w:rsidR="00742F5F" w:rsidRPr="00953F7D" w14:paraId="49D0492C"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2A" w14:textId="77777777" w:rsidR="00742F5F" w:rsidRPr="00953F7D" w:rsidRDefault="00742F5F" w:rsidP="009164E6">
            <w:pPr>
              <w:pStyle w:val="Default"/>
              <w:jc w:val="both"/>
            </w:pPr>
            <w:r w:rsidRPr="00953F7D">
              <w:t xml:space="preserve">5 </w:t>
            </w:r>
          </w:p>
        </w:tc>
        <w:tc>
          <w:tcPr>
            <w:tcW w:w="7513" w:type="dxa"/>
            <w:tcBorders>
              <w:top w:val="single" w:sz="8" w:space="0" w:color="000000"/>
              <w:left w:val="single" w:sz="8" w:space="0" w:color="000000"/>
              <w:bottom w:val="single" w:sz="8" w:space="0" w:color="000000"/>
            </w:tcBorders>
          </w:tcPr>
          <w:p w14:paraId="49D0492B" w14:textId="77777777" w:rsidR="00742F5F" w:rsidRPr="00953F7D" w:rsidRDefault="00742F5F" w:rsidP="00A356A9">
            <w:pPr>
              <w:pStyle w:val="Default"/>
              <w:ind w:left="176" w:firstLine="0"/>
              <w:jc w:val="both"/>
            </w:pPr>
            <w:r w:rsidRPr="00953F7D">
              <w:t xml:space="preserve">Post-transitional Basel III rules </w:t>
            </w:r>
          </w:p>
        </w:tc>
      </w:tr>
      <w:tr w:rsidR="00742F5F" w:rsidRPr="00953F7D" w14:paraId="49D0492F" w14:textId="77777777" w:rsidTr="009C3F64">
        <w:trPr>
          <w:trHeight w:val="50"/>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2D" w14:textId="77777777" w:rsidR="00742F5F" w:rsidRPr="00953F7D" w:rsidRDefault="00742F5F" w:rsidP="009164E6">
            <w:pPr>
              <w:pStyle w:val="Default"/>
              <w:jc w:val="both"/>
            </w:pPr>
            <w:r w:rsidRPr="00953F7D">
              <w:t xml:space="preserve">6 </w:t>
            </w:r>
          </w:p>
        </w:tc>
        <w:tc>
          <w:tcPr>
            <w:tcW w:w="7513" w:type="dxa"/>
            <w:tcBorders>
              <w:top w:val="single" w:sz="8" w:space="0" w:color="000000"/>
              <w:left w:val="single" w:sz="8" w:space="0" w:color="000000"/>
              <w:bottom w:val="single" w:sz="8" w:space="0" w:color="000000"/>
            </w:tcBorders>
          </w:tcPr>
          <w:p w14:paraId="49D0492E" w14:textId="77777777" w:rsidR="00742F5F" w:rsidRPr="00953F7D" w:rsidRDefault="00742F5F" w:rsidP="00A356A9">
            <w:pPr>
              <w:pStyle w:val="Default"/>
              <w:ind w:left="176" w:firstLine="0"/>
              <w:jc w:val="both"/>
            </w:pPr>
            <w:r w:rsidRPr="00953F7D">
              <w:t xml:space="preserve">Eligible at solo/group/group &amp; solo </w:t>
            </w:r>
          </w:p>
        </w:tc>
      </w:tr>
      <w:tr w:rsidR="00742F5F" w:rsidRPr="00953F7D" w14:paraId="49D04932"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30" w14:textId="77777777" w:rsidR="00742F5F" w:rsidRPr="00953F7D" w:rsidRDefault="00742F5F" w:rsidP="009164E6">
            <w:pPr>
              <w:pStyle w:val="Default"/>
              <w:jc w:val="both"/>
            </w:pPr>
            <w:r w:rsidRPr="00953F7D">
              <w:t xml:space="preserve">7 </w:t>
            </w:r>
          </w:p>
        </w:tc>
        <w:tc>
          <w:tcPr>
            <w:tcW w:w="7513" w:type="dxa"/>
            <w:tcBorders>
              <w:top w:val="single" w:sz="8" w:space="0" w:color="000000"/>
              <w:left w:val="single" w:sz="8" w:space="0" w:color="000000"/>
              <w:bottom w:val="single" w:sz="8" w:space="0" w:color="000000"/>
            </w:tcBorders>
          </w:tcPr>
          <w:p w14:paraId="49D04931" w14:textId="77777777" w:rsidR="00742F5F" w:rsidRPr="00953F7D" w:rsidRDefault="00742F5F" w:rsidP="00A356A9">
            <w:pPr>
              <w:pStyle w:val="Default"/>
              <w:ind w:left="176" w:firstLine="0"/>
              <w:jc w:val="both"/>
            </w:pPr>
            <w:r w:rsidRPr="00953F7D">
              <w:t xml:space="preserve">Instrument type (ordinary shares/preference shares/subordinated notes/other) </w:t>
            </w:r>
          </w:p>
        </w:tc>
      </w:tr>
      <w:tr w:rsidR="00742F5F" w:rsidRPr="00953F7D" w14:paraId="49D04935"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33" w14:textId="77777777" w:rsidR="00742F5F" w:rsidRPr="00953F7D" w:rsidRDefault="00742F5F" w:rsidP="009164E6">
            <w:pPr>
              <w:pStyle w:val="Default"/>
              <w:jc w:val="both"/>
            </w:pPr>
            <w:r w:rsidRPr="00953F7D">
              <w:t xml:space="preserve">8 </w:t>
            </w:r>
          </w:p>
        </w:tc>
        <w:tc>
          <w:tcPr>
            <w:tcW w:w="7513" w:type="dxa"/>
            <w:tcBorders>
              <w:top w:val="single" w:sz="8" w:space="0" w:color="000000"/>
              <w:left w:val="single" w:sz="8" w:space="0" w:color="000000"/>
              <w:bottom w:val="single" w:sz="8" w:space="0" w:color="000000"/>
            </w:tcBorders>
          </w:tcPr>
          <w:p w14:paraId="49D04934" w14:textId="77777777" w:rsidR="00742F5F" w:rsidRPr="00953F7D" w:rsidRDefault="00742F5F" w:rsidP="00A356A9">
            <w:pPr>
              <w:pStyle w:val="Default"/>
              <w:ind w:left="34" w:hanging="34"/>
              <w:jc w:val="both"/>
            </w:pPr>
            <w:r w:rsidRPr="00953F7D">
              <w:t xml:space="preserve">Amount recognised in Regulatory Capital (Currency in mil, as of most recent reporting date) </w:t>
            </w:r>
          </w:p>
        </w:tc>
      </w:tr>
      <w:tr w:rsidR="00742F5F" w:rsidRPr="00953F7D" w14:paraId="49D04938"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36" w14:textId="77777777" w:rsidR="00742F5F" w:rsidRPr="00953F7D" w:rsidRDefault="00742F5F" w:rsidP="009164E6">
            <w:pPr>
              <w:pStyle w:val="Default"/>
              <w:jc w:val="both"/>
            </w:pPr>
            <w:r w:rsidRPr="00953F7D">
              <w:t xml:space="preserve">9 </w:t>
            </w:r>
          </w:p>
        </w:tc>
        <w:tc>
          <w:tcPr>
            <w:tcW w:w="7513" w:type="dxa"/>
            <w:tcBorders>
              <w:top w:val="single" w:sz="8" w:space="0" w:color="000000"/>
              <w:left w:val="single" w:sz="8" w:space="0" w:color="000000"/>
              <w:bottom w:val="single" w:sz="8" w:space="0" w:color="000000"/>
            </w:tcBorders>
          </w:tcPr>
          <w:p w14:paraId="49D04937" w14:textId="77777777" w:rsidR="00742F5F" w:rsidRPr="00953F7D" w:rsidRDefault="00742F5F" w:rsidP="009164E6">
            <w:pPr>
              <w:pStyle w:val="Default"/>
              <w:jc w:val="both"/>
            </w:pPr>
            <w:r w:rsidRPr="00953F7D">
              <w:t xml:space="preserve">Par value of instrument </w:t>
            </w:r>
          </w:p>
        </w:tc>
      </w:tr>
      <w:tr w:rsidR="00742F5F" w:rsidRPr="00953F7D" w14:paraId="49D0493B"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39" w14:textId="77777777" w:rsidR="00742F5F" w:rsidRPr="00953F7D" w:rsidRDefault="00742F5F" w:rsidP="009164E6">
            <w:pPr>
              <w:pStyle w:val="Default"/>
              <w:jc w:val="both"/>
            </w:pPr>
            <w:r w:rsidRPr="00953F7D">
              <w:t xml:space="preserve">10 </w:t>
            </w:r>
          </w:p>
        </w:tc>
        <w:tc>
          <w:tcPr>
            <w:tcW w:w="7513" w:type="dxa"/>
            <w:tcBorders>
              <w:top w:val="single" w:sz="8" w:space="0" w:color="000000"/>
              <w:left w:val="single" w:sz="8" w:space="0" w:color="000000"/>
              <w:bottom w:val="single" w:sz="8" w:space="0" w:color="000000"/>
            </w:tcBorders>
          </w:tcPr>
          <w:p w14:paraId="49D0493A" w14:textId="77777777" w:rsidR="00742F5F" w:rsidRPr="00953F7D" w:rsidRDefault="00742F5F" w:rsidP="009164E6">
            <w:pPr>
              <w:pStyle w:val="Default"/>
              <w:jc w:val="both"/>
            </w:pPr>
            <w:r w:rsidRPr="00953F7D">
              <w:t xml:space="preserve">Accounting classification </w:t>
            </w:r>
          </w:p>
        </w:tc>
      </w:tr>
      <w:tr w:rsidR="00742F5F" w:rsidRPr="00953F7D" w14:paraId="49D0493E"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3C" w14:textId="77777777" w:rsidR="00742F5F" w:rsidRPr="00953F7D" w:rsidRDefault="00742F5F" w:rsidP="009164E6">
            <w:pPr>
              <w:pStyle w:val="Default"/>
              <w:jc w:val="both"/>
            </w:pPr>
            <w:r w:rsidRPr="00953F7D">
              <w:t xml:space="preserve">11 </w:t>
            </w:r>
          </w:p>
        </w:tc>
        <w:tc>
          <w:tcPr>
            <w:tcW w:w="7513" w:type="dxa"/>
            <w:tcBorders>
              <w:top w:val="single" w:sz="8" w:space="0" w:color="000000"/>
              <w:left w:val="single" w:sz="8" w:space="0" w:color="000000"/>
              <w:bottom w:val="single" w:sz="8" w:space="0" w:color="000000"/>
            </w:tcBorders>
          </w:tcPr>
          <w:p w14:paraId="49D0493D" w14:textId="77777777" w:rsidR="00742F5F" w:rsidRPr="00953F7D" w:rsidRDefault="00742F5F" w:rsidP="009164E6">
            <w:pPr>
              <w:pStyle w:val="Default"/>
              <w:jc w:val="both"/>
            </w:pPr>
            <w:r w:rsidRPr="00953F7D">
              <w:t xml:space="preserve">Original date of issuance </w:t>
            </w:r>
          </w:p>
        </w:tc>
      </w:tr>
      <w:tr w:rsidR="00742F5F" w:rsidRPr="00953F7D" w14:paraId="49D04941"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3F" w14:textId="77777777" w:rsidR="00742F5F" w:rsidRPr="00953F7D" w:rsidRDefault="00742F5F" w:rsidP="009164E6">
            <w:pPr>
              <w:pStyle w:val="Default"/>
              <w:jc w:val="both"/>
            </w:pPr>
            <w:r w:rsidRPr="00953F7D">
              <w:t xml:space="preserve">12 </w:t>
            </w:r>
          </w:p>
        </w:tc>
        <w:tc>
          <w:tcPr>
            <w:tcW w:w="7513" w:type="dxa"/>
            <w:tcBorders>
              <w:top w:val="single" w:sz="8" w:space="0" w:color="000000"/>
              <w:left w:val="single" w:sz="8" w:space="0" w:color="000000"/>
              <w:bottom w:val="single" w:sz="8" w:space="0" w:color="000000"/>
            </w:tcBorders>
          </w:tcPr>
          <w:p w14:paraId="49D04940" w14:textId="77777777" w:rsidR="00742F5F" w:rsidRPr="00953F7D" w:rsidRDefault="00742F5F" w:rsidP="009164E6">
            <w:pPr>
              <w:pStyle w:val="Default"/>
              <w:jc w:val="both"/>
            </w:pPr>
            <w:r w:rsidRPr="00953F7D">
              <w:t xml:space="preserve">Perpetual or dated </w:t>
            </w:r>
          </w:p>
        </w:tc>
      </w:tr>
      <w:tr w:rsidR="00742F5F" w:rsidRPr="00953F7D" w14:paraId="49D04944"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42" w14:textId="77777777" w:rsidR="00742F5F" w:rsidRPr="00953F7D" w:rsidRDefault="00742F5F" w:rsidP="009164E6">
            <w:pPr>
              <w:pStyle w:val="Default"/>
              <w:jc w:val="both"/>
            </w:pPr>
            <w:r w:rsidRPr="00953F7D">
              <w:t xml:space="preserve">13 </w:t>
            </w:r>
          </w:p>
        </w:tc>
        <w:tc>
          <w:tcPr>
            <w:tcW w:w="7513" w:type="dxa"/>
            <w:tcBorders>
              <w:top w:val="single" w:sz="8" w:space="0" w:color="000000"/>
              <w:left w:val="single" w:sz="8" w:space="0" w:color="000000"/>
              <w:bottom w:val="single" w:sz="8" w:space="0" w:color="000000"/>
            </w:tcBorders>
          </w:tcPr>
          <w:p w14:paraId="49D04943" w14:textId="77777777" w:rsidR="00742F5F" w:rsidRPr="00953F7D" w:rsidRDefault="00742F5F" w:rsidP="0069763E">
            <w:pPr>
              <w:pStyle w:val="Default"/>
              <w:ind w:left="317" w:firstLine="0"/>
              <w:jc w:val="both"/>
            </w:pPr>
            <w:r w:rsidRPr="00953F7D">
              <w:t xml:space="preserve">Original maturity date </w:t>
            </w:r>
          </w:p>
        </w:tc>
      </w:tr>
      <w:tr w:rsidR="00742F5F" w:rsidRPr="00953F7D" w14:paraId="49D04947"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45" w14:textId="77777777" w:rsidR="00742F5F" w:rsidRPr="00953F7D" w:rsidRDefault="00742F5F" w:rsidP="009164E6">
            <w:pPr>
              <w:pStyle w:val="Default"/>
              <w:jc w:val="both"/>
            </w:pPr>
            <w:r w:rsidRPr="00953F7D">
              <w:t xml:space="preserve">14 </w:t>
            </w:r>
          </w:p>
        </w:tc>
        <w:tc>
          <w:tcPr>
            <w:tcW w:w="7513" w:type="dxa"/>
            <w:tcBorders>
              <w:top w:val="single" w:sz="8" w:space="0" w:color="000000"/>
              <w:left w:val="single" w:sz="8" w:space="0" w:color="000000"/>
              <w:bottom w:val="single" w:sz="8" w:space="0" w:color="000000"/>
            </w:tcBorders>
          </w:tcPr>
          <w:p w14:paraId="49D04946" w14:textId="77777777" w:rsidR="00742F5F" w:rsidRPr="00953F7D" w:rsidRDefault="00742F5F" w:rsidP="009164E6">
            <w:pPr>
              <w:pStyle w:val="Default"/>
              <w:jc w:val="both"/>
            </w:pPr>
            <w:r w:rsidRPr="00953F7D">
              <w:t xml:space="preserve">Issuer call subject to prior supervisory approval </w:t>
            </w:r>
          </w:p>
        </w:tc>
      </w:tr>
      <w:tr w:rsidR="00742F5F" w:rsidRPr="00953F7D" w14:paraId="49D0494A"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48" w14:textId="77777777" w:rsidR="00742F5F" w:rsidRPr="00953F7D" w:rsidRDefault="00742F5F" w:rsidP="009164E6">
            <w:pPr>
              <w:pStyle w:val="Default"/>
              <w:jc w:val="both"/>
            </w:pPr>
            <w:r w:rsidRPr="00953F7D">
              <w:t xml:space="preserve">15 </w:t>
            </w:r>
          </w:p>
        </w:tc>
        <w:tc>
          <w:tcPr>
            <w:tcW w:w="7513" w:type="dxa"/>
            <w:tcBorders>
              <w:top w:val="single" w:sz="8" w:space="0" w:color="000000"/>
              <w:left w:val="single" w:sz="8" w:space="0" w:color="000000"/>
              <w:bottom w:val="single" w:sz="8" w:space="0" w:color="000000"/>
            </w:tcBorders>
          </w:tcPr>
          <w:p w14:paraId="49D04949" w14:textId="77777777" w:rsidR="00742F5F" w:rsidRPr="00953F7D" w:rsidRDefault="00742F5F" w:rsidP="0069763E">
            <w:pPr>
              <w:pStyle w:val="Default"/>
              <w:ind w:left="317" w:firstLine="0"/>
              <w:jc w:val="both"/>
            </w:pPr>
            <w:r w:rsidRPr="00953F7D">
              <w:t xml:space="preserve">Optional call date, contingent call dates and redemption amount </w:t>
            </w:r>
          </w:p>
        </w:tc>
      </w:tr>
      <w:tr w:rsidR="00742F5F" w:rsidRPr="00953F7D" w14:paraId="49D0494D"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4B" w14:textId="77777777" w:rsidR="00742F5F" w:rsidRPr="00953F7D" w:rsidRDefault="00742F5F" w:rsidP="009164E6">
            <w:pPr>
              <w:pStyle w:val="Default"/>
              <w:jc w:val="both"/>
            </w:pPr>
            <w:r w:rsidRPr="00953F7D">
              <w:t xml:space="preserve">16 </w:t>
            </w:r>
          </w:p>
        </w:tc>
        <w:tc>
          <w:tcPr>
            <w:tcW w:w="7513" w:type="dxa"/>
            <w:tcBorders>
              <w:top w:val="single" w:sz="8" w:space="0" w:color="000000"/>
              <w:left w:val="single" w:sz="8" w:space="0" w:color="000000"/>
              <w:bottom w:val="single" w:sz="8" w:space="0" w:color="000000"/>
            </w:tcBorders>
          </w:tcPr>
          <w:p w14:paraId="49D0494C" w14:textId="77777777" w:rsidR="00742F5F" w:rsidRPr="00953F7D" w:rsidRDefault="00742F5F" w:rsidP="0069763E">
            <w:pPr>
              <w:pStyle w:val="Default"/>
              <w:ind w:left="317" w:firstLine="0"/>
              <w:jc w:val="both"/>
            </w:pPr>
            <w:r w:rsidRPr="00953F7D">
              <w:t xml:space="preserve">Subsequent call dates, if applicable </w:t>
            </w:r>
          </w:p>
        </w:tc>
      </w:tr>
      <w:tr w:rsidR="00742F5F" w:rsidRPr="00953F7D" w14:paraId="49D04950"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4E" w14:textId="77777777" w:rsidR="00742F5F" w:rsidRPr="00953F7D" w:rsidRDefault="00742F5F" w:rsidP="009164E6">
            <w:pPr>
              <w:pStyle w:val="Default"/>
              <w:jc w:val="both"/>
            </w:pPr>
          </w:p>
        </w:tc>
        <w:tc>
          <w:tcPr>
            <w:tcW w:w="7513" w:type="dxa"/>
            <w:tcBorders>
              <w:top w:val="single" w:sz="8" w:space="0" w:color="000000"/>
              <w:left w:val="single" w:sz="8" w:space="0" w:color="000000"/>
              <w:bottom w:val="single" w:sz="8" w:space="0" w:color="000000"/>
            </w:tcBorders>
          </w:tcPr>
          <w:p w14:paraId="49D0494F" w14:textId="77777777" w:rsidR="00742F5F" w:rsidRPr="00953F7D" w:rsidRDefault="00742F5F" w:rsidP="009164E6">
            <w:pPr>
              <w:pStyle w:val="Default"/>
              <w:jc w:val="both"/>
              <w:rPr>
                <w:i/>
              </w:rPr>
            </w:pPr>
            <w:r w:rsidRPr="00953F7D">
              <w:rPr>
                <w:i/>
              </w:rPr>
              <w:t>Coupons/dividends</w:t>
            </w:r>
          </w:p>
        </w:tc>
      </w:tr>
      <w:tr w:rsidR="00742F5F" w:rsidRPr="00953F7D" w14:paraId="49D04953"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51" w14:textId="77777777" w:rsidR="00742F5F" w:rsidRPr="00953F7D" w:rsidRDefault="00742F5F" w:rsidP="009164E6">
            <w:pPr>
              <w:pStyle w:val="Default"/>
              <w:jc w:val="both"/>
            </w:pPr>
            <w:r w:rsidRPr="00953F7D">
              <w:t xml:space="preserve">17 </w:t>
            </w:r>
          </w:p>
        </w:tc>
        <w:tc>
          <w:tcPr>
            <w:tcW w:w="7513" w:type="dxa"/>
            <w:tcBorders>
              <w:top w:val="single" w:sz="8" w:space="0" w:color="000000"/>
              <w:left w:val="single" w:sz="8" w:space="0" w:color="000000"/>
              <w:bottom w:val="single" w:sz="8" w:space="0" w:color="000000"/>
            </w:tcBorders>
          </w:tcPr>
          <w:p w14:paraId="49D04952" w14:textId="77777777" w:rsidR="00742F5F" w:rsidRPr="00953F7D" w:rsidRDefault="00742F5F" w:rsidP="0069763E">
            <w:pPr>
              <w:pStyle w:val="Default"/>
              <w:ind w:left="317" w:firstLine="0"/>
              <w:jc w:val="both"/>
            </w:pPr>
            <w:r w:rsidRPr="00953F7D">
              <w:t xml:space="preserve">Fixed or floating dividend/coupon </w:t>
            </w:r>
          </w:p>
        </w:tc>
      </w:tr>
      <w:tr w:rsidR="00742F5F" w:rsidRPr="00953F7D" w14:paraId="49D04956"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54" w14:textId="77777777" w:rsidR="00742F5F" w:rsidRPr="00953F7D" w:rsidRDefault="00742F5F" w:rsidP="009164E6">
            <w:pPr>
              <w:pStyle w:val="Default"/>
              <w:jc w:val="both"/>
            </w:pPr>
            <w:r w:rsidRPr="00953F7D">
              <w:t xml:space="preserve">18 </w:t>
            </w:r>
          </w:p>
        </w:tc>
        <w:tc>
          <w:tcPr>
            <w:tcW w:w="7513" w:type="dxa"/>
            <w:tcBorders>
              <w:top w:val="single" w:sz="8" w:space="0" w:color="000000"/>
              <w:left w:val="single" w:sz="8" w:space="0" w:color="000000"/>
              <w:bottom w:val="single" w:sz="8" w:space="0" w:color="000000"/>
            </w:tcBorders>
          </w:tcPr>
          <w:p w14:paraId="49D04955" w14:textId="77777777" w:rsidR="00742F5F" w:rsidRPr="00953F7D" w:rsidRDefault="00742F5F" w:rsidP="0069763E">
            <w:pPr>
              <w:pStyle w:val="Default"/>
              <w:ind w:left="317" w:firstLine="0"/>
              <w:jc w:val="both"/>
            </w:pPr>
            <w:r w:rsidRPr="00953F7D">
              <w:t xml:space="preserve">Coupon rate and any related index </w:t>
            </w:r>
          </w:p>
        </w:tc>
      </w:tr>
      <w:tr w:rsidR="00742F5F" w:rsidRPr="00953F7D" w14:paraId="49D04959"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57" w14:textId="77777777" w:rsidR="00742F5F" w:rsidRPr="00953F7D" w:rsidRDefault="00742F5F" w:rsidP="009164E6">
            <w:pPr>
              <w:pStyle w:val="Default"/>
              <w:jc w:val="both"/>
            </w:pPr>
            <w:r w:rsidRPr="00953F7D">
              <w:t xml:space="preserve">19 </w:t>
            </w:r>
          </w:p>
        </w:tc>
        <w:tc>
          <w:tcPr>
            <w:tcW w:w="7513" w:type="dxa"/>
            <w:tcBorders>
              <w:top w:val="single" w:sz="8" w:space="0" w:color="000000"/>
              <w:left w:val="single" w:sz="8" w:space="0" w:color="000000"/>
              <w:bottom w:val="single" w:sz="8" w:space="0" w:color="000000"/>
            </w:tcBorders>
          </w:tcPr>
          <w:p w14:paraId="49D04958" w14:textId="77777777" w:rsidR="00742F5F" w:rsidRPr="00953F7D" w:rsidRDefault="00742F5F" w:rsidP="0069763E">
            <w:pPr>
              <w:pStyle w:val="Default"/>
              <w:ind w:left="317" w:firstLine="0"/>
              <w:jc w:val="both"/>
            </w:pPr>
            <w:r w:rsidRPr="00953F7D">
              <w:t xml:space="preserve">Existence of a dividend stopper </w:t>
            </w:r>
          </w:p>
        </w:tc>
      </w:tr>
      <w:tr w:rsidR="00742F5F" w:rsidRPr="00953F7D" w14:paraId="49D0495C"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5A" w14:textId="77777777" w:rsidR="00742F5F" w:rsidRPr="00953F7D" w:rsidRDefault="00742F5F" w:rsidP="009164E6">
            <w:pPr>
              <w:pStyle w:val="Default"/>
              <w:jc w:val="both"/>
            </w:pPr>
            <w:r w:rsidRPr="00953F7D">
              <w:t xml:space="preserve">20 </w:t>
            </w:r>
          </w:p>
        </w:tc>
        <w:tc>
          <w:tcPr>
            <w:tcW w:w="7513" w:type="dxa"/>
            <w:tcBorders>
              <w:top w:val="single" w:sz="8" w:space="0" w:color="000000"/>
              <w:left w:val="single" w:sz="8" w:space="0" w:color="000000"/>
              <w:bottom w:val="single" w:sz="8" w:space="0" w:color="000000"/>
            </w:tcBorders>
          </w:tcPr>
          <w:p w14:paraId="49D0495B" w14:textId="77777777" w:rsidR="00742F5F" w:rsidRPr="00953F7D" w:rsidRDefault="00742F5F" w:rsidP="0069763E">
            <w:pPr>
              <w:pStyle w:val="Default"/>
              <w:ind w:left="317" w:firstLine="0"/>
              <w:jc w:val="both"/>
            </w:pPr>
            <w:r w:rsidRPr="00953F7D">
              <w:t xml:space="preserve">Fully discretionary, partially discretionary or mandatory </w:t>
            </w:r>
          </w:p>
        </w:tc>
      </w:tr>
      <w:tr w:rsidR="00742F5F" w:rsidRPr="00953F7D" w14:paraId="49D0495F"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5D" w14:textId="77777777" w:rsidR="00742F5F" w:rsidRPr="00953F7D" w:rsidRDefault="00742F5F" w:rsidP="009164E6">
            <w:pPr>
              <w:pStyle w:val="Default"/>
              <w:jc w:val="both"/>
            </w:pPr>
            <w:r w:rsidRPr="00953F7D">
              <w:t xml:space="preserve">21 </w:t>
            </w:r>
          </w:p>
        </w:tc>
        <w:tc>
          <w:tcPr>
            <w:tcW w:w="7513" w:type="dxa"/>
            <w:tcBorders>
              <w:top w:val="single" w:sz="8" w:space="0" w:color="000000"/>
              <w:left w:val="single" w:sz="8" w:space="0" w:color="000000"/>
              <w:bottom w:val="single" w:sz="8" w:space="0" w:color="000000"/>
            </w:tcBorders>
          </w:tcPr>
          <w:p w14:paraId="49D0495E" w14:textId="77777777" w:rsidR="00742F5F" w:rsidRPr="00953F7D" w:rsidRDefault="00742F5F" w:rsidP="0069763E">
            <w:pPr>
              <w:pStyle w:val="Default"/>
              <w:ind w:left="317" w:firstLine="0"/>
              <w:jc w:val="both"/>
            </w:pPr>
            <w:r w:rsidRPr="00953F7D">
              <w:t xml:space="preserve">Existence of step up or other incentive to redeem </w:t>
            </w:r>
          </w:p>
        </w:tc>
      </w:tr>
      <w:tr w:rsidR="00742F5F" w:rsidRPr="00953F7D" w14:paraId="49D04962"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60" w14:textId="77777777" w:rsidR="00742F5F" w:rsidRPr="00953F7D" w:rsidRDefault="00742F5F" w:rsidP="009164E6">
            <w:pPr>
              <w:pStyle w:val="Default"/>
              <w:jc w:val="both"/>
            </w:pPr>
            <w:r w:rsidRPr="00953F7D">
              <w:t xml:space="preserve">22 </w:t>
            </w:r>
          </w:p>
        </w:tc>
        <w:tc>
          <w:tcPr>
            <w:tcW w:w="7513" w:type="dxa"/>
            <w:tcBorders>
              <w:top w:val="single" w:sz="8" w:space="0" w:color="000000"/>
              <w:left w:val="single" w:sz="8" w:space="0" w:color="000000"/>
              <w:bottom w:val="single" w:sz="8" w:space="0" w:color="000000"/>
            </w:tcBorders>
          </w:tcPr>
          <w:p w14:paraId="49D04961" w14:textId="77777777" w:rsidR="00742F5F" w:rsidRPr="00953F7D" w:rsidRDefault="00742F5F" w:rsidP="0069763E">
            <w:pPr>
              <w:pStyle w:val="Default"/>
              <w:ind w:left="317" w:firstLine="0"/>
              <w:jc w:val="both"/>
            </w:pPr>
            <w:r w:rsidRPr="00953F7D">
              <w:t xml:space="preserve">Noncumulative or cumulative </w:t>
            </w:r>
          </w:p>
        </w:tc>
      </w:tr>
      <w:tr w:rsidR="00742F5F" w:rsidRPr="00953F7D" w14:paraId="49D04965"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63" w14:textId="77777777" w:rsidR="00742F5F" w:rsidRPr="00953F7D" w:rsidRDefault="00742F5F" w:rsidP="009164E6">
            <w:pPr>
              <w:pStyle w:val="Default"/>
              <w:jc w:val="both"/>
            </w:pPr>
            <w:r w:rsidRPr="00953F7D">
              <w:t xml:space="preserve">23 </w:t>
            </w:r>
          </w:p>
        </w:tc>
        <w:tc>
          <w:tcPr>
            <w:tcW w:w="7513" w:type="dxa"/>
            <w:tcBorders>
              <w:top w:val="single" w:sz="8" w:space="0" w:color="000000"/>
              <w:left w:val="single" w:sz="8" w:space="0" w:color="000000"/>
              <w:bottom w:val="single" w:sz="8" w:space="0" w:color="000000"/>
            </w:tcBorders>
          </w:tcPr>
          <w:p w14:paraId="49D04964" w14:textId="77777777" w:rsidR="00742F5F" w:rsidRPr="00953F7D" w:rsidRDefault="00742F5F" w:rsidP="009164E6">
            <w:pPr>
              <w:pStyle w:val="Default"/>
              <w:jc w:val="both"/>
            </w:pPr>
            <w:r w:rsidRPr="00953F7D">
              <w:t xml:space="preserve">Convertible or non-convertible </w:t>
            </w:r>
          </w:p>
        </w:tc>
      </w:tr>
      <w:tr w:rsidR="00742F5F" w:rsidRPr="00953F7D" w14:paraId="49D04968"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66" w14:textId="77777777" w:rsidR="00742F5F" w:rsidRPr="00953F7D" w:rsidRDefault="00742F5F" w:rsidP="009164E6">
            <w:pPr>
              <w:pStyle w:val="Default"/>
              <w:jc w:val="both"/>
            </w:pPr>
            <w:r w:rsidRPr="00953F7D">
              <w:t xml:space="preserve">24 </w:t>
            </w:r>
          </w:p>
        </w:tc>
        <w:tc>
          <w:tcPr>
            <w:tcW w:w="7513" w:type="dxa"/>
            <w:tcBorders>
              <w:top w:val="single" w:sz="8" w:space="0" w:color="000000"/>
              <w:left w:val="single" w:sz="8" w:space="0" w:color="000000"/>
              <w:bottom w:val="single" w:sz="8" w:space="0" w:color="000000"/>
            </w:tcBorders>
          </w:tcPr>
          <w:p w14:paraId="49D04967" w14:textId="77777777" w:rsidR="00742F5F" w:rsidRPr="00953F7D" w:rsidRDefault="00742F5F" w:rsidP="0069763E">
            <w:pPr>
              <w:pStyle w:val="Default"/>
              <w:ind w:left="317" w:firstLine="0"/>
              <w:jc w:val="both"/>
            </w:pPr>
            <w:r w:rsidRPr="00953F7D">
              <w:t xml:space="preserve">If convertible, conversion trigger (s) </w:t>
            </w:r>
          </w:p>
        </w:tc>
      </w:tr>
      <w:tr w:rsidR="00742F5F" w:rsidRPr="00953F7D" w14:paraId="49D0496B"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69" w14:textId="77777777" w:rsidR="00742F5F" w:rsidRPr="00953F7D" w:rsidRDefault="00742F5F" w:rsidP="009164E6">
            <w:pPr>
              <w:pStyle w:val="Default"/>
              <w:jc w:val="both"/>
            </w:pPr>
            <w:r w:rsidRPr="00953F7D">
              <w:t xml:space="preserve">25 </w:t>
            </w:r>
          </w:p>
        </w:tc>
        <w:tc>
          <w:tcPr>
            <w:tcW w:w="7513" w:type="dxa"/>
            <w:tcBorders>
              <w:top w:val="single" w:sz="8" w:space="0" w:color="000000"/>
              <w:left w:val="single" w:sz="8" w:space="0" w:color="000000"/>
              <w:bottom w:val="single" w:sz="8" w:space="0" w:color="000000"/>
            </w:tcBorders>
          </w:tcPr>
          <w:p w14:paraId="49D0496A" w14:textId="77777777" w:rsidR="00742F5F" w:rsidRPr="00953F7D" w:rsidRDefault="00742F5F" w:rsidP="0069763E">
            <w:pPr>
              <w:pStyle w:val="Default"/>
              <w:ind w:left="317" w:firstLine="0"/>
              <w:jc w:val="both"/>
            </w:pPr>
            <w:r w:rsidRPr="00953F7D">
              <w:t xml:space="preserve">If convertible, fully or partially </w:t>
            </w:r>
          </w:p>
        </w:tc>
      </w:tr>
      <w:tr w:rsidR="00742F5F" w:rsidRPr="00953F7D" w14:paraId="49D0496E"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6C" w14:textId="77777777" w:rsidR="00742F5F" w:rsidRPr="00953F7D" w:rsidRDefault="00742F5F" w:rsidP="009164E6">
            <w:pPr>
              <w:pStyle w:val="Default"/>
              <w:jc w:val="both"/>
            </w:pPr>
            <w:r w:rsidRPr="00953F7D">
              <w:t xml:space="preserve">26 </w:t>
            </w:r>
          </w:p>
        </w:tc>
        <w:tc>
          <w:tcPr>
            <w:tcW w:w="7513" w:type="dxa"/>
            <w:tcBorders>
              <w:top w:val="single" w:sz="8" w:space="0" w:color="000000"/>
              <w:left w:val="single" w:sz="8" w:space="0" w:color="000000"/>
              <w:bottom w:val="single" w:sz="8" w:space="0" w:color="000000"/>
            </w:tcBorders>
          </w:tcPr>
          <w:p w14:paraId="49D0496D" w14:textId="77777777" w:rsidR="00742F5F" w:rsidRPr="00953F7D" w:rsidRDefault="00742F5F" w:rsidP="0069763E">
            <w:pPr>
              <w:pStyle w:val="Default"/>
              <w:ind w:left="317" w:firstLine="0"/>
              <w:jc w:val="both"/>
            </w:pPr>
            <w:r w:rsidRPr="00953F7D">
              <w:t xml:space="preserve">If convertible, conversion rate </w:t>
            </w:r>
          </w:p>
        </w:tc>
      </w:tr>
      <w:tr w:rsidR="00742F5F" w:rsidRPr="00953F7D" w14:paraId="49D04971"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6F" w14:textId="77777777" w:rsidR="00742F5F" w:rsidRPr="00953F7D" w:rsidRDefault="00742F5F" w:rsidP="009164E6">
            <w:pPr>
              <w:pStyle w:val="Default"/>
              <w:jc w:val="both"/>
            </w:pPr>
            <w:r w:rsidRPr="00953F7D">
              <w:t xml:space="preserve">27 </w:t>
            </w:r>
          </w:p>
        </w:tc>
        <w:tc>
          <w:tcPr>
            <w:tcW w:w="7513" w:type="dxa"/>
            <w:tcBorders>
              <w:top w:val="single" w:sz="8" w:space="0" w:color="000000"/>
              <w:left w:val="single" w:sz="8" w:space="0" w:color="000000"/>
              <w:bottom w:val="single" w:sz="8" w:space="0" w:color="000000"/>
            </w:tcBorders>
          </w:tcPr>
          <w:p w14:paraId="49D04970" w14:textId="77777777" w:rsidR="00742F5F" w:rsidRPr="00953F7D" w:rsidRDefault="00742F5F" w:rsidP="0069763E">
            <w:pPr>
              <w:pStyle w:val="Default"/>
              <w:ind w:left="317" w:firstLine="0"/>
              <w:jc w:val="both"/>
            </w:pPr>
            <w:r w:rsidRPr="00953F7D">
              <w:t xml:space="preserve">If convertible, mandatory or optional conversion </w:t>
            </w:r>
          </w:p>
        </w:tc>
      </w:tr>
      <w:tr w:rsidR="00742F5F" w:rsidRPr="00953F7D" w14:paraId="49D04974"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72" w14:textId="77777777" w:rsidR="00742F5F" w:rsidRPr="00953F7D" w:rsidRDefault="00742F5F" w:rsidP="009164E6">
            <w:pPr>
              <w:pStyle w:val="Default"/>
              <w:jc w:val="both"/>
            </w:pPr>
            <w:r w:rsidRPr="00953F7D">
              <w:t xml:space="preserve">28 </w:t>
            </w:r>
          </w:p>
        </w:tc>
        <w:tc>
          <w:tcPr>
            <w:tcW w:w="7513" w:type="dxa"/>
            <w:tcBorders>
              <w:top w:val="single" w:sz="8" w:space="0" w:color="000000"/>
              <w:left w:val="single" w:sz="8" w:space="0" w:color="000000"/>
              <w:bottom w:val="single" w:sz="8" w:space="0" w:color="000000"/>
            </w:tcBorders>
          </w:tcPr>
          <w:p w14:paraId="49D04973" w14:textId="77777777" w:rsidR="00742F5F" w:rsidRPr="00953F7D" w:rsidRDefault="00742F5F" w:rsidP="0069763E">
            <w:pPr>
              <w:pStyle w:val="Default"/>
              <w:ind w:left="317" w:firstLine="0"/>
              <w:jc w:val="both"/>
            </w:pPr>
            <w:r w:rsidRPr="00953F7D">
              <w:t xml:space="preserve">If convertible, specify instrument type convertible into </w:t>
            </w:r>
          </w:p>
        </w:tc>
      </w:tr>
      <w:tr w:rsidR="00742F5F" w:rsidRPr="00953F7D" w14:paraId="49D04977"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75" w14:textId="77777777" w:rsidR="00742F5F" w:rsidRPr="00953F7D" w:rsidRDefault="00742F5F" w:rsidP="009164E6">
            <w:pPr>
              <w:pStyle w:val="Default"/>
              <w:jc w:val="both"/>
            </w:pPr>
            <w:r w:rsidRPr="00953F7D">
              <w:t xml:space="preserve">29 </w:t>
            </w:r>
          </w:p>
        </w:tc>
        <w:tc>
          <w:tcPr>
            <w:tcW w:w="7513" w:type="dxa"/>
            <w:tcBorders>
              <w:top w:val="single" w:sz="8" w:space="0" w:color="000000"/>
              <w:left w:val="single" w:sz="8" w:space="0" w:color="000000"/>
              <w:bottom w:val="single" w:sz="8" w:space="0" w:color="000000"/>
            </w:tcBorders>
          </w:tcPr>
          <w:p w14:paraId="49D04976" w14:textId="77777777" w:rsidR="00742F5F" w:rsidRPr="00953F7D" w:rsidRDefault="00742F5F" w:rsidP="0069763E">
            <w:pPr>
              <w:pStyle w:val="Default"/>
              <w:ind w:left="317" w:firstLine="0"/>
              <w:jc w:val="both"/>
            </w:pPr>
            <w:r w:rsidRPr="00953F7D">
              <w:t xml:space="preserve">If convertible, specify issuer of instrument it converts into </w:t>
            </w:r>
          </w:p>
        </w:tc>
      </w:tr>
      <w:tr w:rsidR="00742F5F" w:rsidRPr="00953F7D" w14:paraId="49D0497A"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78" w14:textId="77777777" w:rsidR="00742F5F" w:rsidRPr="00953F7D" w:rsidRDefault="00742F5F" w:rsidP="009164E6">
            <w:pPr>
              <w:pStyle w:val="Default"/>
              <w:jc w:val="both"/>
            </w:pPr>
            <w:r w:rsidRPr="00953F7D">
              <w:t xml:space="preserve">30 </w:t>
            </w:r>
          </w:p>
        </w:tc>
        <w:tc>
          <w:tcPr>
            <w:tcW w:w="7513" w:type="dxa"/>
            <w:tcBorders>
              <w:top w:val="single" w:sz="8" w:space="0" w:color="000000"/>
              <w:left w:val="single" w:sz="8" w:space="0" w:color="000000"/>
              <w:bottom w:val="single" w:sz="8" w:space="0" w:color="000000"/>
            </w:tcBorders>
          </w:tcPr>
          <w:p w14:paraId="49D04979" w14:textId="77777777" w:rsidR="00742F5F" w:rsidRPr="00953F7D" w:rsidRDefault="00742F5F" w:rsidP="009164E6">
            <w:pPr>
              <w:pStyle w:val="Default"/>
              <w:jc w:val="both"/>
            </w:pPr>
            <w:r w:rsidRPr="00953F7D">
              <w:t xml:space="preserve">Write-down feature </w:t>
            </w:r>
          </w:p>
        </w:tc>
      </w:tr>
      <w:tr w:rsidR="00742F5F" w:rsidRPr="00953F7D" w14:paraId="49D0497D"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7B" w14:textId="77777777" w:rsidR="00742F5F" w:rsidRPr="00953F7D" w:rsidRDefault="00742F5F" w:rsidP="009164E6">
            <w:pPr>
              <w:pStyle w:val="Default"/>
              <w:jc w:val="both"/>
            </w:pPr>
            <w:r w:rsidRPr="00953F7D">
              <w:t xml:space="preserve">31 </w:t>
            </w:r>
          </w:p>
        </w:tc>
        <w:tc>
          <w:tcPr>
            <w:tcW w:w="7513" w:type="dxa"/>
            <w:tcBorders>
              <w:top w:val="single" w:sz="8" w:space="0" w:color="000000"/>
              <w:left w:val="single" w:sz="8" w:space="0" w:color="000000"/>
              <w:bottom w:val="single" w:sz="8" w:space="0" w:color="000000"/>
            </w:tcBorders>
          </w:tcPr>
          <w:p w14:paraId="49D0497C" w14:textId="77777777" w:rsidR="00742F5F" w:rsidRPr="00953F7D" w:rsidRDefault="00742F5F" w:rsidP="0069763E">
            <w:pPr>
              <w:pStyle w:val="Default"/>
              <w:ind w:left="317" w:firstLine="0"/>
              <w:jc w:val="both"/>
            </w:pPr>
            <w:r w:rsidRPr="00953F7D">
              <w:t xml:space="preserve">If write-down, write-down trigger(s) </w:t>
            </w:r>
          </w:p>
        </w:tc>
      </w:tr>
      <w:tr w:rsidR="00742F5F" w:rsidRPr="00953F7D" w14:paraId="49D04980"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7E" w14:textId="77777777" w:rsidR="00742F5F" w:rsidRPr="00953F7D" w:rsidRDefault="00742F5F" w:rsidP="009164E6">
            <w:pPr>
              <w:pStyle w:val="Default"/>
              <w:jc w:val="both"/>
            </w:pPr>
            <w:r w:rsidRPr="00953F7D">
              <w:t xml:space="preserve">32 </w:t>
            </w:r>
          </w:p>
        </w:tc>
        <w:tc>
          <w:tcPr>
            <w:tcW w:w="7513" w:type="dxa"/>
            <w:tcBorders>
              <w:top w:val="single" w:sz="8" w:space="0" w:color="000000"/>
              <w:left w:val="single" w:sz="8" w:space="0" w:color="000000"/>
              <w:bottom w:val="single" w:sz="8" w:space="0" w:color="000000"/>
            </w:tcBorders>
          </w:tcPr>
          <w:p w14:paraId="49D0497F" w14:textId="77777777" w:rsidR="00742F5F" w:rsidRPr="00953F7D" w:rsidRDefault="00742F5F" w:rsidP="0069763E">
            <w:pPr>
              <w:pStyle w:val="Default"/>
              <w:ind w:left="176" w:firstLine="0"/>
              <w:jc w:val="both"/>
            </w:pPr>
            <w:r w:rsidRPr="00953F7D">
              <w:t xml:space="preserve">If write-down, full or partial </w:t>
            </w:r>
          </w:p>
        </w:tc>
      </w:tr>
      <w:tr w:rsidR="00742F5F" w:rsidRPr="00953F7D" w14:paraId="49D04983"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81" w14:textId="77777777" w:rsidR="00742F5F" w:rsidRPr="00953F7D" w:rsidRDefault="00742F5F" w:rsidP="009164E6">
            <w:pPr>
              <w:pStyle w:val="Default"/>
              <w:jc w:val="both"/>
            </w:pPr>
            <w:r w:rsidRPr="00953F7D">
              <w:t xml:space="preserve">33 </w:t>
            </w:r>
          </w:p>
        </w:tc>
        <w:tc>
          <w:tcPr>
            <w:tcW w:w="7513" w:type="dxa"/>
            <w:tcBorders>
              <w:top w:val="single" w:sz="8" w:space="0" w:color="000000"/>
              <w:left w:val="single" w:sz="8" w:space="0" w:color="000000"/>
              <w:bottom w:val="single" w:sz="8" w:space="0" w:color="000000"/>
            </w:tcBorders>
          </w:tcPr>
          <w:p w14:paraId="49D04982" w14:textId="77777777" w:rsidR="00742F5F" w:rsidRPr="00953F7D" w:rsidRDefault="00742F5F" w:rsidP="0069763E">
            <w:pPr>
              <w:pStyle w:val="Default"/>
              <w:ind w:left="176" w:firstLine="0"/>
              <w:jc w:val="both"/>
            </w:pPr>
            <w:r w:rsidRPr="00953F7D">
              <w:t xml:space="preserve">If write-down, permanent or temporary </w:t>
            </w:r>
          </w:p>
        </w:tc>
      </w:tr>
      <w:tr w:rsidR="00742F5F" w:rsidRPr="00953F7D" w14:paraId="49D04986"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84" w14:textId="77777777" w:rsidR="00742F5F" w:rsidRPr="00953F7D" w:rsidRDefault="00742F5F" w:rsidP="009164E6">
            <w:pPr>
              <w:pStyle w:val="Default"/>
              <w:jc w:val="both"/>
            </w:pPr>
            <w:r w:rsidRPr="00953F7D">
              <w:t xml:space="preserve">34 </w:t>
            </w:r>
          </w:p>
        </w:tc>
        <w:tc>
          <w:tcPr>
            <w:tcW w:w="7513" w:type="dxa"/>
            <w:tcBorders>
              <w:top w:val="single" w:sz="8" w:space="0" w:color="000000"/>
              <w:left w:val="single" w:sz="8" w:space="0" w:color="000000"/>
              <w:bottom w:val="single" w:sz="8" w:space="0" w:color="000000"/>
            </w:tcBorders>
          </w:tcPr>
          <w:p w14:paraId="49D04985" w14:textId="77777777" w:rsidR="00742F5F" w:rsidRPr="00953F7D" w:rsidRDefault="00742F5F" w:rsidP="0069763E">
            <w:pPr>
              <w:pStyle w:val="Default"/>
              <w:ind w:left="176" w:firstLine="0"/>
              <w:jc w:val="both"/>
            </w:pPr>
            <w:r w:rsidRPr="00953F7D">
              <w:t xml:space="preserve">If temporary write-down, description of write-up mechanism </w:t>
            </w:r>
          </w:p>
        </w:tc>
      </w:tr>
      <w:tr w:rsidR="00742F5F" w:rsidRPr="00953F7D" w14:paraId="49D04989" w14:textId="77777777" w:rsidTr="009C3F64">
        <w:trPr>
          <w:trHeight w:val="229"/>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87" w14:textId="77777777" w:rsidR="00742F5F" w:rsidRPr="00953F7D" w:rsidRDefault="00742F5F" w:rsidP="009164E6">
            <w:pPr>
              <w:pStyle w:val="Default"/>
              <w:jc w:val="both"/>
            </w:pPr>
            <w:r w:rsidRPr="00953F7D">
              <w:t xml:space="preserve">35 </w:t>
            </w:r>
          </w:p>
        </w:tc>
        <w:tc>
          <w:tcPr>
            <w:tcW w:w="7513" w:type="dxa"/>
            <w:tcBorders>
              <w:top w:val="single" w:sz="8" w:space="0" w:color="000000"/>
              <w:left w:val="single" w:sz="8" w:space="0" w:color="000000"/>
              <w:bottom w:val="single" w:sz="8" w:space="0" w:color="000000"/>
            </w:tcBorders>
          </w:tcPr>
          <w:p w14:paraId="49D04988" w14:textId="77777777" w:rsidR="00742F5F" w:rsidRPr="00953F7D" w:rsidRDefault="00742F5F" w:rsidP="0069763E">
            <w:pPr>
              <w:pStyle w:val="Default"/>
              <w:ind w:left="0" w:firstLine="0"/>
              <w:jc w:val="both"/>
            </w:pPr>
            <w:r w:rsidRPr="00953F7D">
              <w:t xml:space="preserve">Position in subordination hierarchy in liquidation (specify instrument type immediately senior to instrument) </w:t>
            </w:r>
          </w:p>
        </w:tc>
      </w:tr>
      <w:tr w:rsidR="00742F5F" w:rsidRPr="00953F7D" w14:paraId="49D0498C"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8A" w14:textId="77777777" w:rsidR="00742F5F" w:rsidRPr="00953F7D" w:rsidRDefault="00742F5F" w:rsidP="009164E6">
            <w:pPr>
              <w:pStyle w:val="Default"/>
              <w:jc w:val="both"/>
            </w:pPr>
            <w:r w:rsidRPr="00953F7D">
              <w:t xml:space="preserve">36 </w:t>
            </w:r>
          </w:p>
        </w:tc>
        <w:tc>
          <w:tcPr>
            <w:tcW w:w="7513" w:type="dxa"/>
            <w:tcBorders>
              <w:top w:val="single" w:sz="8" w:space="0" w:color="000000"/>
              <w:left w:val="single" w:sz="8" w:space="0" w:color="000000"/>
              <w:bottom w:val="single" w:sz="8" w:space="0" w:color="000000"/>
            </w:tcBorders>
          </w:tcPr>
          <w:p w14:paraId="49D0498B" w14:textId="77777777" w:rsidR="00742F5F" w:rsidRPr="00953F7D" w:rsidRDefault="00742F5F" w:rsidP="009164E6">
            <w:pPr>
              <w:pStyle w:val="Default"/>
              <w:jc w:val="both"/>
            </w:pPr>
            <w:r w:rsidRPr="00953F7D">
              <w:t xml:space="preserve">Non-compliant transitioned features </w:t>
            </w:r>
          </w:p>
        </w:tc>
      </w:tr>
      <w:tr w:rsidR="00742F5F" w:rsidRPr="00953F7D" w14:paraId="49D0498F" w14:textId="77777777" w:rsidTr="009C3F64">
        <w:trPr>
          <w:trHeight w:val="106"/>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8D" w14:textId="77777777" w:rsidR="00742F5F" w:rsidRPr="00953F7D" w:rsidRDefault="00742F5F" w:rsidP="009164E6">
            <w:pPr>
              <w:pStyle w:val="Default"/>
              <w:jc w:val="both"/>
            </w:pPr>
            <w:r w:rsidRPr="00953F7D">
              <w:t xml:space="preserve">37 </w:t>
            </w:r>
          </w:p>
        </w:tc>
        <w:tc>
          <w:tcPr>
            <w:tcW w:w="7513" w:type="dxa"/>
            <w:tcBorders>
              <w:top w:val="single" w:sz="8" w:space="0" w:color="000000"/>
              <w:left w:val="single" w:sz="8" w:space="0" w:color="000000"/>
              <w:bottom w:val="single" w:sz="8" w:space="0" w:color="000000"/>
            </w:tcBorders>
          </w:tcPr>
          <w:p w14:paraId="49D0498E" w14:textId="77777777" w:rsidR="00742F5F" w:rsidRPr="00953F7D" w:rsidRDefault="00742F5F" w:rsidP="009164E6">
            <w:pPr>
              <w:pStyle w:val="Default"/>
              <w:jc w:val="both"/>
            </w:pPr>
            <w:r w:rsidRPr="00953F7D">
              <w:t xml:space="preserve">If yes, specify non-compliant features </w:t>
            </w:r>
          </w:p>
        </w:tc>
      </w:tr>
    </w:tbl>
    <w:p w14:paraId="49D04990" w14:textId="77777777" w:rsidR="00742F5F" w:rsidRPr="00953F7D" w:rsidRDefault="00742F5F" w:rsidP="00742F5F">
      <w:pPr>
        <w:jc w:val="both"/>
        <w:rPr>
          <w:color w:val="000000"/>
        </w:rPr>
      </w:pPr>
    </w:p>
    <w:p w14:paraId="49D04991" w14:textId="77777777" w:rsidR="00742F5F" w:rsidRPr="00953F7D" w:rsidRDefault="00742F5F" w:rsidP="009C3F64">
      <w:pPr>
        <w:pStyle w:val="Default"/>
        <w:jc w:val="both"/>
        <w:rPr>
          <w:i/>
        </w:rPr>
      </w:pPr>
      <w:r w:rsidRPr="00953F7D">
        <w:rPr>
          <w:i/>
        </w:rPr>
        <w:t>Guidance on main features template</w:t>
      </w:r>
    </w:p>
    <w:p w14:paraId="49D04992" w14:textId="77777777" w:rsidR="00742F5F" w:rsidRPr="00953F7D" w:rsidRDefault="00742F5F" w:rsidP="00742F5F">
      <w:pPr>
        <w:pStyle w:val="Default"/>
        <w:jc w:val="both"/>
        <w:rPr>
          <w:b/>
        </w:rPr>
      </w:pPr>
    </w:p>
    <w:p w14:paraId="49D04993" w14:textId="77777777" w:rsidR="00742F5F" w:rsidRPr="00953F7D" w:rsidRDefault="00742F5F" w:rsidP="00044A3D">
      <w:pPr>
        <w:pStyle w:val="BodyText"/>
      </w:pPr>
      <w:r w:rsidRPr="00953F7D">
        <w:t>In completing the main features template, an ADI must have regard to the explanation of each item set out in the following Table 2A.</w:t>
      </w:r>
    </w:p>
    <w:p w14:paraId="49D04994" w14:textId="77777777" w:rsidR="00742F5F" w:rsidRPr="00953F7D" w:rsidRDefault="00742F5F" w:rsidP="008B2850">
      <w:pPr>
        <w:pStyle w:val="Default"/>
        <w:ind w:firstLine="0"/>
        <w:jc w:val="both"/>
      </w:pPr>
      <w:r w:rsidRPr="00953F7D">
        <w:t>Table 2A: Further explanation of items in main features disclosure template</w:t>
      </w:r>
    </w:p>
    <w:p w14:paraId="49D04995" w14:textId="77777777" w:rsidR="00742F5F" w:rsidRPr="00953F7D" w:rsidRDefault="00742F5F" w:rsidP="00742F5F">
      <w:pPr>
        <w:pStyle w:val="Default"/>
        <w:jc w:val="both"/>
        <w:rPr>
          <w:b/>
        </w:rPr>
      </w:pPr>
    </w:p>
    <w:tbl>
      <w:tblPr>
        <w:tblW w:w="8222" w:type="dxa"/>
        <w:tblInd w:w="1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709"/>
        <w:gridCol w:w="7513"/>
      </w:tblGrid>
      <w:tr w:rsidR="00742F5F" w:rsidRPr="00953F7D" w14:paraId="49D04997" w14:textId="77777777" w:rsidTr="009C3F64">
        <w:trPr>
          <w:trHeight w:val="152"/>
        </w:trPr>
        <w:tc>
          <w:tcPr>
            <w:tcW w:w="8222" w:type="dxa"/>
            <w:gridSpan w:val="2"/>
            <w:tcBorders>
              <w:top w:val="single" w:sz="8" w:space="0" w:color="000000"/>
              <w:left w:val="single" w:sz="6" w:space="0" w:color="000000"/>
              <w:bottom w:val="single" w:sz="8" w:space="0" w:color="000000"/>
              <w:right w:val="single" w:sz="6" w:space="0" w:color="000000"/>
            </w:tcBorders>
          </w:tcPr>
          <w:p w14:paraId="49D04996" w14:textId="77777777" w:rsidR="00742F5F" w:rsidRPr="00953F7D" w:rsidRDefault="00742F5F" w:rsidP="009164E6">
            <w:pPr>
              <w:pStyle w:val="Default"/>
              <w:spacing w:before="120"/>
              <w:jc w:val="both"/>
            </w:pPr>
            <w:r w:rsidRPr="00953F7D">
              <w:rPr>
                <w:b/>
                <w:bCs/>
              </w:rPr>
              <w:t xml:space="preserve">Further explanation of items in main features disclosure template </w:t>
            </w:r>
          </w:p>
        </w:tc>
      </w:tr>
      <w:tr w:rsidR="00742F5F" w:rsidRPr="00953F7D" w14:paraId="49D0499B"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98" w14:textId="77777777" w:rsidR="00742F5F" w:rsidRPr="00953F7D" w:rsidRDefault="00742F5F" w:rsidP="009164E6">
            <w:pPr>
              <w:pStyle w:val="Default"/>
              <w:jc w:val="both"/>
            </w:pPr>
            <w:r w:rsidRPr="00953F7D">
              <w:t xml:space="preserve">1 </w:t>
            </w:r>
          </w:p>
        </w:tc>
        <w:tc>
          <w:tcPr>
            <w:tcW w:w="7513" w:type="dxa"/>
            <w:tcBorders>
              <w:top w:val="single" w:sz="8" w:space="0" w:color="000000"/>
              <w:left w:val="single" w:sz="8" w:space="0" w:color="000000"/>
              <w:bottom w:val="single" w:sz="8" w:space="0" w:color="000000"/>
              <w:right w:val="single" w:sz="6" w:space="0" w:color="000000"/>
            </w:tcBorders>
          </w:tcPr>
          <w:p w14:paraId="49D04999" w14:textId="77777777" w:rsidR="00742F5F" w:rsidRPr="00953F7D" w:rsidRDefault="00742F5F" w:rsidP="0069763E">
            <w:pPr>
              <w:pStyle w:val="Default"/>
              <w:ind w:left="0" w:firstLine="0"/>
              <w:jc w:val="both"/>
            </w:pPr>
            <w:r w:rsidRPr="00953F7D">
              <w:t xml:space="preserve">Identifies issuer legal entity. </w:t>
            </w:r>
          </w:p>
          <w:p w14:paraId="49D0499A" w14:textId="77777777" w:rsidR="00742F5F" w:rsidRPr="00953F7D" w:rsidRDefault="00742F5F" w:rsidP="0069763E">
            <w:pPr>
              <w:pStyle w:val="Default"/>
              <w:ind w:left="0" w:firstLine="0"/>
              <w:jc w:val="both"/>
            </w:pPr>
            <w:r w:rsidRPr="00953F7D">
              <w:rPr>
                <w:i/>
                <w:iCs/>
              </w:rPr>
              <w:t xml:space="preserve">Free text </w:t>
            </w:r>
          </w:p>
        </w:tc>
      </w:tr>
      <w:tr w:rsidR="00742F5F" w:rsidRPr="00953F7D" w14:paraId="49D0499F"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9C" w14:textId="77777777" w:rsidR="00742F5F" w:rsidRPr="00953F7D" w:rsidRDefault="00742F5F" w:rsidP="009164E6">
            <w:pPr>
              <w:pStyle w:val="Default"/>
              <w:jc w:val="both"/>
            </w:pPr>
            <w:r w:rsidRPr="00953F7D">
              <w:t xml:space="preserve">2 </w:t>
            </w:r>
          </w:p>
        </w:tc>
        <w:tc>
          <w:tcPr>
            <w:tcW w:w="7513" w:type="dxa"/>
            <w:tcBorders>
              <w:top w:val="single" w:sz="8" w:space="0" w:color="000000"/>
              <w:left w:val="single" w:sz="8" w:space="0" w:color="000000"/>
              <w:bottom w:val="single" w:sz="8" w:space="0" w:color="000000"/>
              <w:right w:val="single" w:sz="6" w:space="0" w:color="000000"/>
            </w:tcBorders>
          </w:tcPr>
          <w:p w14:paraId="49D0499D" w14:textId="77777777" w:rsidR="00742F5F" w:rsidRPr="00953F7D" w:rsidRDefault="00742F5F" w:rsidP="0069763E">
            <w:pPr>
              <w:pStyle w:val="Default"/>
              <w:ind w:left="0" w:firstLine="0"/>
              <w:jc w:val="both"/>
            </w:pPr>
            <w:r w:rsidRPr="00953F7D">
              <w:t xml:space="preserve">Unique identifier (eg CUSIP, ISIN or Bloomberg identifier for private placement) </w:t>
            </w:r>
          </w:p>
          <w:p w14:paraId="49D0499E" w14:textId="77777777" w:rsidR="00742F5F" w:rsidRPr="00953F7D" w:rsidRDefault="00742F5F" w:rsidP="0069763E">
            <w:pPr>
              <w:pStyle w:val="Default"/>
              <w:ind w:left="0" w:firstLine="0"/>
              <w:jc w:val="both"/>
            </w:pPr>
            <w:r w:rsidRPr="00953F7D">
              <w:rPr>
                <w:i/>
                <w:iCs/>
              </w:rPr>
              <w:t xml:space="preserve">Free text </w:t>
            </w:r>
          </w:p>
        </w:tc>
      </w:tr>
      <w:tr w:rsidR="00742F5F" w:rsidRPr="00953F7D" w14:paraId="49D049A3"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A0" w14:textId="77777777" w:rsidR="00742F5F" w:rsidRPr="00953F7D" w:rsidRDefault="00742F5F" w:rsidP="009164E6">
            <w:pPr>
              <w:pStyle w:val="Default"/>
              <w:jc w:val="both"/>
            </w:pPr>
            <w:r w:rsidRPr="00953F7D">
              <w:t xml:space="preserve">3 </w:t>
            </w:r>
          </w:p>
        </w:tc>
        <w:tc>
          <w:tcPr>
            <w:tcW w:w="7513" w:type="dxa"/>
            <w:tcBorders>
              <w:top w:val="single" w:sz="8" w:space="0" w:color="000000"/>
              <w:left w:val="single" w:sz="8" w:space="0" w:color="000000"/>
              <w:bottom w:val="single" w:sz="8" w:space="0" w:color="000000"/>
              <w:right w:val="single" w:sz="6" w:space="0" w:color="000000"/>
            </w:tcBorders>
          </w:tcPr>
          <w:p w14:paraId="49D049A1" w14:textId="77777777" w:rsidR="00742F5F" w:rsidRPr="00953F7D" w:rsidRDefault="00742F5F" w:rsidP="0069763E">
            <w:pPr>
              <w:pStyle w:val="Default"/>
              <w:ind w:left="0" w:firstLine="0"/>
              <w:jc w:val="both"/>
            </w:pPr>
            <w:r w:rsidRPr="00953F7D">
              <w:t xml:space="preserve">Specifies the governing law(s) of the instrument </w:t>
            </w:r>
          </w:p>
          <w:p w14:paraId="49D049A2" w14:textId="77777777" w:rsidR="00742F5F" w:rsidRPr="00953F7D" w:rsidRDefault="00742F5F" w:rsidP="0069763E">
            <w:pPr>
              <w:pStyle w:val="Default"/>
              <w:ind w:left="0" w:firstLine="0"/>
              <w:jc w:val="both"/>
            </w:pPr>
            <w:r w:rsidRPr="00953F7D">
              <w:rPr>
                <w:i/>
                <w:iCs/>
              </w:rPr>
              <w:t xml:space="preserve">Free text </w:t>
            </w:r>
          </w:p>
        </w:tc>
      </w:tr>
      <w:tr w:rsidR="00742F5F" w:rsidRPr="00953F7D" w14:paraId="49D049A7" w14:textId="77777777" w:rsidTr="009C3F64">
        <w:trPr>
          <w:trHeight w:val="290"/>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A4" w14:textId="77777777" w:rsidR="00742F5F" w:rsidRPr="00953F7D" w:rsidRDefault="00742F5F" w:rsidP="009164E6">
            <w:pPr>
              <w:pStyle w:val="Default"/>
              <w:jc w:val="both"/>
            </w:pPr>
            <w:r w:rsidRPr="00953F7D">
              <w:t xml:space="preserve">4 </w:t>
            </w:r>
          </w:p>
        </w:tc>
        <w:tc>
          <w:tcPr>
            <w:tcW w:w="7513" w:type="dxa"/>
            <w:tcBorders>
              <w:top w:val="single" w:sz="8" w:space="0" w:color="000000"/>
              <w:left w:val="single" w:sz="8" w:space="0" w:color="000000"/>
              <w:bottom w:val="single" w:sz="8" w:space="0" w:color="000000"/>
              <w:right w:val="single" w:sz="6" w:space="0" w:color="000000"/>
            </w:tcBorders>
          </w:tcPr>
          <w:p w14:paraId="49D049A5" w14:textId="77777777" w:rsidR="00742F5F" w:rsidRPr="00953F7D" w:rsidRDefault="00742F5F" w:rsidP="0069763E">
            <w:pPr>
              <w:pStyle w:val="Default"/>
              <w:ind w:left="0" w:firstLine="0"/>
              <w:jc w:val="both"/>
            </w:pPr>
            <w:r w:rsidRPr="00953F7D">
              <w:t>Specifies the Regulatory Capital treatment during the Basel III transitional Basel III phase (i</w:t>
            </w:r>
            <w:r w:rsidR="00243E40" w:rsidRPr="00953F7D">
              <w:t>.</w:t>
            </w:r>
            <w:r w:rsidRPr="00953F7D">
              <w:t>e</w:t>
            </w:r>
            <w:r w:rsidR="00243E40" w:rsidRPr="00953F7D">
              <w:t>.</w:t>
            </w:r>
            <w:r w:rsidRPr="00953F7D">
              <w:t xml:space="preserve"> the component of capital that the instrument is being phased-out from). </w:t>
            </w:r>
          </w:p>
          <w:p w14:paraId="49D049A6" w14:textId="77777777" w:rsidR="00742F5F" w:rsidRPr="00953F7D" w:rsidRDefault="00742F5F" w:rsidP="0069763E">
            <w:pPr>
              <w:pStyle w:val="Default"/>
              <w:ind w:left="0" w:firstLine="0"/>
              <w:jc w:val="both"/>
            </w:pPr>
            <w:r w:rsidRPr="00953F7D">
              <w:rPr>
                <w:i/>
                <w:iCs/>
              </w:rPr>
              <w:t xml:space="preserve">Select from menu: [Common Equity Tier 1] [Additional Tier 1] [Tier 2] </w:t>
            </w:r>
          </w:p>
        </w:tc>
      </w:tr>
      <w:tr w:rsidR="00742F5F" w:rsidRPr="00953F7D" w14:paraId="49D049AB" w14:textId="77777777" w:rsidTr="009C3F64">
        <w:trPr>
          <w:trHeight w:val="199"/>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A8" w14:textId="77777777" w:rsidR="00742F5F" w:rsidRPr="00953F7D" w:rsidRDefault="00742F5F" w:rsidP="009164E6">
            <w:pPr>
              <w:pStyle w:val="Default"/>
              <w:jc w:val="both"/>
            </w:pPr>
            <w:r w:rsidRPr="00953F7D">
              <w:t xml:space="preserve">5 </w:t>
            </w:r>
          </w:p>
        </w:tc>
        <w:tc>
          <w:tcPr>
            <w:tcW w:w="7513" w:type="dxa"/>
            <w:tcBorders>
              <w:top w:val="single" w:sz="8" w:space="0" w:color="000000"/>
              <w:left w:val="single" w:sz="8" w:space="0" w:color="000000"/>
              <w:bottom w:val="single" w:sz="8" w:space="0" w:color="000000"/>
              <w:right w:val="single" w:sz="6" w:space="0" w:color="000000"/>
            </w:tcBorders>
          </w:tcPr>
          <w:p w14:paraId="49D049A9" w14:textId="77777777" w:rsidR="00742F5F" w:rsidRPr="00953F7D" w:rsidRDefault="00742F5F" w:rsidP="0069763E">
            <w:pPr>
              <w:pStyle w:val="Default"/>
              <w:ind w:left="0" w:firstLine="0"/>
              <w:jc w:val="both"/>
            </w:pPr>
            <w:r w:rsidRPr="00953F7D">
              <w:t xml:space="preserve">Specifies Regulatory Capital treatment under Basel III rules not taking into account transitional treatment. </w:t>
            </w:r>
          </w:p>
          <w:p w14:paraId="49D049AA" w14:textId="77777777" w:rsidR="00742F5F" w:rsidRPr="00953F7D" w:rsidRDefault="00742F5F" w:rsidP="0069763E">
            <w:pPr>
              <w:pStyle w:val="Default"/>
              <w:ind w:left="0" w:firstLine="0"/>
              <w:jc w:val="both"/>
            </w:pPr>
            <w:r w:rsidRPr="00953F7D">
              <w:rPr>
                <w:i/>
                <w:iCs/>
              </w:rPr>
              <w:t xml:space="preserve">Select from menu: [Common Equity Tier 1] [Additional Tier 1] [Tier 2] [Ineligible] </w:t>
            </w:r>
          </w:p>
        </w:tc>
      </w:tr>
      <w:tr w:rsidR="00742F5F" w:rsidRPr="00953F7D" w14:paraId="49D049AF" w14:textId="77777777" w:rsidTr="009C3F64">
        <w:trPr>
          <w:trHeight w:val="199"/>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AC" w14:textId="77777777" w:rsidR="00742F5F" w:rsidRPr="00953F7D" w:rsidRDefault="00742F5F" w:rsidP="009164E6">
            <w:pPr>
              <w:pStyle w:val="Default"/>
              <w:jc w:val="both"/>
            </w:pPr>
            <w:r w:rsidRPr="00953F7D">
              <w:t xml:space="preserve">6 </w:t>
            </w:r>
          </w:p>
        </w:tc>
        <w:tc>
          <w:tcPr>
            <w:tcW w:w="7513" w:type="dxa"/>
            <w:tcBorders>
              <w:top w:val="single" w:sz="8" w:space="0" w:color="000000"/>
              <w:left w:val="single" w:sz="8" w:space="0" w:color="000000"/>
              <w:bottom w:val="single" w:sz="8" w:space="0" w:color="000000"/>
              <w:right w:val="single" w:sz="6" w:space="0" w:color="000000"/>
            </w:tcBorders>
          </w:tcPr>
          <w:p w14:paraId="49D049AD" w14:textId="77777777" w:rsidR="00742F5F" w:rsidRPr="00953F7D" w:rsidRDefault="00742F5F" w:rsidP="0069763E">
            <w:pPr>
              <w:pStyle w:val="Default"/>
              <w:ind w:left="0" w:firstLine="0"/>
              <w:jc w:val="both"/>
            </w:pPr>
            <w:r w:rsidRPr="00953F7D">
              <w:t xml:space="preserve">Specifies the level(s) within the group at which the instrument is included in capital. </w:t>
            </w:r>
          </w:p>
          <w:p w14:paraId="49D049AE" w14:textId="77777777" w:rsidR="00742F5F" w:rsidRPr="00953F7D" w:rsidRDefault="00742F5F" w:rsidP="0069763E">
            <w:pPr>
              <w:pStyle w:val="Default"/>
              <w:ind w:left="0" w:firstLine="0"/>
              <w:jc w:val="both"/>
            </w:pPr>
            <w:r w:rsidRPr="00953F7D">
              <w:rPr>
                <w:i/>
                <w:iCs/>
              </w:rPr>
              <w:t xml:space="preserve">Select from menu: [Solo] [Group] [Solo and Group] </w:t>
            </w:r>
          </w:p>
        </w:tc>
      </w:tr>
      <w:tr w:rsidR="00742F5F" w:rsidRPr="00953F7D" w14:paraId="49D049B3" w14:textId="77777777" w:rsidTr="009C3F64">
        <w:trPr>
          <w:trHeight w:val="291"/>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B0" w14:textId="77777777" w:rsidR="00742F5F" w:rsidRPr="00953F7D" w:rsidRDefault="00742F5F" w:rsidP="009164E6">
            <w:pPr>
              <w:pStyle w:val="Default"/>
              <w:jc w:val="both"/>
            </w:pPr>
            <w:r w:rsidRPr="00953F7D">
              <w:t xml:space="preserve">7 </w:t>
            </w:r>
          </w:p>
        </w:tc>
        <w:tc>
          <w:tcPr>
            <w:tcW w:w="7513" w:type="dxa"/>
            <w:tcBorders>
              <w:top w:val="single" w:sz="8" w:space="0" w:color="000000"/>
              <w:left w:val="single" w:sz="8" w:space="0" w:color="000000"/>
              <w:bottom w:val="single" w:sz="8" w:space="0" w:color="000000"/>
              <w:right w:val="single" w:sz="6" w:space="0" w:color="000000"/>
            </w:tcBorders>
          </w:tcPr>
          <w:p w14:paraId="49D049B1" w14:textId="77777777" w:rsidR="00742F5F" w:rsidRPr="00953F7D" w:rsidRDefault="00742F5F" w:rsidP="0069763E">
            <w:pPr>
              <w:pStyle w:val="Default"/>
              <w:ind w:left="0" w:firstLine="0"/>
              <w:jc w:val="both"/>
            </w:pPr>
            <w:r w:rsidRPr="00953F7D">
              <w:t xml:space="preserve">Specifies instrument type, varying by jurisdiction. Helps provide more granular understanding of features, particularly during transition. </w:t>
            </w:r>
          </w:p>
          <w:p w14:paraId="49D049B2" w14:textId="77777777" w:rsidR="00742F5F" w:rsidRPr="00953F7D" w:rsidRDefault="00742F5F" w:rsidP="0069763E">
            <w:pPr>
              <w:pStyle w:val="Default"/>
              <w:ind w:left="0" w:firstLine="0"/>
              <w:jc w:val="both"/>
            </w:pPr>
            <w:r w:rsidRPr="00953F7D">
              <w:rPr>
                <w:i/>
                <w:iCs/>
              </w:rPr>
              <w:t xml:space="preserve">Select from menu: [Ordinary shares] [Preference shares] [Subordinated notes] [Other] </w:t>
            </w:r>
          </w:p>
        </w:tc>
      </w:tr>
      <w:tr w:rsidR="00742F5F" w:rsidRPr="00953F7D" w14:paraId="49D049B7"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B4" w14:textId="77777777" w:rsidR="00742F5F" w:rsidRPr="00953F7D" w:rsidRDefault="00742F5F" w:rsidP="009164E6">
            <w:pPr>
              <w:pStyle w:val="Default"/>
              <w:jc w:val="both"/>
            </w:pPr>
            <w:r w:rsidRPr="00953F7D">
              <w:t xml:space="preserve">8 </w:t>
            </w:r>
          </w:p>
        </w:tc>
        <w:tc>
          <w:tcPr>
            <w:tcW w:w="7513" w:type="dxa"/>
            <w:tcBorders>
              <w:top w:val="single" w:sz="8" w:space="0" w:color="000000"/>
              <w:left w:val="single" w:sz="8" w:space="0" w:color="000000"/>
              <w:bottom w:val="single" w:sz="8" w:space="0" w:color="000000"/>
              <w:right w:val="single" w:sz="6" w:space="0" w:color="000000"/>
            </w:tcBorders>
          </w:tcPr>
          <w:p w14:paraId="49D049B5" w14:textId="77777777" w:rsidR="00742F5F" w:rsidRPr="00953F7D" w:rsidRDefault="00742F5F" w:rsidP="0069763E">
            <w:pPr>
              <w:pStyle w:val="Default"/>
              <w:ind w:left="0" w:firstLine="0"/>
              <w:jc w:val="both"/>
            </w:pPr>
            <w:r w:rsidRPr="00953F7D">
              <w:t xml:space="preserve">Specifies amount recognised in Regulatory Capital. </w:t>
            </w:r>
          </w:p>
          <w:p w14:paraId="49D049B6" w14:textId="77777777" w:rsidR="00742F5F" w:rsidRPr="00953F7D" w:rsidRDefault="00742F5F" w:rsidP="0069763E">
            <w:pPr>
              <w:pStyle w:val="Default"/>
              <w:ind w:left="0" w:firstLine="0"/>
              <w:jc w:val="both"/>
            </w:pPr>
            <w:r w:rsidRPr="00953F7D">
              <w:rPr>
                <w:i/>
                <w:iCs/>
              </w:rPr>
              <w:t xml:space="preserve">Free text </w:t>
            </w:r>
          </w:p>
        </w:tc>
      </w:tr>
      <w:tr w:rsidR="00742F5F" w:rsidRPr="00953F7D" w14:paraId="49D049BB"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B8" w14:textId="77777777" w:rsidR="00742F5F" w:rsidRPr="00953F7D" w:rsidRDefault="00742F5F" w:rsidP="009164E6">
            <w:pPr>
              <w:pStyle w:val="Default"/>
              <w:jc w:val="both"/>
            </w:pPr>
            <w:r w:rsidRPr="00953F7D">
              <w:t xml:space="preserve">9 </w:t>
            </w:r>
          </w:p>
        </w:tc>
        <w:tc>
          <w:tcPr>
            <w:tcW w:w="7513" w:type="dxa"/>
            <w:tcBorders>
              <w:top w:val="single" w:sz="8" w:space="0" w:color="000000"/>
              <w:left w:val="single" w:sz="8" w:space="0" w:color="000000"/>
              <w:bottom w:val="single" w:sz="8" w:space="0" w:color="000000"/>
              <w:right w:val="single" w:sz="6" w:space="0" w:color="000000"/>
            </w:tcBorders>
          </w:tcPr>
          <w:p w14:paraId="49D049B9" w14:textId="77777777" w:rsidR="00742F5F" w:rsidRPr="00953F7D" w:rsidRDefault="00742F5F" w:rsidP="0069763E">
            <w:pPr>
              <w:pStyle w:val="Default"/>
              <w:ind w:left="0" w:firstLine="0"/>
              <w:jc w:val="both"/>
            </w:pPr>
            <w:r w:rsidRPr="00953F7D">
              <w:t xml:space="preserve">Par value of instrument </w:t>
            </w:r>
          </w:p>
          <w:p w14:paraId="49D049BA" w14:textId="77777777" w:rsidR="00742F5F" w:rsidRPr="00953F7D" w:rsidRDefault="00742F5F" w:rsidP="0069763E">
            <w:pPr>
              <w:pStyle w:val="Default"/>
              <w:ind w:left="0" w:firstLine="0"/>
              <w:jc w:val="both"/>
            </w:pPr>
            <w:r w:rsidRPr="00953F7D">
              <w:rPr>
                <w:i/>
                <w:iCs/>
              </w:rPr>
              <w:t xml:space="preserve">Free text </w:t>
            </w:r>
          </w:p>
        </w:tc>
      </w:tr>
      <w:tr w:rsidR="00742F5F" w:rsidRPr="00953F7D" w14:paraId="49D049BF" w14:textId="77777777" w:rsidTr="009C3F64">
        <w:trPr>
          <w:trHeight w:val="290"/>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BC" w14:textId="77777777" w:rsidR="00742F5F" w:rsidRPr="00953F7D" w:rsidRDefault="00742F5F" w:rsidP="009164E6">
            <w:pPr>
              <w:pStyle w:val="Default"/>
              <w:jc w:val="both"/>
            </w:pPr>
            <w:r w:rsidRPr="00953F7D">
              <w:t xml:space="preserve">10 </w:t>
            </w:r>
          </w:p>
        </w:tc>
        <w:tc>
          <w:tcPr>
            <w:tcW w:w="7513" w:type="dxa"/>
            <w:tcBorders>
              <w:top w:val="single" w:sz="8" w:space="0" w:color="000000"/>
              <w:left w:val="single" w:sz="8" w:space="0" w:color="000000"/>
              <w:bottom w:val="single" w:sz="8" w:space="0" w:color="000000"/>
              <w:right w:val="single" w:sz="6" w:space="0" w:color="000000"/>
            </w:tcBorders>
          </w:tcPr>
          <w:p w14:paraId="49D049BD" w14:textId="77777777" w:rsidR="00742F5F" w:rsidRPr="00953F7D" w:rsidRDefault="00742F5F" w:rsidP="0069763E">
            <w:pPr>
              <w:pStyle w:val="Default"/>
              <w:ind w:left="0" w:firstLine="0"/>
              <w:jc w:val="both"/>
            </w:pPr>
            <w:r w:rsidRPr="00953F7D">
              <w:t xml:space="preserve">Specifies accounting classification. Helps to assess loss absorbency. </w:t>
            </w:r>
          </w:p>
          <w:p w14:paraId="49D049BE" w14:textId="77777777" w:rsidR="00742F5F" w:rsidRPr="00953F7D" w:rsidRDefault="00742F5F" w:rsidP="0069763E">
            <w:pPr>
              <w:pStyle w:val="Default"/>
              <w:ind w:left="0" w:firstLine="0"/>
              <w:jc w:val="both"/>
            </w:pPr>
            <w:r w:rsidRPr="00953F7D">
              <w:rPr>
                <w:i/>
                <w:iCs/>
              </w:rPr>
              <w:t xml:space="preserve">Select from menu: [Shareholders’ equity] [Liability – amortised cost] [Liability – fair value option] [Non-controlling interest in consolidated subsidiary] </w:t>
            </w:r>
          </w:p>
        </w:tc>
      </w:tr>
      <w:tr w:rsidR="00742F5F" w:rsidRPr="00953F7D" w14:paraId="49D049C3"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C0" w14:textId="77777777" w:rsidR="00742F5F" w:rsidRPr="00953F7D" w:rsidRDefault="00742F5F" w:rsidP="009164E6">
            <w:pPr>
              <w:pStyle w:val="Default"/>
              <w:jc w:val="both"/>
            </w:pPr>
            <w:r w:rsidRPr="00953F7D">
              <w:t xml:space="preserve">11 </w:t>
            </w:r>
          </w:p>
        </w:tc>
        <w:tc>
          <w:tcPr>
            <w:tcW w:w="7513" w:type="dxa"/>
            <w:tcBorders>
              <w:top w:val="single" w:sz="8" w:space="0" w:color="000000"/>
              <w:left w:val="single" w:sz="8" w:space="0" w:color="000000"/>
              <w:bottom w:val="single" w:sz="8" w:space="0" w:color="000000"/>
              <w:right w:val="single" w:sz="6" w:space="0" w:color="000000"/>
            </w:tcBorders>
          </w:tcPr>
          <w:p w14:paraId="49D049C1" w14:textId="77777777" w:rsidR="00742F5F" w:rsidRPr="00953F7D" w:rsidRDefault="00742F5F" w:rsidP="0069763E">
            <w:pPr>
              <w:pStyle w:val="Default"/>
              <w:ind w:left="0" w:firstLine="0"/>
              <w:jc w:val="both"/>
            </w:pPr>
            <w:r w:rsidRPr="00953F7D">
              <w:t xml:space="preserve">Specifies date of issuance. </w:t>
            </w:r>
          </w:p>
          <w:p w14:paraId="49D049C2" w14:textId="77777777" w:rsidR="00742F5F" w:rsidRPr="00953F7D" w:rsidRDefault="00742F5F" w:rsidP="0069763E">
            <w:pPr>
              <w:pStyle w:val="Default"/>
              <w:ind w:left="0" w:firstLine="0"/>
              <w:jc w:val="both"/>
            </w:pPr>
            <w:r w:rsidRPr="00953F7D">
              <w:rPr>
                <w:i/>
                <w:iCs/>
              </w:rPr>
              <w:t xml:space="preserve">Free text </w:t>
            </w:r>
          </w:p>
        </w:tc>
      </w:tr>
      <w:tr w:rsidR="00742F5F" w:rsidRPr="00953F7D" w14:paraId="49D049C7"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C4" w14:textId="77777777" w:rsidR="00742F5F" w:rsidRPr="00953F7D" w:rsidRDefault="00742F5F" w:rsidP="009164E6">
            <w:pPr>
              <w:pStyle w:val="Default"/>
              <w:jc w:val="both"/>
            </w:pPr>
            <w:r w:rsidRPr="00953F7D">
              <w:t xml:space="preserve">12 </w:t>
            </w:r>
          </w:p>
        </w:tc>
        <w:tc>
          <w:tcPr>
            <w:tcW w:w="7513" w:type="dxa"/>
            <w:tcBorders>
              <w:top w:val="single" w:sz="8" w:space="0" w:color="000000"/>
              <w:left w:val="single" w:sz="8" w:space="0" w:color="000000"/>
              <w:bottom w:val="single" w:sz="8" w:space="0" w:color="000000"/>
              <w:right w:val="single" w:sz="6" w:space="0" w:color="000000"/>
            </w:tcBorders>
          </w:tcPr>
          <w:p w14:paraId="49D049C5" w14:textId="77777777" w:rsidR="00742F5F" w:rsidRPr="00953F7D" w:rsidRDefault="00742F5F" w:rsidP="0069763E">
            <w:pPr>
              <w:pStyle w:val="Default"/>
              <w:ind w:left="34" w:hanging="34"/>
              <w:jc w:val="both"/>
            </w:pPr>
            <w:r w:rsidRPr="00953F7D">
              <w:t xml:space="preserve">Specifies whether dated or perpetual. </w:t>
            </w:r>
          </w:p>
          <w:p w14:paraId="49D049C6" w14:textId="77777777" w:rsidR="00742F5F" w:rsidRPr="00953F7D" w:rsidRDefault="00742F5F" w:rsidP="0069763E">
            <w:pPr>
              <w:pStyle w:val="Default"/>
              <w:ind w:left="34" w:hanging="34"/>
              <w:jc w:val="both"/>
            </w:pPr>
            <w:r w:rsidRPr="00953F7D">
              <w:rPr>
                <w:i/>
                <w:iCs/>
              </w:rPr>
              <w:t xml:space="preserve">Select from menu: [Perpetual] [Dated] </w:t>
            </w:r>
          </w:p>
        </w:tc>
      </w:tr>
      <w:tr w:rsidR="00742F5F" w:rsidRPr="00953F7D" w14:paraId="49D049CB"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C8" w14:textId="77777777" w:rsidR="00742F5F" w:rsidRPr="00953F7D" w:rsidRDefault="00742F5F" w:rsidP="009164E6">
            <w:pPr>
              <w:pStyle w:val="Default"/>
              <w:jc w:val="both"/>
            </w:pPr>
            <w:r w:rsidRPr="00953F7D">
              <w:t xml:space="preserve">13 </w:t>
            </w:r>
          </w:p>
        </w:tc>
        <w:tc>
          <w:tcPr>
            <w:tcW w:w="7513" w:type="dxa"/>
            <w:tcBorders>
              <w:top w:val="single" w:sz="8" w:space="0" w:color="000000"/>
              <w:left w:val="single" w:sz="8" w:space="0" w:color="000000"/>
              <w:bottom w:val="single" w:sz="8" w:space="0" w:color="000000"/>
              <w:right w:val="single" w:sz="6" w:space="0" w:color="000000"/>
            </w:tcBorders>
          </w:tcPr>
          <w:p w14:paraId="49D049C9" w14:textId="77777777" w:rsidR="00742F5F" w:rsidRPr="00953F7D" w:rsidRDefault="00742F5F" w:rsidP="0069763E">
            <w:pPr>
              <w:pStyle w:val="Default"/>
              <w:ind w:left="34" w:hanging="34"/>
              <w:jc w:val="both"/>
            </w:pPr>
            <w:r w:rsidRPr="00953F7D">
              <w:t xml:space="preserve">For dated instrument, specifies original maturity date (day, month and year). For perpetual instrument put “no maturity”. </w:t>
            </w:r>
          </w:p>
          <w:p w14:paraId="49D049CA" w14:textId="77777777" w:rsidR="00742F5F" w:rsidRPr="00953F7D" w:rsidRDefault="00742F5F" w:rsidP="0069763E">
            <w:pPr>
              <w:pStyle w:val="Default"/>
              <w:ind w:left="34" w:hanging="34"/>
              <w:jc w:val="both"/>
            </w:pPr>
            <w:r w:rsidRPr="00953F7D">
              <w:rPr>
                <w:i/>
                <w:iCs/>
              </w:rPr>
              <w:t xml:space="preserve">Free text </w:t>
            </w:r>
          </w:p>
        </w:tc>
      </w:tr>
      <w:tr w:rsidR="00742F5F" w:rsidRPr="00953F7D" w14:paraId="49D049CF"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CC" w14:textId="77777777" w:rsidR="00742F5F" w:rsidRPr="00953F7D" w:rsidRDefault="00742F5F" w:rsidP="009164E6">
            <w:pPr>
              <w:pStyle w:val="Default"/>
              <w:jc w:val="both"/>
            </w:pPr>
            <w:r w:rsidRPr="00953F7D">
              <w:t xml:space="preserve">14 </w:t>
            </w:r>
          </w:p>
        </w:tc>
        <w:tc>
          <w:tcPr>
            <w:tcW w:w="7513" w:type="dxa"/>
            <w:tcBorders>
              <w:top w:val="single" w:sz="8" w:space="0" w:color="000000"/>
              <w:left w:val="single" w:sz="8" w:space="0" w:color="000000"/>
              <w:bottom w:val="single" w:sz="8" w:space="0" w:color="000000"/>
              <w:right w:val="single" w:sz="6" w:space="0" w:color="000000"/>
            </w:tcBorders>
          </w:tcPr>
          <w:p w14:paraId="49D049CD" w14:textId="77777777" w:rsidR="00742F5F" w:rsidRPr="00953F7D" w:rsidRDefault="00742F5F" w:rsidP="0069763E">
            <w:pPr>
              <w:pStyle w:val="Default"/>
              <w:ind w:left="34" w:hanging="34"/>
              <w:jc w:val="both"/>
            </w:pPr>
            <w:r w:rsidRPr="00953F7D">
              <w:t xml:space="preserve">Specifies whether there is an issuer call option. Helps to assess permanence. </w:t>
            </w:r>
          </w:p>
          <w:p w14:paraId="49D049CE" w14:textId="77777777" w:rsidR="00742F5F" w:rsidRPr="00953F7D" w:rsidRDefault="00742F5F" w:rsidP="0069763E">
            <w:pPr>
              <w:pStyle w:val="Default"/>
              <w:ind w:left="34" w:hanging="34"/>
              <w:jc w:val="both"/>
            </w:pPr>
            <w:r w:rsidRPr="00953F7D">
              <w:rPr>
                <w:i/>
                <w:iCs/>
              </w:rPr>
              <w:t xml:space="preserve">Select from menu: [Yes] [No] </w:t>
            </w:r>
          </w:p>
        </w:tc>
      </w:tr>
      <w:tr w:rsidR="00742F5F" w:rsidRPr="00953F7D" w14:paraId="49D049D3" w14:textId="77777777" w:rsidTr="009C3F64">
        <w:trPr>
          <w:trHeight w:val="382"/>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D0" w14:textId="77777777" w:rsidR="00742F5F" w:rsidRPr="00953F7D" w:rsidRDefault="00742F5F" w:rsidP="009164E6">
            <w:pPr>
              <w:pStyle w:val="Default"/>
              <w:jc w:val="both"/>
            </w:pPr>
            <w:r w:rsidRPr="00953F7D">
              <w:t xml:space="preserve">15 </w:t>
            </w:r>
          </w:p>
        </w:tc>
        <w:tc>
          <w:tcPr>
            <w:tcW w:w="7513" w:type="dxa"/>
            <w:tcBorders>
              <w:top w:val="single" w:sz="8" w:space="0" w:color="000000"/>
              <w:left w:val="single" w:sz="8" w:space="0" w:color="000000"/>
              <w:bottom w:val="single" w:sz="8" w:space="0" w:color="000000"/>
              <w:right w:val="single" w:sz="6" w:space="0" w:color="000000"/>
            </w:tcBorders>
          </w:tcPr>
          <w:p w14:paraId="49D049D1" w14:textId="77777777" w:rsidR="00742F5F" w:rsidRPr="00953F7D" w:rsidRDefault="00742F5F" w:rsidP="0069763E">
            <w:pPr>
              <w:pStyle w:val="Default"/>
              <w:ind w:left="34" w:hanging="34"/>
              <w:jc w:val="both"/>
            </w:pPr>
            <w:r w:rsidRPr="00953F7D">
              <w:t xml:space="preserve">For instrument with issuer call option, specifies first date of call if the instrument has a call option on a specific date (day, month and year) and, in addition, specifies if the instrument has a tax and/or regulatory event call. Also specifies the redemption price. Helps to assess permanence. </w:t>
            </w:r>
          </w:p>
          <w:p w14:paraId="49D049D2" w14:textId="77777777" w:rsidR="00742F5F" w:rsidRPr="00953F7D" w:rsidRDefault="00742F5F" w:rsidP="0069763E">
            <w:pPr>
              <w:pStyle w:val="Default"/>
              <w:ind w:left="34" w:hanging="34"/>
              <w:jc w:val="both"/>
            </w:pPr>
            <w:r w:rsidRPr="00953F7D">
              <w:rPr>
                <w:i/>
                <w:iCs/>
              </w:rPr>
              <w:t xml:space="preserve">Free text </w:t>
            </w:r>
          </w:p>
        </w:tc>
      </w:tr>
      <w:tr w:rsidR="00742F5F" w:rsidRPr="00953F7D" w14:paraId="49D049D7" w14:textId="77777777" w:rsidTr="009C3F64">
        <w:trPr>
          <w:trHeight w:val="199"/>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D4" w14:textId="77777777" w:rsidR="00742F5F" w:rsidRPr="00953F7D" w:rsidRDefault="00742F5F" w:rsidP="009164E6">
            <w:pPr>
              <w:pStyle w:val="Default"/>
              <w:jc w:val="both"/>
            </w:pPr>
            <w:r w:rsidRPr="00953F7D">
              <w:t xml:space="preserve">16 </w:t>
            </w:r>
          </w:p>
        </w:tc>
        <w:tc>
          <w:tcPr>
            <w:tcW w:w="7513" w:type="dxa"/>
            <w:tcBorders>
              <w:top w:val="single" w:sz="8" w:space="0" w:color="000000"/>
              <w:left w:val="single" w:sz="8" w:space="0" w:color="000000"/>
              <w:bottom w:val="single" w:sz="8" w:space="0" w:color="000000"/>
              <w:right w:val="single" w:sz="6" w:space="0" w:color="000000"/>
            </w:tcBorders>
          </w:tcPr>
          <w:p w14:paraId="49D049D5" w14:textId="77777777" w:rsidR="00742F5F" w:rsidRPr="00953F7D" w:rsidRDefault="00742F5F" w:rsidP="0069763E">
            <w:pPr>
              <w:pStyle w:val="Default"/>
              <w:ind w:left="34" w:hanging="34"/>
              <w:jc w:val="both"/>
            </w:pPr>
            <w:r w:rsidRPr="00953F7D">
              <w:t xml:space="preserve">Specifies the existence and frequency of subsequent call dates, if applicable. Helps to assess permanence. </w:t>
            </w:r>
          </w:p>
          <w:p w14:paraId="49D049D6" w14:textId="77777777" w:rsidR="00742F5F" w:rsidRPr="00953F7D" w:rsidRDefault="00742F5F" w:rsidP="0069763E">
            <w:pPr>
              <w:pStyle w:val="Default"/>
              <w:ind w:left="34" w:hanging="34"/>
              <w:jc w:val="both"/>
            </w:pPr>
            <w:r w:rsidRPr="00953F7D">
              <w:rPr>
                <w:i/>
                <w:iCs/>
              </w:rPr>
              <w:t xml:space="preserve">Free text </w:t>
            </w:r>
          </w:p>
        </w:tc>
      </w:tr>
      <w:tr w:rsidR="00742F5F" w:rsidRPr="00953F7D" w14:paraId="49D049DB" w14:textId="77777777" w:rsidTr="009C3F64">
        <w:trPr>
          <w:trHeight w:val="291"/>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D8" w14:textId="77777777" w:rsidR="00742F5F" w:rsidRPr="00953F7D" w:rsidRDefault="00742F5F" w:rsidP="009164E6">
            <w:pPr>
              <w:pStyle w:val="Default"/>
              <w:jc w:val="both"/>
            </w:pPr>
            <w:r w:rsidRPr="00953F7D">
              <w:t xml:space="preserve">17 </w:t>
            </w:r>
          </w:p>
        </w:tc>
        <w:tc>
          <w:tcPr>
            <w:tcW w:w="7513" w:type="dxa"/>
            <w:tcBorders>
              <w:top w:val="single" w:sz="8" w:space="0" w:color="000000"/>
              <w:left w:val="single" w:sz="8" w:space="0" w:color="000000"/>
              <w:bottom w:val="single" w:sz="8" w:space="0" w:color="000000"/>
              <w:right w:val="single" w:sz="6" w:space="0" w:color="000000"/>
            </w:tcBorders>
          </w:tcPr>
          <w:p w14:paraId="49D049D9" w14:textId="77777777" w:rsidR="00742F5F" w:rsidRPr="00953F7D" w:rsidRDefault="00742F5F" w:rsidP="0069763E">
            <w:pPr>
              <w:pStyle w:val="Default"/>
              <w:ind w:left="34" w:hanging="34"/>
              <w:jc w:val="both"/>
            </w:pPr>
            <w:r w:rsidRPr="00953F7D">
              <w:t xml:space="preserve">Specifies whether the coupon/dividend is fixed over the life of the instrument, floating over the life of the instrument, currently fixed but will move to a floating rate in the future, currently floating but will move to a fixed rate in the future. </w:t>
            </w:r>
          </w:p>
          <w:p w14:paraId="49D049DA" w14:textId="77777777" w:rsidR="00742F5F" w:rsidRPr="00953F7D" w:rsidRDefault="00742F5F" w:rsidP="0069763E">
            <w:pPr>
              <w:pStyle w:val="Default"/>
              <w:ind w:left="34" w:hanging="34"/>
              <w:jc w:val="both"/>
            </w:pPr>
            <w:r w:rsidRPr="00953F7D">
              <w:rPr>
                <w:i/>
                <w:iCs/>
              </w:rPr>
              <w:t xml:space="preserve">Select from menu: [Fixed], [Floating] [Fixed to floating], [Floating to fixed] </w:t>
            </w:r>
          </w:p>
        </w:tc>
      </w:tr>
      <w:tr w:rsidR="00742F5F" w:rsidRPr="00953F7D" w14:paraId="49D049DF"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DC" w14:textId="77777777" w:rsidR="00742F5F" w:rsidRPr="00953F7D" w:rsidRDefault="00742F5F" w:rsidP="009164E6">
            <w:pPr>
              <w:pStyle w:val="Default"/>
              <w:jc w:val="both"/>
            </w:pPr>
            <w:r w:rsidRPr="00953F7D">
              <w:t xml:space="preserve">18 </w:t>
            </w:r>
          </w:p>
        </w:tc>
        <w:tc>
          <w:tcPr>
            <w:tcW w:w="7513" w:type="dxa"/>
            <w:tcBorders>
              <w:top w:val="single" w:sz="8" w:space="0" w:color="000000"/>
              <w:left w:val="single" w:sz="8" w:space="0" w:color="000000"/>
              <w:bottom w:val="single" w:sz="8" w:space="0" w:color="000000"/>
              <w:right w:val="single" w:sz="6" w:space="0" w:color="000000"/>
            </w:tcBorders>
          </w:tcPr>
          <w:p w14:paraId="49D049DD" w14:textId="77777777" w:rsidR="00742F5F" w:rsidRPr="00953F7D" w:rsidRDefault="00742F5F" w:rsidP="0069763E">
            <w:pPr>
              <w:pStyle w:val="Default"/>
              <w:ind w:left="34" w:hanging="34"/>
              <w:jc w:val="both"/>
            </w:pPr>
            <w:r w:rsidRPr="00953F7D">
              <w:t xml:space="preserve">Specifies the coupon rate of the instrument and any related index that the coupon/dividend rate references. </w:t>
            </w:r>
          </w:p>
          <w:p w14:paraId="49D049DE" w14:textId="77777777" w:rsidR="00742F5F" w:rsidRPr="00953F7D" w:rsidRDefault="00742F5F" w:rsidP="0069763E">
            <w:pPr>
              <w:pStyle w:val="Default"/>
              <w:ind w:left="34" w:hanging="34"/>
              <w:jc w:val="both"/>
            </w:pPr>
            <w:r w:rsidRPr="00953F7D">
              <w:rPr>
                <w:i/>
                <w:iCs/>
              </w:rPr>
              <w:t xml:space="preserve">Free text </w:t>
            </w:r>
          </w:p>
        </w:tc>
      </w:tr>
      <w:tr w:rsidR="00742F5F" w:rsidRPr="00953F7D" w14:paraId="49D049E3" w14:textId="77777777" w:rsidTr="009C3F64">
        <w:trPr>
          <w:trHeight w:val="290"/>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E0" w14:textId="77777777" w:rsidR="00742F5F" w:rsidRPr="00953F7D" w:rsidRDefault="00742F5F" w:rsidP="009164E6">
            <w:pPr>
              <w:pStyle w:val="Default"/>
              <w:jc w:val="both"/>
            </w:pPr>
            <w:r w:rsidRPr="00953F7D">
              <w:t xml:space="preserve">19 </w:t>
            </w:r>
          </w:p>
        </w:tc>
        <w:tc>
          <w:tcPr>
            <w:tcW w:w="7513" w:type="dxa"/>
            <w:tcBorders>
              <w:top w:val="single" w:sz="8" w:space="0" w:color="000000"/>
              <w:left w:val="single" w:sz="8" w:space="0" w:color="000000"/>
              <w:bottom w:val="single" w:sz="8" w:space="0" w:color="000000"/>
              <w:right w:val="single" w:sz="6" w:space="0" w:color="000000"/>
            </w:tcBorders>
          </w:tcPr>
          <w:p w14:paraId="49D049E1" w14:textId="77777777" w:rsidR="00742F5F" w:rsidRPr="00953F7D" w:rsidRDefault="00742F5F" w:rsidP="0069763E">
            <w:pPr>
              <w:pStyle w:val="Default"/>
              <w:ind w:left="34" w:hanging="34"/>
              <w:jc w:val="both"/>
            </w:pPr>
            <w:r w:rsidRPr="00953F7D">
              <w:t xml:space="preserve">Specifies whether the non payment of a coupon or dividend on the instrument prohibits the payment of dividends on common shares (ie whether there is a dividend stopper). </w:t>
            </w:r>
          </w:p>
          <w:p w14:paraId="49D049E2" w14:textId="77777777" w:rsidR="00742F5F" w:rsidRPr="00953F7D" w:rsidRDefault="00742F5F" w:rsidP="0069763E">
            <w:pPr>
              <w:pStyle w:val="Default"/>
              <w:ind w:left="34" w:hanging="34"/>
              <w:jc w:val="both"/>
            </w:pPr>
            <w:r w:rsidRPr="00953F7D">
              <w:rPr>
                <w:i/>
                <w:iCs/>
              </w:rPr>
              <w:t xml:space="preserve">Select from menu: [yes], [no] </w:t>
            </w:r>
          </w:p>
        </w:tc>
      </w:tr>
      <w:tr w:rsidR="00742F5F" w:rsidRPr="00953F7D" w14:paraId="49D049E7" w14:textId="77777777" w:rsidTr="009C3F64">
        <w:trPr>
          <w:trHeight w:val="65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E4" w14:textId="77777777" w:rsidR="00742F5F" w:rsidRPr="00953F7D" w:rsidRDefault="00742F5F" w:rsidP="009164E6">
            <w:pPr>
              <w:pStyle w:val="Default"/>
              <w:jc w:val="both"/>
            </w:pPr>
            <w:r w:rsidRPr="00953F7D">
              <w:t xml:space="preserve">20 </w:t>
            </w:r>
          </w:p>
        </w:tc>
        <w:tc>
          <w:tcPr>
            <w:tcW w:w="7513" w:type="dxa"/>
            <w:tcBorders>
              <w:top w:val="single" w:sz="8" w:space="0" w:color="000000"/>
              <w:left w:val="single" w:sz="8" w:space="0" w:color="000000"/>
              <w:bottom w:val="single" w:sz="8" w:space="0" w:color="000000"/>
              <w:right w:val="single" w:sz="6" w:space="0" w:color="000000"/>
            </w:tcBorders>
          </w:tcPr>
          <w:p w14:paraId="49D049E5" w14:textId="77777777" w:rsidR="00742F5F" w:rsidRPr="00953F7D" w:rsidRDefault="00742F5F" w:rsidP="0069763E">
            <w:pPr>
              <w:pStyle w:val="Default"/>
              <w:ind w:left="34" w:hanging="34"/>
              <w:jc w:val="both"/>
            </w:pPr>
            <w:r w:rsidRPr="00953F7D">
              <w:t xml:space="preserve">Specifies whether the issuer has full discretion, partial discretion or no discretion over whether a coupon/dividend is paid. If the ADI has full discretion to cancel coupon/dividend payments under all circumstances it must select “fully discretionary” (including when there is a dividend stopper that does not have the effect of preventing the ADI from cancelling payments on the instrument). If there are conditions that must be met before payment can be cancelled (e.g. capital below a certain threshold), the ADI must select “partially discretionary”. If the ADI is unable to cancel the payment outside of insolvency the ADI must select “mandatory”. </w:t>
            </w:r>
          </w:p>
          <w:p w14:paraId="49D049E6" w14:textId="77777777" w:rsidR="00742F5F" w:rsidRPr="00953F7D" w:rsidRDefault="00742F5F" w:rsidP="0069763E">
            <w:pPr>
              <w:pStyle w:val="Default"/>
              <w:ind w:left="34" w:hanging="34"/>
              <w:jc w:val="both"/>
            </w:pPr>
            <w:r w:rsidRPr="00953F7D">
              <w:rPr>
                <w:i/>
                <w:iCs/>
              </w:rPr>
              <w:t xml:space="preserve">Select from menu: [Fully discretionary] [Partially discretionary] [Mandatory] </w:t>
            </w:r>
          </w:p>
        </w:tc>
      </w:tr>
      <w:tr w:rsidR="00742F5F" w:rsidRPr="00953F7D" w14:paraId="49D049EB"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E8" w14:textId="77777777" w:rsidR="00742F5F" w:rsidRPr="00953F7D" w:rsidRDefault="00742F5F" w:rsidP="009164E6">
            <w:pPr>
              <w:pStyle w:val="Default"/>
              <w:jc w:val="both"/>
            </w:pPr>
            <w:r w:rsidRPr="00953F7D">
              <w:t xml:space="preserve">21 </w:t>
            </w:r>
          </w:p>
        </w:tc>
        <w:tc>
          <w:tcPr>
            <w:tcW w:w="7513" w:type="dxa"/>
            <w:tcBorders>
              <w:top w:val="single" w:sz="8" w:space="0" w:color="000000"/>
              <w:left w:val="single" w:sz="8" w:space="0" w:color="000000"/>
              <w:bottom w:val="single" w:sz="8" w:space="0" w:color="000000"/>
              <w:right w:val="single" w:sz="6" w:space="0" w:color="000000"/>
            </w:tcBorders>
          </w:tcPr>
          <w:p w14:paraId="49D049E9" w14:textId="77777777" w:rsidR="00742F5F" w:rsidRPr="00953F7D" w:rsidRDefault="00742F5F" w:rsidP="0069763E">
            <w:pPr>
              <w:pStyle w:val="Default"/>
              <w:ind w:left="34" w:firstLine="0"/>
              <w:jc w:val="both"/>
            </w:pPr>
            <w:r w:rsidRPr="00953F7D">
              <w:t xml:space="preserve">Specifies whether there is a step-up or other incentive to redeem. </w:t>
            </w:r>
          </w:p>
          <w:p w14:paraId="49D049EA" w14:textId="77777777" w:rsidR="00742F5F" w:rsidRPr="00953F7D" w:rsidRDefault="00742F5F" w:rsidP="0069763E">
            <w:pPr>
              <w:pStyle w:val="Default"/>
              <w:ind w:left="34" w:firstLine="0"/>
              <w:jc w:val="both"/>
            </w:pPr>
            <w:r w:rsidRPr="00953F7D">
              <w:rPr>
                <w:i/>
                <w:iCs/>
              </w:rPr>
              <w:t xml:space="preserve">Select from menu: [Yes] [No] </w:t>
            </w:r>
          </w:p>
        </w:tc>
      </w:tr>
      <w:tr w:rsidR="00742F5F" w:rsidRPr="00953F7D" w14:paraId="49D049EF"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EC" w14:textId="77777777" w:rsidR="00742F5F" w:rsidRPr="00953F7D" w:rsidRDefault="00742F5F" w:rsidP="009164E6">
            <w:pPr>
              <w:pStyle w:val="Default"/>
              <w:jc w:val="both"/>
            </w:pPr>
            <w:r w:rsidRPr="00953F7D">
              <w:t xml:space="preserve">22 </w:t>
            </w:r>
          </w:p>
        </w:tc>
        <w:tc>
          <w:tcPr>
            <w:tcW w:w="7513" w:type="dxa"/>
            <w:tcBorders>
              <w:top w:val="single" w:sz="8" w:space="0" w:color="000000"/>
              <w:left w:val="single" w:sz="8" w:space="0" w:color="000000"/>
              <w:bottom w:val="single" w:sz="8" w:space="0" w:color="000000"/>
              <w:right w:val="single" w:sz="6" w:space="0" w:color="000000"/>
            </w:tcBorders>
          </w:tcPr>
          <w:p w14:paraId="49D049ED" w14:textId="77777777" w:rsidR="00742F5F" w:rsidRPr="00953F7D" w:rsidRDefault="00742F5F" w:rsidP="0069763E">
            <w:pPr>
              <w:pStyle w:val="Default"/>
              <w:ind w:left="34" w:firstLine="0"/>
              <w:jc w:val="both"/>
            </w:pPr>
            <w:r w:rsidRPr="00953F7D">
              <w:t xml:space="preserve">Specifies whether dividends / coupons are cumulative or noncumulative. </w:t>
            </w:r>
          </w:p>
          <w:p w14:paraId="49D049EE" w14:textId="77777777" w:rsidR="00742F5F" w:rsidRPr="00953F7D" w:rsidRDefault="00742F5F" w:rsidP="0069763E">
            <w:pPr>
              <w:pStyle w:val="Default"/>
              <w:ind w:left="34" w:firstLine="0"/>
              <w:jc w:val="both"/>
            </w:pPr>
            <w:r w:rsidRPr="00953F7D">
              <w:rPr>
                <w:i/>
                <w:iCs/>
              </w:rPr>
              <w:t xml:space="preserve">Select from menu: [Noncumulative] [Cumulative] </w:t>
            </w:r>
          </w:p>
        </w:tc>
      </w:tr>
      <w:tr w:rsidR="00742F5F" w:rsidRPr="00953F7D" w14:paraId="49D049F3"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F0" w14:textId="77777777" w:rsidR="00742F5F" w:rsidRPr="00953F7D" w:rsidRDefault="00742F5F" w:rsidP="009164E6">
            <w:pPr>
              <w:pStyle w:val="Default"/>
              <w:jc w:val="both"/>
            </w:pPr>
            <w:r w:rsidRPr="00953F7D">
              <w:t xml:space="preserve">23 </w:t>
            </w:r>
          </w:p>
        </w:tc>
        <w:tc>
          <w:tcPr>
            <w:tcW w:w="7513" w:type="dxa"/>
            <w:tcBorders>
              <w:top w:val="single" w:sz="8" w:space="0" w:color="000000"/>
              <w:left w:val="single" w:sz="8" w:space="0" w:color="000000"/>
              <w:bottom w:val="single" w:sz="8" w:space="0" w:color="000000"/>
              <w:right w:val="single" w:sz="6" w:space="0" w:color="000000"/>
            </w:tcBorders>
          </w:tcPr>
          <w:p w14:paraId="49D049F1" w14:textId="77777777" w:rsidR="00742F5F" w:rsidRPr="00953F7D" w:rsidRDefault="00742F5F" w:rsidP="0069763E">
            <w:pPr>
              <w:pStyle w:val="Default"/>
              <w:ind w:left="34" w:firstLine="0"/>
              <w:jc w:val="both"/>
            </w:pPr>
            <w:r w:rsidRPr="00953F7D">
              <w:t xml:space="preserve">Specifies whether instrument is convertible or not. Helps to assess loss absorbency. </w:t>
            </w:r>
          </w:p>
          <w:p w14:paraId="49D049F2" w14:textId="77777777" w:rsidR="00742F5F" w:rsidRPr="00953F7D" w:rsidRDefault="00742F5F" w:rsidP="0069763E">
            <w:pPr>
              <w:pStyle w:val="Default"/>
              <w:ind w:left="34" w:firstLine="0"/>
              <w:jc w:val="both"/>
            </w:pPr>
            <w:r w:rsidRPr="00953F7D">
              <w:rPr>
                <w:i/>
                <w:iCs/>
              </w:rPr>
              <w:t xml:space="preserve">Select from menu: [Convertible] [Nonconvertible] </w:t>
            </w:r>
          </w:p>
        </w:tc>
      </w:tr>
      <w:tr w:rsidR="00742F5F" w:rsidRPr="00953F7D" w14:paraId="49D049F7" w14:textId="77777777" w:rsidTr="009C3F64">
        <w:trPr>
          <w:trHeight w:val="289"/>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F4" w14:textId="77777777" w:rsidR="00742F5F" w:rsidRPr="00953F7D" w:rsidRDefault="00742F5F" w:rsidP="009164E6">
            <w:pPr>
              <w:pStyle w:val="Default"/>
              <w:jc w:val="both"/>
            </w:pPr>
            <w:r w:rsidRPr="00953F7D">
              <w:t xml:space="preserve">24 </w:t>
            </w:r>
          </w:p>
        </w:tc>
        <w:tc>
          <w:tcPr>
            <w:tcW w:w="7513" w:type="dxa"/>
            <w:tcBorders>
              <w:top w:val="single" w:sz="8" w:space="0" w:color="000000"/>
              <w:left w:val="single" w:sz="8" w:space="0" w:color="000000"/>
              <w:bottom w:val="single" w:sz="8" w:space="0" w:color="000000"/>
              <w:right w:val="single" w:sz="6" w:space="0" w:color="000000"/>
            </w:tcBorders>
          </w:tcPr>
          <w:p w14:paraId="49D049F5" w14:textId="77777777" w:rsidR="00742F5F" w:rsidRPr="00953F7D" w:rsidRDefault="00742F5F" w:rsidP="0069763E">
            <w:pPr>
              <w:pStyle w:val="Default"/>
              <w:ind w:left="34" w:firstLine="0"/>
              <w:jc w:val="both"/>
            </w:pPr>
            <w:r w:rsidRPr="00953F7D">
              <w:t xml:space="preserve">Specifies the conditions under which the instrument will convert, including point of non-viability. Where one or more authorities have the ability to trigger conversion, the authorities must be listed. For each of the authorities it must be stated whether it is the terms of the contract of the instrument that provide the legal basis for the authority to trigger conversion (a contractual approach) or whether the legal basis is provided by statutory means (a statutory approach). </w:t>
            </w:r>
          </w:p>
          <w:p w14:paraId="49D049F6" w14:textId="77777777" w:rsidR="00742F5F" w:rsidRPr="00953F7D" w:rsidRDefault="00742F5F" w:rsidP="0069763E">
            <w:pPr>
              <w:pStyle w:val="Default"/>
              <w:ind w:left="34" w:firstLine="0"/>
              <w:jc w:val="both"/>
            </w:pPr>
            <w:r w:rsidRPr="00953F7D">
              <w:rPr>
                <w:i/>
                <w:iCs/>
              </w:rPr>
              <w:t>Free text</w:t>
            </w:r>
          </w:p>
        </w:tc>
      </w:tr>
      <w:tr w:rsidR="00742F5F" w:rsidRPr="00953F7D" w14:paraId="49D049FB" w14:textId="77777777" w:rsidTr="009C3F64">
        <w:trPr>
          <w:trHeight w:val="290"/>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F8" w14:textId="77777777" w:rsidR="00742F5F" w:rsidRPr="00953F7D" w:rsidRDefault="00742F5F" w:rsidP="009164E6">
            <w:pPr>
              <w:pStyle w:val="Default"/>
              <w:jc w:val="both"/>
            </w:pPr>
            <w:r w:rsidRPr="00953F7D">
              <w:t xml:space="preserve">25 </w:t>
            </w:r>
          </w:p>
        </w:tc>
        <w:tc>
          <w:tcPr>
            <w:tcW w:w="7513" w:type="dxa"/>
            <w:tcBorders>
              <w:top w:val="single" w:sz="8" w:space="0" w:color="000000"/>
              <w:left w:val="single" w:sz="8" w:space="0" w:color="000000"/>
              <w:bottom w:val="single" w:sz="8" w:space="0" w:color="000000"/>
              <w:right w:val="single" w:sz="6" w:space="0" w:color="000000"/>
            </w:tcBorders>
          </w:tcPr>
          <w:p w14:paraId="49D049F9" w14:textId="77777777" w:rsidR="00742F5F" w:rsidRPr="00953F7D" w:rsidRDefault="00742F5F" w:rsidP="0069763E">
            <w:pPr>
              <w:pStyle w:val="Default"/>
              <w:ind w:left="34" w:firstLine="0"/>
              <w:jc w:val="both"/>
            </w:pPr>
            <w:r w:rsidRPr="00953F7D">
              <w:t xml:space="preserve">For conversion trigger separately, specifies whether the instrument will: (i) always convert fully; (ii) may convert fully or partially; or (iii) will always convert partially </w:t>
            </w:r>
          </w:p>
          <w:p w14:paraId="49D049FA" w14:textId="77777777" w:rsidR="00742F5F" w:rsidRPr="00953F7D" w:rsidRDefault="00742F5F" w:rsidP="0069763E">
            <w:pPr>
              <w:pStyle w:val="Default"/>
              <w:ind w:left="34" w:firstLine="0"/>
              <w:jc w:val="both"/>
            </w:pPr>
            <w:r w:rsidRPr="00953F7D">
              <w:rPr>
                <w:i/>
                <w:iCs/>
              </w:rPr>
              <w:t xml:space="preserve">Free text referencing one of the options above </w:t>
            </w:r>
          </w:p>
        </w:tc>
      </w:tr>
      <w:tr w:rsidR="00742F5F" w:rsidRPr="00953F7D" w14:paraId="49D049FF"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9FC" w14:textId="77777777" w:rsidR="00742F5F" w:rsidRPr="00953F7D" w:rsidRDefault="00742F5F" w:rsidP="009164E6">
            <w:pPr>
              <w:pStyle w:val="Default"/>
              <w:jc w:val="both"/>
            </w:pPr>
            <w:r w:rsidRPr="00953F7D">
              <w:t xml:space="preserve">26 </w:t>
            </w:r>
          </w:p>
        </w:tc>
        <w:tc>
          <w:tcPr>
            <w:tcW w:w="7513" w:type="dxa"/>
            <w:tcBorders>
              <w:top w:val="single" w:sz="8" w:space="0" w:color="000000"/>
              <w:left w:val="single" w:sz="8" w:space="0" w:color="000000"/>
              <w:bottom w:val="single" w:sz="8" w:space="0" w:color="000000"/>
              <w:right w:val="single" w:sz="6" w:space="0" w:color="000000"/>
            </w:tcBorders>
          </w:tcPr>
          <w:p w14:paraId="49D049FD" w14:textId="77777777" w:rsidR="00742F5F" w:rsidRPr="00953F7D" w:rsidRDefault="00742F5F" w:rsidP="0069763E">
            <w:pPr>
              <w:pStyle w:val="Default"/>
              <w:ind w:left="34" w:firstLine="0"/>
              <w:jc w:val="both"/>
            </w:pPr>
            <w:r w:rsidRPr="00953F7D">
              <w:t xml:space="preserve">Specifies rate of conversion into the more loss absorbent instrument. Helps to assess the degree of loss absorbency. </w:t>
            </w:r>
          </w:p>
          <w:p w14:paraId="49D049FE" w14:textId="77777777" w:rsidR="00742F5F" w:rsidRPr="00953F7D" w:rsidRDefault="00742F5F" w:rsidP="0069763E">
            <w:pPr>
              <w:pStyle w:val="Default"/>
              <w:ind w:left="34" w:firstLine="0"/>
              <w:jc w:val="both"/>
            </w:pPr>
            <w:r w:rsidRPr="00953F7D">
              <w:rPr>
                <w:i/>
                <w:iCs/>
              </w:rPr>
              <w:t xml:space="preserve">Free text </w:t>
            </w:r>
          </w:p>
        </w:tc>
      </w:tr>
      <w:tr w:rsidR="00742F5F" w:rsidRPr="00953F7D" w14:paraId="49D04A03"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A00" w14:textId="77777777" w:rsidR="00742F5F" w:rsidRPr="00953F7D" w:rsidRDefault="00742F5F" w:rsidP="009164E6">
            <w:pPr>
              <w:pStyle w:val="Default"/>
              <w:jc w:val="both"/>
            </w:pPr>
            <w:r w:rsidRPr="00953F7D">
              <w:t xml:space="preserve">27 </w:t>
            </w:r>
          </w:p>
        </w:tc>
        <w:tc>
          <w:tcPr>
            <w:tcW w:w="7513" w:type="dxa"/>
            <w:tcBorders>
              <w:top w:val="single" w:sz="8" w:space="0" w:color="000000"/>
              <w:left w:val="single" w:sz="8" w:space="0" w:color="000000"/>
              <w:bottom w:val="single" w:sz="8" w:space="0" w:color="000000"/>
              <w:right w:val="single" w:sz="6" w:space="0" w:color="000000"/>
            </w:tcBorders>
          </w:tcPr>
          <w:p w14:paraId="49D04A01" w14:textId="77777777" w:rsidR="00742F5F" w:rsidRPr="00953F7D" w:rsidRDefault="00742F5F" w:rsidP="0069763E">
            <w:pPr>
              <w:pStyle w:val="Default"/>
              <w:ind w:left="34" w:firstLine="0"/>
              <w:jc w:val="both"/>
            </w:pPr>
            <w:r w:rsidRPr="00953F7D">
              <w:t xml:space="preserve">If convertible, specifies whether conversion is mandatory or optional. Helps to assess loss absorbency. </w:t>
            </w:r>
          </w:p>
          <w:p w14:paraId="49D04A02" w14:textId="77777777" w:rsidR="00742F5F" w:rsidRPr="00953F7D" w:rsidRDefault="00742F5F" w:rsidP="0069763E">
            <w:pPr>
              <w:pStyle w:val="Default"/>
              <w:ind w:left="34" w:firstLine="0"/>
              <w:jc w:val="both"/>
            </w:pPr>
            <w:r w:rsidRPr="00953F7D">
              <w:rPr>
                <w:i/>
                <w:iCs/>
              </w:rPr>
              <w:t xml:space="preserve">Select from menu: [Mandatory] [Optional] [NA] </w:t>
            </w:r>
          </w:p>
        </w:tc>
      </w:tr>
      <w:tr w:rsidR="00742F5F" w:rsidRPr="00953F7D" w14:paraId="49D04A07"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A04" w14:textId="77777777" w:rsidR="00742F5F" w:rsidRPr="00953F7D" w:rsidRDefault="00742F5F" w:rsidP="009164E6">
            <w:pPr>
              <w:pStyle w:val="Default"/>
              <w:jc w:val="both"/>
            </w:pPr>
            <w:r w:rsidRPr="00953F7D">
              <w:t xml:space="preserve">28 </w:t>
            </w:r>
          </w:p>
        </w:tc>
        <w:tc>
          <w:tcPr>
            <w:tcW w:w="7513" w:type="dxa"/>
            <w:tcBorders>
              <w:top w:val="single" w:sz="8" w:space="0" w:color="000000"/>
              <w:left w:val="single" w:sz="8" w:space="0" w:color="000000"/>
              <w:bottom w:val="single" w:sz="8" w:space="0" w:color="000000"/>
              <w:right w:val="single" w:sz="6" w:space="0" w:color="000000"/>
            </w:tcBorders>
          </w:tcPr>
          <w:p w14:paraId="49D04A05" w14:textId="77777777" w:rsidR="00742F5F" w:rsidRPr="00953F7D" w:rsidRDefault="00742F5F" w:rsidP="0069763E">
            <w:pPr>
              <w:pStyle w:val="Default"/>
              <w:ind w:left="34" w:firstLine="0"/>
              <w:jc w:val="both"/>
            </w:pPr>
            <w:r w:rsidRPr="00953F7D">
              <w:t xml:space="preserve">If convertible, specifies the instrument type into which it can be converted. Helps to assess loss absorbency. </w:t>
            </w:r>
          </w:p>
          <w:p w14:paraId="49D04A06" w14:textId="77777777" w:rsidR="00742F5F" w:rsidRPr="00953F7D" w:rsidRDefault="00742F5F" w:rsidP="0069763E">
            <w:pPr>
              <w:pStyle w:val="Default"/>
              <w:ind w:left="34" w:firstLine="0"/>
              <w:jc w:val="both"/>
            </w:pPr>
            <w:r w:rsidRPr="00953F7D">
              <w:rPr>
                <w:i/>
                <w:iCs/>
              </w:rPr>
              <w:t xml:space="preserve">Select from menu: [Common Equity Tier 1] [Additional Tier 1] [Tier 2] [Other] </w:t>
            </w:r>
          </w:p>
        </w:tc>
      </w:tr>
      <w:tr w:rsidR="00742F5F" w:rsidRPr="00953F7D" w14:paraId="49D04A0B"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A08" w14:textId="77777777" w:rsidR="00742F5F" w:rsidRPr="00953F7D" w:rsidRDefault="00742F5F" w:rsidP="009164E6">
            <w:pPr>
              <w:pStyle w:val="Default"/>
              <w:jc w:val="both"/>
            </w:pPr>
            <w:r w:rsidRPr="00953F7D">
              <w:t xml:space="preserve">29 </w:t>
            </w:r>
          </w:p>
        </w:tc>
        <w:tc>
          <w:tcPr>
            <w:tcW w:w="7513" w:type="dxa"/>
            <w:tcBorders>
              <w:top w:val="single" w:sz="8" w:space="0" w:color="000000"/>
              <w:left w:val="single" w:sz="8" w:space="0" w:color="000000"/>
              <w:bottom w:val="single" w:sz="8" w:space="0" w:color="000000"/>
              <w:right w:val="single" w:sz="6" w:space="0" w:color="000000"/>
            </w:tcBorders>
          </w:tcPr>
          <w:p w14:paraId="49D04A09" w14:textId="77777777" w:rsidR="00742F5F" w:rsidRPr="00953F7D" w:rsidRDefault="00742F5F" w:rsidP="0069763E">
            <w:pPr>
              <w:pStyle w:val="Default"/>
              <w:ind w:left="34" w:firstLine="0"/>
              <w:jc w:val="both"/>
            </w:pPr>
            <w:r w:rsidRPr="00953F7D">
              <w:t xml:space="preserve">If convertible, specifies the issuer of the instrument into which it can be converted. </w:t>
            </w:r>
          </w:p>
          <w:p w14:paraId="49D04A0A" w14:textId="77777777" w:rsidR="00742F5F" w:rsidRPr="00953F7D" w:rsidRDefault="00742F5F" w:rsidP="0069763E">
            <w:pPr>
              <w:pStyle w:val="Default"/>
              <w:ind w:left="34" w:firstLine="0"/>
              <w:jc w:val="both"/>
            </w:pPr>
            <w:r w:rsidRPr="00953F7D">
              <w:rPr>
                <w:i/>
                <w:iCs/>
              </w:rPr>
              <w:t xml:space="preserve">Free text </w:t>
            </w:r>
          </w:p>
        </w:tc>
      </w:tr>
      <w:tr w:rsidR="00742F5F" w:rsidRPr="00953F7D" w14:paraId="49D04A0F"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A0C" w14:textId="77777777" w:rsidR="00742F5F" w:rsidRPr="00953F7D" w:rsidRDefault="00742F5F" w:rsidP="009164E6">
            <w:pPr>
              <w:pStyle w:val="Default"/>
              <w:jc w:val="both"/>
            </w:pPr>
            <w:r w:rsidRPr="00953F7D">
              <w:t xml:space="preserve">30 </w:t>
            </w:r>
          </w:p>
        </w:tc>
        <w:tc>
          <w:tcPr>
            <w:tcW w:w="7513" w:type="dxa"/>
            <w:tcBorders>
              <w:top w:val="single" w:sz="8" w:space="0" w:color="000000"/>
              <w:left w:val="single" w:sz="8" w:space="0" w:color="000000"/>
              <w:bottom w:val="single" w:sz="8" w:space="0" w:color="000000"/>
              <w:right w:val="single" w:sz="6" w:space="0" w:color="000000"/>
            </w:tcBorders>
          </w:tcPr>
          <w:p w14:paraId="49D04A0D" w14:textId="77777777" w:rsidR="00742F5F" w:rsidRPr="00953F7D" w:rsidRDefault="00742F5F" w:rsidP="0069763E">
            <w:pPr>
              <w:pStyle w:val="Default"/>
              <w:ind w:left="34" w:firstLine="0"/>
              <w:jc w:val="both"/>
            </w:pPr>
            <w:r w:rsidRPr="00953F7D">
              <w:t xml:space="preserve">Specifies whether there is a write down feature. Helps to assess loss absorbency. </w:t>
            </w:r>
          </w:p>
          <w:p w14:paraId="49D04A0E" w14:textId="77777777" w:rsidR="00742F5F" w:rsidRPr="00953F7D" w:rsidRDefault="00742F5F" w:rsidP="0069763E">
            <w:pPr>
              <w:pStyle w:val="Default"/>
              <w:ind w:left="34" w:firstLine="0"/>
              <w:jc w:val="both"/>
            </w:pPr>
            <w:r w:rsidRPr="00953F7D">
              <w:rPr>
                <w:i/>
                <w:iCs/>
              </w:rPr>
              <w:t xml:space="preserve">Select from menu: [Yes] [No] </w:t>
            </w:r>
          </w:p>
        </w:tc>
      </w:tr>
      <w:tr w:rsidR="00742F5F" w:rsidRPr="00953F7D" w14:paraId="49D04A13" w14:textId="77777777" w:rsidTr="009C3F64">
        <w:trPr>
          <w:trHeight w:val="474"/>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A10" w14:textId="77777777" w:rsidR="00742F5F" w:rsidRPr="00953F7D" w:rsidRDefault="00742F5F" w:rsidP="009164E6">
            <w:pPr>
              <w:pStyle w:val="Default"/>
              <w:jc w:val="both"/>
            </w:pPr>
            <w:r w:rsidRPr="00953F7D">
              <w:t xml:space="preserve">31 </w:t>
            </w:r>
          </w:p>
        </w:tc>
        <w:tc>
          <w:tcPr>
            <w:tcW w:w="7513" w:type="dxa"/>
            <w:tcBorders>
              <w:top w:val="single" w:sz="8" w:space="0" w:color="000000"/>
              <w:left w:val="single" w:sz="8" w:space="0" w:color="000000"/>
              <w:bottom w:val="single" w:sz="8" w:space="0" w:color="000000"/>
              <w:right w:val="single" w:sz="6" w:space="0" w:color="000000"/>
            </w:tcBorders>
          </w:tcPr>
          <w:p w14:paraId="49D04A11" w14:textId="77777777" w:rsidR="00742F5F" w:rsidRPr="00953F7D" w:rsidRDefault="00742F5F" w:rsidP="0069763E">
            <w:pPr>
              <w:pStyle w:val="Default"/>
              <w:ind w:left="34" w:firstLine="0"/>
              <w:jc w:val="both"/>
            </w:pPr>
            <w:r w:rsidRPr="00953F7D">
              <w:t xml:space="preserve">Specifies the trigger at which write-down occurs, including point of non-viability. Where one or more authorities have the ability to trigger write-down, the authorities must be listed. For each of the authorities it must be stated whether it is the terms of the contract of the instrument that provide the legal basis for the authority to trigger write-down (a contractual approach) or whether the legal basis is provided by statutory means (a statutory approach). </w:t>
            </w:r>
          </w:p>
          <w:p w14:paraId="49D04A12" w14:textId="77777777" w:rsidR="00742F5F" w:rsidRPr="00953F7D" w:rsidRDefault="00742F5F" w:rsidP="0069763E">
            <w:pPr>
              <w:pStyle w:val="Default"/>
              <w:ind w:left="34" w:firstLine="0"/>
              <w:jc w:val="both"/>
            </w:pPr>
            <w:r w:rsidRPr="00953F7D">
              <w:rPr>
                <w:i/>
                <w:iCs/>
              </w:rPr>
              <w:t xml:space="preserve">Free text </w:t>
            </w:r>
          </w:p>
        </w:tc>
      </w:tr>
      <w:tr w:rsidR="00742F5F" w:rsidRPr="00953F7D" w14:paraId="49D04A17" w14:textId="77777777" w:rsidTr="009C3F64">
        <w:trPr>
          <w:trHeight w:val="382"/>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A14" w14:textId="77777777" w:rsidR="00742F5F" w:rsidRPr="00953F7D" w:rsidRDefault="00742F5F" w:rsidP="009164E6">
            <w:pPr>
              <w:pStyle w:val="Default"/>
              <w:jc w:val="both"/>
            </w:pPr>
            <w:r w:rsidRPr="00953F7D">
              <w:t xml:space="preserve">32 </w:t>
            </w:r>
          </w:p>
        </w:tc>
        <w:tc>
          <w:tcPr>
            <w:tcW w:w="7513" w:type="dxa"/>
            <w:tcBorders>
              <w:top w:val="single" w:sz="8" w:space="0" w:color="000000"/>
              <w:left w:val="single" w:sz="8" w:space="0" w:color="000000"/>
              <w:bottom w:val="single" w:sz="8" w:space="0" w:color="000000"/>
              <w:right w:val="single" w:sz="6" w:space="0" w:color="000000"/>
            </w:tcBorders>
          </w:tcPr>
          <w:p w14:paraId="49D04A15" w14:textId="77777777" w:rsidR="00742F5F" w:rsidRPr="00953F7D" w:rsidRDefault="00742F5F" w:rsidP="0069763E">
            <w:pPr>
              <w:pStyle w:val="Default"/>
              <w:ind w:left="34" w:firstLine="0"/>
              <w:jc w:val="both"/>
            </w:pPr>
            <w:r w:rsidRPr="00953F7D">
              <w:t xml:space="preserve">For each write-down trigger separately, specifies whether the instrument will: (i) always be written down fully: (ii) may be written down partially; or (iii) will always be written down partially. Helps assess the level of loss absorbency at write-down. </w:t>
            </w:r>
          </w:p>
          <w:p w14:paraId="49D04A16" w14:textId="77777777" w:rsidR="00742F5F" w:rsidRPr="00953F7D" w:rsidRDefault="00742F5F" w:rsidP="009164E6">
            <w:pPr>
              <w:pStyle w:val="Default"/>
              <w:jc w:val="both"/>
            </w:pPr>
            <w:r w:rsidRPr="00953F7D">
              <w:rPr>
                <w:i/>
                <w:iCs/>
              </w:rPr>
              <w:t xml:space="preserve">Free text referencing one of the options above </w:t>
            </w:r>
          </w:p>
        </w:tc>
      </w:tr>
      <w:tr w:rsidR="00742F5F" w:rsidRPr="00953F7D" w14:paraId="49D04A1B"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A18" w14:textId="77777777" w:rsidR="00742F5F" w:rsidRPr="00953F7D" w:rsidRDefault="00742F5F" w:rsidP="009164E6">
            <w:pPr>
              <w:pStyle w:val="Default"/>
              <w:jc w:val="both"/>
            </w:pPr>
            <w:r w:rsidRPr="00953F7D">
              <w:t xml:space="preserve">33 </w:t>
            </w:r>
          </w:p>
        </w:tc>
        <w:tc>
          <w:tcPr>
            <w:tcW w:w="7513" w:type="dxa"/>
            <w:tcBorders>
              <w:top w:val="single" w:sz="8" w:space="0" w:color="000000"/>
              <w:left w:val="single" w:sz="8" w:space="0" w:color="000000"/>
              <w:bottom w:val="single" w:sz="8" w:space="0" w:color="000000"/>
              <w:right w:val="single" w:sz="6" w:space="0" w:color="000000"/>
            </w:tcBorders>
          </w:tcPr>
          <w:p w14:paraId="49D04A19" w14:textId="77777777" w:rsidR="00742F5F" w:rsidRPr="00953F7D" w:rsidRDefault="00742F5F" w:rsidP="0069763E">
            <w:pPr>
              <w:pStyle w:val="Default"/>
              <w:ind w:left="34" w:firstLine="0"/>
              <w:jc w:val="both"/>
            </w:pPr>
            <w:r w:rsidRPr="00953F7D">
              <w:t xml:space="preserve">For write down instrument, specifies whether write down is permanent or temporary. Helps to assess loss absorbency. </w:t>
            </w:r>
          </w:p>
          <w:p w14:paraId="49D04A1A" w14:textId="77777777" w:rsidR="00742F5F" w:rsidRPr="00953F7D" w:rsidRDefault="00742F5F" w:rsidP="009164E6">
            <w:pPr>
              <w:pStyle w:val="Default"/>
              <w:jc w:val="both"/>
            </w:pPr>
            <w:r w:rsidRPr="00953F7D">
              <w:rPr>
                <w:i/>
                <w:iCs/>
              </w:rPr>
              <w:t xml:space="preserve">Select from menu: [Permanent] [Temporary] [NA] </w:t>
            </w:r>
          </w:p>
        </w:tc>
      </w:tr>
      <w:tr w:rsidR="00742F5F" w:rsidRPr="00953F7D" w14:paraId="49D04A1F" w14:textId="77777777" w:rsidTr="009C3F64">
        <w:trPr>
          <w:trHeight w:val="198"/>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A1C" w14:textId="77777777" w:rsidR="00742F5F" w:rsidRPr="00953F7D" w:rsidRDefault="00742F5F" w:rsidP="009164E6">
            <w:pPr>
              <w:pStyle w:val="Default"/>
              <w:jc w:val="both"/>
            </w:pPr>
            <w:r w:rsidRPr="00953F7D">
              <w:t xml:space="preserve">34 </w:t>
            </w:r>
          </w:p>
        </w:tc>
        <w:tc>
          <w:tcPr>
            <w:tcW w:w="7513" w:type="dxa"/>
            <w:tcBorders>
              <w:top w:val="single" w:sz="8" w:space="0" w:color="000000"/>
              <w:left w:val="single" w:sz="8" w:space="0" w:color="000000"/>
              <w:bottom w:val="single" w:sz="8" w:space="0" w:color="000000"/>
              <w:right w:val="single" w:sz="6" w:space="0" w:color="000000"/>
            </w:tcBorders>
          </w:tcPr>
          <w:p w14:paraId="49D04A1D" w14:textId="77777777" w:rsidR="00742F5F" w:rsidRPr="00953F7D" w:rsidRDefault="00742F5F" w:rsidP="0069763E">
            <w:pPr>
              <w:pStyle w:val="Default"/>
              <w:ind w:left="34" w:firstLine="0"/>
              <w:jc w:val="both"/>
            </w:pPr>
            <w:r w:rsidRPr="00953F7D">
              <w:t xml:space="preserve">For instrument that has a temporary write-down, description of write-up mechanism. </w:t>
            </w:r>
          </w:p>
          <w:p w14:paraId="49D04A1E" w14:textId="77777777" w:rsidR="00742F5F" w:rsidRPr="00953F7D" w:rsidRDefault="00742F5F" w:rsidP="009164E6">
            <w:pPr>
              <w:pStyle w:val="Default"/>
              <w:jc w:val="both"/>
            </w:pPr>
            <w:r w:rsidRPr="00953F7D">
              <w:rPr>
                <w:i/>
                <w:iCs/>
              </w:rPr>
              <w:t xml:space="preserve">Free text </w:t>
            </w:r>
          </w:p>
        </w:tc>
      </w:tr>
      <w:tr w:rsidR="00742F5F" w:rsidRPr="00953F7D" w14:paraId="49D04A23" w14:textId="77777777" w:rsidTr="009C3F64">
        <w:trPr>
          <w:trHeight w:val="382"/>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A20" w14:textId="77777777" w:rsidR="00742F5F" w:rsidRPr="00953F7D" w:rsidRDefault="00742F5F" w:rsidP="009164E6">
            <w:pPr>
              <w:pStyle w:val="Default"/>
              <w:jc w:val="both"/>
            </w:pPr>
            <w:r w:rsidRPr="00953F7D">
              <w:t xml:space="preserve">35 </w:t>
            </w:r>
          </w:p>
        </w:tc>
        <w:tc>
          <w:tcPr>
            <w:tcW w:w="7513" w:type="dxa"/>
            <w:tcBorders>
              <w:top w:val="single" w:sz="8" w:space="0" w:color="000000"/>
              <w:left w:val="single" w:sz="8" w:space="0" w:color="000000"/>
              <w:bottom w:val="single" w:sz="8" w:space="0" w:color="000000"/>
              <w:right w:val="single" w:sz="6" w:space="0" w:color="000000"/>
            </w:tcBorders>
          </w:tcPr>
          <w:p w14:paraId="49D04A21" w14:textId="77777777" w:rsidR="00742F5F" w:rsidRPr="00953F7D" w:rsidRDefault="00742F5F" w:rsidP="0069763E">
            <w:pPr>
              <w:pStyle w:val="Default"/>
              <w:ind w:left="34" w:firstLine="0"/>
              <w:jc w:val="both"/>
            </w:pPr>
            <w:r w:rsidRPr="00953F7D">
              <w:t xml:space="preserve">Specifies instrument to which it is most immediately subordinate. Helps to assess loss absorbency on gone-concern basis. Where applicable, ADIs must specify the column numbers of the instruments in the completed main features template to which the instrument is most immediately subordinate. </w:t>
            </w:r>
          </w:p>
          <w:p w14:paraId="49D04A22" w14:textId="77777777" w:rsidR="00742F5F" w:rsidRPr="00953F7D" w:rsidRDefault="00742F5F" w:rsidP="009164E6">
            <w:pPr>
              <w:pStyle w:val="Default"/>
              <w:jc w:val="both"/>
            </w:pPr>
            <w:r w:rsidRPr="00953F7D">
              <w:rPr>
                <w:i/>
                <w:iCs/>
              </w:rPr>
              <w:t xml:space="preserve">Free text </w:t>
            </w:r>
          </w:p>
        </w:tc>
      </w:tr>
      <w:tr w:rsidR="00742F5F" w:rsidRPr="00953F7D" w14:paraId="49D04A27" w14:textId="77777777" w:rsidTr="009C3F64">
        <w:trPr>
          <w:trHeight w:val="199"/>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A24" w14:textId="77777777" w:rsidR="00742F5F" w:rsidRPr="00953F7D" w:rsidRDefault="00742F5F" w:rsidP="009164E6">
            <w:pPr>
              <w:pStyle w:val="Default"/>
              <w:jc w:val="both"/>
            </w:pPr>
            <w:r w:rsidRPr="00953F7D">
              <w:t xml:space="preserve">36 </w:t>
            </w:r>
          </w:p>
        </w:tc>
        <w:tc>
          <w:tcPr>
            <w:tcW w:w="7513" w:type="dxa"/>
            <w:tcBorders>
              <w:top w:val="single" w:sz="8" w:space="0" w:color="000000"/>
              <w:left w:val="single" w:sz="8" w:space="0" w:color="000000"/>
              <w:bottom w:val="single" w:sz="8" w:space="0" w:color="000000"/>
              <w:right w:val="single" w:sz="6" w:space="0" w:color="000000"/>
            </w:tcBorders>
          </w:tcPr>
          <w:p w14:paraId="49D04A25" w14:textId="77777777" w:rsidR="00742F5F" w:rsidRPr="00953F7D" w:rsidRDefault="00742F5F" w:rsidP="009164E6">
            <w:pPr>
              <w:pStyle w:val="Default"/>
              <w:jc w:val="both"/>
            </w:pPr>
            <w:r w:rsidRPr="00953F7D">
              <w:t xml:space="preserve">Specifies whether there are non-compliant features. </w:t>
            </w:r>
          </w:p>
          <w:p w14:paraId="49D04A26" w14:textId="77777777" w:rsidR="00742F5F" w:rsidRPr="00953F7D" w:rsidRDefault="00742F5F" w:rsidP="009164E6">
            <w:pPr>
              <w:pStyle w:val="Default"/>
              <w:jc w:val="both"/>
            </w:pPr>
            <w:r w:rsidRPr="00953F7D">
              <w:rPr>
                <w:i/>
                <w:iCs/>
              </w:rPr>
              <w:t xml:space="preserve">Select from menu: [Yes] [No] </w:t>
            </w:r>
          </w:p>
        </w:tc>
      </w:tr>
      <w:tr w:rsidR="00742F5F" w:rsidRPr="00953F7D" w14:paraId="49D04A2B" w14:textId="77777777" w:rsidTr="009C3F64">
        <w:trPr>
          <w:trHeight w:val="291"/>
        </w:trPr>
        <w:tc>
          <w:tcPr>
            <w:tcW w:w="709" w:type="dxa"/>
            <w:tcBorders>
              <w:top w:val="single" w:sz="8" w:space="0" w:color="000000"/>
              <w:left w:val="single" w:sz="6" w:space="0" w:color="000000"/>
              <w:bottom w:val="single" w:sz="8" w:space="0" w:color="000000"/>
              <w:right w:val="single" w:sz="8" w:space="0" w:color="000000"/>
            </w:tcBorders>
            <w:shd w:val="clear" w:color="auto" w:fill="FFFFFF"/>
          </w:tcPr>
          <w:p w14:paraId="49D04A28" w14:textId="77777777" w:rsidR="00742F5F" w:rsidRPr="00953F7D" w:rsidRDefault="00742F5F" w:rsidP="009164E6">
            <w:pPr>
              <w:pStyle w:val="Default"/>
              <w:jc w:val="both"/>
            </w:pPr>
            <w:r w:rsidRPr="00953F7D">
              <w:t xml:space="preserve">37 </w:t>
            </w:r>
          </w:p>
        </w:tc>
        <w:tc>
          <w:tcPr>
            <w:tcW w:w="7513" w:type="dxa"/>
            <w:tcBorders>
              <w:top w:val="single" w:sz="8" w:space="0" w:color="000000"/>
              <w:left w:val="single" w:sz="8" w:space="0" w:color="000000"/>
              <w:bottom w:val="single" w:sz="8" w:space="0" w:color="000000"/>
              <w:right w:val="single" w:sz="6" w:space="0" w:color="000000"/>
            </w:tcBorders>
          </w:tcPr>
          <w:p w14:paraId="49D04A29" w14:textId="77777777" w:rsidR="00742F5F" w:rsidRPr="00953F7D" w:rsidRDefault="00742F5F" w:rsidP="0069763E">
            <w:pPr>
              <w:pStyle w:val="Default"/>
              <w:ind w:left="34" w:firstLine="0"/>
              <w:jc w:val="both"/>
            </w:pPr>
            <w:r w:rsidRPr="00953F7D">
              <w:t xml:space="preserve">Specifies any non-compliant features. Helps to assess instrument loss absorbency. </w:t>
            </w:r>
          </w:p>
          <w:p w14:paraId="49D04A2A" w14:textId="77777777" w:rsidR="00742F5F" w:rsidRPr="00953F7D" w:rsidRDefault="00742F5F" w:rsidP="009164E6">
            <w:pPr>
              <w:pStyle w:val="Default"/>
              <w:jc w:val="both"/>
            </w:pPr>
            <w:r w:rsidRPr="00953F7D">
              <w:rPr>
                <w:i/>
                <w:iCs/>
              </w:rPr>
              <w:t xml:space="preserve">Free text </w:t>
            </w:r>
          </w:p>
        </w:tc>
      </w:tr>
    </w:tbl>
    <w:p w14:paraId="49D04A2C" w14:textId="77777777" w:rsidR="00742F5F" w:rsidRPr="00953F7D" w:rsidRDefault="00742F5F" w:rsidP="00742F5F">
      <w:pPr>
        <w:pStyle w:val="Heading3"/>
        <w:keepNext w:val="0"/>
        <w:widowControl w:val="0"/>
        <w:spacing w:before="120" w:after="360"/>
        <w:jc w:val="both"/>
        <w:rPr>
          <w:rFonts w:ascii="Times New Roman" w:hAnsi="Times New Roman" w:cs="Times New Roman"/>
          <w:b/>
          <w:szCs w:val="24"/>
        </w:rPr>
      </w:pPr>
    </w:p>
    <w:p w14:paraId="49D04A2D" w14:textId="77777777" w:rsidR="00742F5F" w:rsidRPr="00953F7D" w:rsidRDefault="00742F5F" w:rsidP="00742F5F">
      <w:pPr>
        <w:jc w:val="both"/>
        <w:sectPr w:rsidR="00742F5F" w:rsidRPr="00953F7D" w:rsidSect="00B95841">
          <w:footerReference w:type="default" r:id="rId21"/>
          <w:pgSz w:w="11906" w:h="16838"/>
          <w:pgMar w:top="1440" w:right="1797" w:bottom="1440" w:left="1797" w:header="709" w:footer="709" w:gutter="0"/>
          <w:cols w:space="708"/>
          <w:docGrid w:linePitch="360"/>
        </w:sectPr>
      </w:pPr>
    </w:p>
    <w:p w14:paraId="49D04A2E" w14:textId="77777777" w:rsidR="00742F5F" w:rsidRPr="00953F7D" w:rsidRDefault="00742F5F" w:rsidP="00742F5F">
      <w:pPr>
        <w:pStyle w:val="Heading3"/>
        <w:spacing w:before="120" w:after="360"/>
        <w:jc w:val="both"/>
        <w:rPr>
          <w:b/>
          <w:sz w:val="32"/>
          <w:szCs w:val="32"/>
        </w:rPr>
      </w:pPr>
      <w:bookmarkStart w:id="163" w:name="_Toc387407127"/>
      <w:bookmarkStart w:id="164" w:name="_Toc387407363"/>
      <w:bookmarkStart w:id="165" w:name="_Toc391024780"/>
      <w:bookmarkStart w:id="166" w:name="_Toc506286036"/>
      <w:r w:rsidRPr="00953F7D">
        <w:rPr>
          <w:b/>
          <w:sz w:val="32"/>
          <w:szCs w:val="32"/>
        </w:rPr>
        <w:t>Attachment C</w:t>
      </w:r>
      <w:bookmarkEnd w:id="163"/>
      <w:bookmarkEnd w:id="164"/>
      <w:bookmarkEnd w:id="165"/>
      <w:bookmarkEnd w:id="166"/>
    </w:p>
    <w:p w14:paraId="49D04A2F" w14:textId="77777777" w:rsidR="00742F5F" w:rsidRPr="00953F7D" w:rsidRDefault="00742F5F" w:rsidP="00742F5F">
      <w:pPr>
        <w:pStyle w:val="Heading3"/>
        <w:spacing w:before="120" w:after="360"/>
        <w:jc w:val="both"/>
        <w:rPr>
          <w:b/>
          <w:sz w:val="32"/>
          <w:szCs w:val="32"/>
        </w:rPr>
      </w:pPr>
      <w:bookmarkStart w:id="167" w:name="_Toc352665702"/>
      <w:bookmarkStart w:id="168" w:name="_Toc358286587"/>
      <w:bookmarkStart w:id="169" w:name="_Toc360011877"/>
      <w:bookmarkStart w:id="170" w:name="_Toc395701856"/>
      <w:bookmarkStart w:id="171" w:name="_Toc506286037"/>
      <w:r w:rsidRPr="00953F7D">
        <w:rPr>
          <w:b/>
          <w:sz w:val="32"/>
          <w:szCs w:val="32"/>
        </w:rPr>
        <w:t>Risk exposures and assessment (all ADIs)</w:t>
      </w:r>
      <w:bookmarkEnd w:id="167"/>
      <w:bookmarkEnd w:id="168"/>
      <w:bookmarkEnd w:id="169"/>
      <w:bookmarkEnd w:id="170"/>
      <w:bookmarkEnd w:id="171"/>
    </w:p>
    <w:p w14:paraId="49D04A30" w14:textId="10E6D10A" w:rsidR="00742F5F" w:rsidRPr="00953F7D" w:rsidRDefault="00742F5F" w:rsidP="00044A3D">
      <w:pPr>
        <w:pStyle w:val="BodyText"/>
        <w:numPr>
          <w:ilvl w:val="0"/>
          <w:numId w:val="39"/>
        </w:numPr>
      </w:pPr>
      <w:r w:rsidRPr="00953F7D">
        <w:t>A locally</w:t>
      </w:r>
      <w:r w:rsidR="001410AB">
        <w:t>-</w:t>
      </w:r>
      <w:r w:rsidRPr="00953F7D">
        <w:t>incorporated ADI must make the disclosures required in this Attachment to the extent applicable to that ADI.</w:t>
      </w:r>
    </w:p>
    <w:p w14:paraId="49D04A31" w14:textId="77777777" w:rsidR="00742F5F" w:rsidRPr="00953F7D" w:rsidRDefault="00742F5F" w:rsidP="008B2850">
      <w:pPr>
        <w:keepNext/>
        <w:autoSpaceDE w:val="0"/>
        <w:autoSpaceDN w:val="0"/>
        <w:adjustRightInd w:val="0"/>
        <w:spacing w:before="240" w:after="240"/>
        <w:ind w:firstLine="0"/>
        <w:jc w:val="both"/>
        <w:rPr>
          <w:bCs/>
          <w:color w:val="000000"/>
        </w:rPr>
      </w:pPr>
      <w:r w:rsidRPr="00953F7D">
        <w:rPr>
          <w:bCs/>
          <w:color w:val="000000"/>
        </w:rPr>
        <w:t xml:space="preserve">Table 3:  Capital adequacy </w:t>
      </w:r>
    </w:p>
    <w:tbl>
      <w:tblPr>
        <w:tblW w:w="82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20"/>
        <w:gridCol w:w="7697"/>
      </w:tblGrid>
      <w:tr w:rsidR="00742F5F" w:rsidRPr="00953F7D" w14:paraId="49D04A36" w14:textId="77777777" w:rsidTr="009C3F64">
        <w:trPr>
          <w:trHeight w:val="539"/>
          <w:jc w:val="center"/>
        </w:trPr>
        <w:tc>
          <w:tcPr>
            <w:tcW w:w="520" w:type="dxa"/>
          </w:tcPr>
          <w:p w14:paraId="49D04A32" w14:textId="77777777" w:rsidR="00742F5F" w:rsidRPr="00953F7D" w:rsidRDefault="00742F5F" w:rsidP="009164E6">
            <w:pPr>
              <w:keepNext/>
              <w:spacing w:before="60" w:after="60"/>
              <w:jc w:val="both"/>
              <w:rPr>
                <w:color w:val="000000"/>
              </w:rPr>
            </w:pPr>
            <w:r w:rsidRPr="00953F7D">
              <w:rPr>
                <w:color w:val="000000"/>
              </w:rPr>
              <w:t xml:space="preserve">(a) </w:t>
            </w:r>
          </w:p>
        </w:tc>
        <w:tc>
          <w:tcPr>
            <w:tcW w:w="7697" w:type="dxa"/>
          </w:tcPr>
          <w:p w14:paraId="49D04A33" w14:textId="77777777" w:rsidR="00742F5F" w:rsidRPr="00953F7D" w:rsidRDefault="00742F5F" w:rsidP="009164E6">
            <w:pPr>
              <w:keepNext/>
              <w:spacing w:before="60" w:after="60"/>
              <w:jc w:val="both"/>
              <w:rPr>
                <w:color w:val="000000"/>
              </w:rPr>
            </w:pPr>
            <w:r w:rsidRPr="00953F7D">
              <w:rPr>
                <w:color w:val="000000"/>
              </w:rPr>
              <w:t>Capital requirements (in terms of risk-weighted assets) for:</w:t>
            </w:r>
          </w:p>
          <w:p w14:paraId="49D04A34" w14:textId="77777777" w:rsidR="00742F5F" w:rsidRPr="00953F7D" w:rsidRDefault="00742F5F" w:rsidP="00E9482F">
            <w:pPr>
              <w:keepNext/>
              <w:keepLines/>
              <w:numPr>
                <w:ilvl w:val="0"/>
                <w:numId w:val="11"/>
              </w:numPr>
              <w:autoSpaceDE w:val="0"/>
              <w:autoSpaceDN w:val="0"/>
              <w:adjustRightInd w:val="0"/>
              <w:spacing w:before="60" w:after="60"/>
              <w:jc w:val="both"/>
              <w:rPr>
                <w:color w:val="000000"/>
              </w:rPr>
            </w:pPr>
            <w:r w:rsidRPr="00953F7D">
              <w:rPr>
                <w:color w:val="000000"/>
              </w:rPr>
              <w:t>credit risk (excluding securitisation) by portfolio</w:t>
            </w:r>
            <w:r w:rsidRPr="00953F7D">
              <w:rPr>
                <w:rStyle w:val="FootnoteReference"/>
                <w:color w:val="000000"/>
              </w:rPr>
              <w:footnoteReference w:id="15"/>
            </w:r>
            <w:r w:rsidR="00CD6C85" w:rsidRPr="00953F7D">
              <w:rPr>
                <w:color w:val="000000"/>
              </w:rPr>
              <w:t>;</w:t>
            </w:r>
            <w:r w:rsidRPr="00953F7D">
              <w:rPr>
                <w:color w:val="000000"/>
              </w:rPr>
              <w:t xml:space="preserve"> and</w:t>
            </w:r>
          </w:p>
          <w:p w14:paraId="49D04A35" w14:textId="77777777" w:rsidR="00742F5F" w:rsidRPr="00953F7D" w:rsidRDefault="00742F5F" w:rsidP="00E9482F">
            <w:pPr>
              <w:keepNext/>
              <w:keepLines/>
              <w:numPr>
                <w:ilvl w:val="0"/>
                <w:numId w:val="11"/>
              </w:numPr>
              <w:autoSpaceDE w:val="0"/>
              <w:autoSpaceDN w:val="0"/>
              <w:adjustRightInd w:val="0"/>
              <w:spacing w:before="60" w:after="60"/>
              <w:jc w:val="both"/>
              <w:rPr>
                <w:color w:val="000000"/>
              </w:rPr>
            </w:pPr>
            <w:r w:rsidRPr="00953F7D">
              <w:rPr>
                <w:color w:val="000000"/>
              </w:rPr>
              <w:t>securitisation.</w:t>
            </w:r>
          </w:p>
        </w:tc>
      </w:tr>
      <w:tr w:rsidR="00742F5F" w:rsidRPr="00953F7D" w14:paraId="49D04A39" w14:textId="77777777" w:rsidTr="009C3F64">
        <w:trPr>
          <w:trHeight w:val="200"/>
          <w:jc w:val="center"/>
        </w:trPr>
        <w:tc>
          <w:tcPr>
            <w:tcW w:w="520" w:type="dxa"/>
          </w:tcPr>
          <w:p w14:paraId="49D04A37" w14:textId="77777777" w:rsidR="00742F5F" w:rsidRPr="00953F7D" w:rsidRDefault="00742F5F" w:rsidP="009164E6">
            <w:pPr>
              <w:widowControl w:val="0"/>
              <w:spacing w:before="60" w:after="60"/>
              <w:jc w:val="both"/>
              <w:rPr>
                <w:color w:val="000000"/>
              </w:rPr>
            </w:pPr>
            <w:r w:rsidRPr="00953F7D">
              <w:rPr>
                <w:color w:val="000000"/>
              </w:rPr>
              <w:t>(b)</w:t>
            </w:r>
          </w:p>
        </w:tc>
        <w:tc>
          <w:tcPr>
            <w:tcW w:w="7697" w:type="dxa"/>
          </w:tcPr>
          <w:p w14:paraId="49D04A38" w14:textId="77777777" w:rsidR="00742F5F" w:rsidRPr="00953F7D" w:rsidRDefault="00742F5F" w:rsidP="0069763E">
            <w:pPr>
              <w:widowControl w:val="0"/>
              <w:spacing w:before="60" w:after="60"/>
              <w:ind w:left="42" w:firstLine="0"/>
              <w:jc w:val="both"/>
              <w:rPr>
                <w:color w:val="000000"/>
              </w:rPr>
            </w:pPr>
            <w:r w:rsidRPr="00953F7D">
              <w:rPr>
                <w:color w:val="000000"/>
              </w:rPr>
              <w:t xml:space="preserve">Capital requirements (in terms of risk-weighted assets) for equity exposures in the IRB approach (simple risk-weighted method).  </w:t>
            </w:r>
          </w:p>
        </w:tc>
      </w:tr>
      <w:tr w:rsidR="00742F5F" w:rsidRPr="00953F7D" w14:paraId="49D04A3C" w14:textId="77777777" w:rsidTr="009C3F64">
        <w:trPr>
          <w:trHeight w:val="200"/>
          <w:jc w:val="center"/>
        </w:trPr>
        <w:tc>
          <w:tcPr>
            <w:tcW w:w="520" w:type="dxa"/>
          </w:tcPr>
          <w:p w14:paraId="49D04A3A" w14:textId="77777777" w:rsidR="00742F5F" w:rsidRPr="00953F7D" w:rsidRDefault="00742F5F" w:rsidP="009164E6">
            <w:pPr>
              <w:widowControl w:val="0"/>
              <w:spacing w:before="60" w:after="60"/>
              <w:jc w:val="both"/>
              <w:rPr>
                <w:color w:val="000000"/>
              </w:rPr>
            </w:pPr>
            <w:r w:rsidRPr="00953F7D">
              <w:rPr>
                <w:color w:val="000000"/>
              </w:rPr>
              <w:t xml:space="preserve">(c) </w:t>
            </w:r>
          </w:p>
        </w:tc>
        <w:tc>
          <w:tcPr>
            <w:tcW w:w="7697" w:type="dxa"/>
          </w:tcPr>
          <w:p w14:paraId="49D04A3B" w14:textId="77777777" w:rsidR="00742F5F" w:rsidRPr="00953F7D" w:rsidRDefault="00742F5F" w:rsidP="0069763E">
            <w:pPr>
              <w:widowControl w:val="0"/>
              <w:spacing w:before="60" w:after="60"/>
              <w:ind w:left="42" w:firstLine="0"/>
              <w:jc w:val="both"/>
              <w:rPr>
                <w:color w:val="000000"/>
              </w:rPr>
            </w:pPr>
            <w:r w:rsidRPr="00953F7D">
              <w:rPr>
                <w:color w:val="000000"/>
              </w:rPr>
              <w:t>Capital requirements (in terms of risk-weighted assets) for market risk.</w:t>
            </w:r>
          </w:p>
        </w:tc>
      </w:tr>
      <w:tr w:rsidR="00742F5F" w:rsidRPr="00953F7D" w14:paraId="49D04A3F" w14:textId="77777777" w:rsidTr="009C3F64">
        <w:trPr>
          <w:trHeight w:val="70"/>
          <w:jc w:val="center"/>
        </w:trPr>
        <w:tc>
          <w:tcPr>
            <w:tcW w:w="520" w:type="dxa"/>
          </w:tcPr>
          <w:p w14:paraId="49D04A3D" w14:textId="77777777" w:rsidR="00742F5F" w:rsidRPr="00953F7D" w:rsidRDefault="00742F5F" w:rsidP="009164E6">
            <w:pPr>
              <w:widowControl w:val="0"/>
              <w:spacing w:before="60" w:after="60"/>
              <w:jc w:val="both"/>
              <w:rPr>
                <w:color w:val="000000"/>
              </w:rPr>
            </w:pPr>
            <w:r w:rsidRPr="00953F7D">
              <w:rPr>
                <w:color w:val="000000"/>
              </w:rPr>
              <w:t xml:space="preserve">(d) </w:t>
            </w:r>
          </w:p>
        </w:tc>
        <w:tc>
          <w:tcPr>
            <w:tcW w:w="7697" w:type="dxa"/>
          </w:tcPr>
          <w:p w14:paraId="49D04A3E" w14:textId="77777777" w:rsidR="00742F5F" w:rsidRPr="00953F7D" w:rsidRDefault="00742F5F" w:rsidP="0069763E">
            <w:pPr>
              <w:widowControl w:val="0"/>
              <w:spacing w:before="60" w:after="60"/>
              <w:ind w:left="42" w:firstLine="0"/>
              <w:jc w:val="both"/>
              <w:rPr>
                <w:color w:val="000000"/>
              </w:rPr>
            </w:pPr>
            <w:r w:rsidRPr="00953F7D">
              <w:rPr>
                <w:color w:val="000000"/>
              </w:rPr>
              <w:t>Capital requirements (in terms of risk-weighted assets) for operational risk.</w:t>
            </w:r>
          </w:p>
        </w:tc>
      </w:tr>
      <w:tr w:rsidR="00742F5F" w:rsidRPr="00953F7D" w14:paraId="49D04A42" w14:textId="77777777" w:rsidTr="009C3F64">
        <w:trPr>
          <w:trHeight w:val="70"/>
          <w:jc w:val="center"/>
        </w:trPr>
        <w:tc>
          <w:tcPr>
            <w:tcW w:w="520" w:type="dxa"/>
          </w:tcPr>
          <w:p w14:paraId="49D04A40" w14:textId="77777777" w:rsidR="00742F5F" w:rsidRPr="00953F7D" w:rsidRDefault="00742F5F" w:rsidP="009164E6">
            <w:pPr>
              <w:widowControl w:val="0"/>
              <w:spacing w:before="60" w:after="60"/>
              <w:jc w:val="both"/>
              <w:rPr>
                <w:color w:val="000000"/>
              </w:rPr>
            </w:pPr>
            <w:r w:rsidRPr="00953F7D">
              <w:rPr>
                <w:color w:val="000000"/>
              </w:rPr>
              <w:t>(e)</w:t>
            </w:r>
          </w:p>
        </w:tc>
        <w:tc>
          <w:tcPr>
            <w:tcW w:w="7697" w:type="dxa"/>
          </w:tcPr>
          <w:p w14:paraId="49D04A41" w14:textId="77777777" w:rsidR="00742F5F" w:rsidRPr="00953F7D" w:rsidRDefault="00742F5F" w:rsidP="0069763E">
            <w:pPr>
              <w:widowControl w:val="0"/>
              <w:spacing w:before="60" w:after="60"/>
              <w:ind w:left="42" w:firstLine="0"/>
              <w:jc w:val="both"/>
              <w:rPr>
                <w:color w:val="000000"/>
              </w:rPr>
            </w:pPr>
            <w:r w:rsidRPr="00953F7D">
              <w:rPr>
                <w:color w:val="000000"/>
              </w:rPr>
              <w:t>Capital requirements (in terms of risk-weighted assets) for interest rate risk in the banking book (IRRBB) (IRB/AMA approved Australian-owned ADIs only).</w:t>
            </w:r>
          </w:p>
        </w:tc>
      </w:tr>
      <w:tr w:rsidR="00742F5F" w:rsidRPr="00953F7D" w14:paraId="49D04A45" w14:textId="77777777" w:rsidTr="009C3F64">
        <w:trPr>
          <w:trHeight w:val="70"/>
          <w:jc w:val="center"/>
        </w:trPr>
        <w:tc>
          <w:tcPr>
            <w:tcW w:w="520" w:type="dxa"/>
          </w:tcPr>
          <w:p w14:paraId="49D04A43" w14:textId="77777777" w:rsidR="00742F5F" w:rsidRPr="00953F7D" w:rsidRDefault="00742F5F" w:rsidP="009164E6">
            <w:pPr>
              <w:widowControl w:val="0"/>
              <w:spacing w:before="60" w:after="60"/>
              <w:jc w:val="both"/>
              <w:rPr>
                <w:color w:val="000000"/>
              </w:rPr>
            </w:pPr>
            <w:r w:rsidRPr="00953F7D">
              <w:rPr>
                <w:color w:val="000000"/>
              </w:rPr>
              <w:t xml:space="preserve">(f) </w:t>
            </w:r>
          </w:p>
        </w:tc>
        <w:tc>
          <w:tcPr>
            <w:tcW w:w="7697" w:type="dxa"/>
          </w:tcPr>
          <w:p w14:paraId="49D04A44" w14:textId="77777777" w:rsidR="00742F5F" w:rsidRPr="00953F7D" w:rsidRDefault="00742F5F" w:rsidP="0069763E">
            <w:pPr>
              <w:widowControl w:val="0"/>
              <w:spacing w:before="60" w:after="60"/>
              <w:ind w:left="42" w:firstLine="0"/>
              <w:jc w:val="both"/>
              <w:rPr>
                <w:color w:val="000000"/>
              </w:rPr>
            </w:pPr>
            <w:r w:rsidRPr="00953F7D">
              <w:rPr>
                <w:color w:val="000000"/>
              </w:rPr>
              <w:t>Common Equity Tier 1, Tier 1 and Total Capital ratio for the consolidated banking group.</w:t>
            </w:r>
          </w:p>
        </w:tc>
      </w:tr>
    </w:tbl>
    <w:p w14:paraId="49D04A46" w14:textId="77777777" w:rsidR="00591FA3" w:rsidRDefault="00591FA3" w:rsidP="009C3F64">
      <w:pPr>
        <w:widowControl w:val="0"/>
        <w:ind w:firstLine="1"/>
        <w:jc w:val="both"/>
        <w:rPr>
          <w:color w:val="000000"/>
        </w:rPr>
      </w:pPr>
    </w:p>
    <w:p w14:paraId="49D04A47" w14:textId="77777777" w:rsidR="00742F5F" w:rsidRPr="00953F7D" w:rsidRDefault="00742F5F" w:rsidP="008B2850">
      <w:pPr>
        <w:widowControl w:val="0"/>
        <w:spacing w:before="120" w:after="240"/>
        <w:ind w:firstLine="1"/>
        <w:jc w:val="both"/>
      </w:pPr>
      <w:r w:rsidRPr="00953F7D">
        <w:rPr>
          <w:color w:val="000000"/>
        </w:rPr>
        <w:t>Table</w:t>
      </w:r>
      <w:r w:rsidRPr="00953F7D">
        <w:t xml:space="preserve"> 4: Credit risk</w:t>
      </w:r>
      <w:r w:rsidRPr="00953F7D">
        <w:rPr>
          <w:rStyle w:val="FootnoteReference"/>
        </w:rPr>
        <w:footnoteReference w:id="16"/>
      </w:r>
      <w:r w:rsidRPr="00953F7D">
        <w:rPr>
          <w:rStyle w:val="FootnoteReference"/>
        </w:rPr>
        <w:t xml:space="preserve"> </w:t>
      </w:r>
      <w:r w:rsidRPr="00953F7D">
        <w:t xml:space="preserve"> </w:t>
      </w:r>
    </w:p>
    <w:tbl>
      <w:tblPr>
        <w:tblW w:w="8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70"/>
        <w:gridCol w:w="7718"/>
      </w:tblGrid>
      <w:tr w:rsidR="00742F5F" w:rsidRPr="00953F7D" w14:paraId="49D04A4C" w14:textId="77777777" w:rsidTr="009C3F64">
        <w:trPr>
          <w:trHeight w:val="785"/>
          <w:jc w:val="center"/>
        </w:trPr>
        <w:tc>
          <w:tcPr>
            <w:tcW w:w="570" w:type="dxa"/>
          </w:tcPr>
          <w:p w14:paraId="49D04A48" w14:textId="77777777" w:rsidR="00742F5F" w:rsidRPr="00953F7D" w:rsidRDefault="00742F5F" w:rsidP="009164E6">
            <w:pPr>
              <w:widowControl w:val="0"/>
              <w:spacing w:before="60" w:after="60"/>
              <w:jc w:val="both"/>
              <w:rPr>
                <w:color w:val="000000"/>
              </w:rPr>
            </w:pPr>
            <w:r w:rsidRPr="00953F7D">
              <w:rPr>
                <w:color w:val="000000"/>
              </w:rPr>
              <w:t>(a)</w:t>
            </w:r>
          </w:p>
        </w:tc>
        <w:tc>
          <w:tcPr>
            <w:tcW w:w="7718" w:type="dxa"/>
          </w:tcPr>
          <w:p w14:paraId="49D04A49" w14:textId="77777777" w:rsidR="00742F5F" w:rsidRPr="00953F7D" w:rsidRDefault="00742F5F" w:rsidP="00114436">
            <w:pPr>
              <w:widowControl w:val="0"/>
              <w:spacing w:before="60" w:after="60"/>
              <w:ind w:left="0" w:firstLine="0"/>
              <w:jc w:val="both"/>
              <w:rPr>
                <w:color w:val="000000"/>
              </w:rPr>
            </w:pPr>
            <w:r w:rsidRPr="00953F7D">
              <w:rPr>
                <w:color w:val="000000"/>
              </w:rPr>
              <w:t>Total gross credit risk exposures,</w:t>
            </w:r>
            <w:r w:rsidRPr="00953F7D">
              <w:rPr>
                <w:color w:val="000000"/>
                <w:position w:val="6"/>
                <w:vertAlign w:val="superscript"/>
              </w:rPr>
              <w:t xml:space="preserve"> </w:t>
            </w:r>
            <w:r w:rsidRPr="00953F7D">
              <w:rPr>
                <w:color w:val="000000"/>
              </w:rPr>
              <w:t>plus average gross exposure over the period, broken down by:</w:t>
            </w:r>
          </w:p>
          <w:p w14:paraId="49D04A4A" w14:textId="77777777" w:rsidR="00742F5F" w:rsidRPr="00953F7D" w:rsidRDefault="00742F5F" w:rsidP="00E9482F">
            <w:pPr>
              <w:keepNext/>
              <w:keepLines/>
              <w:numPr>
                <w:ilvl w:val="0"/>
                <w:numId w:val="11"/>
              </w:numPr>
              <w:autoSpaceDE w:val="0"/>
              <w:autoSpaceDN w:val="0"/>
              <w:adjustRightInd w:val="0"/>
              <w:spacing w:before="60" w:after="60"/>
              <w:jc w:val="both"/>
              <w:rPr>
                <w:color w:val="000000"/>
              </w:rPr>
            </w:pPr>
            <w:r w:rsidRPr="00953F7D">
              <w:rPr>
                <w:color w:val="000000"/>
              </w:rPr>
              <w:t>major types of credit exposure</w:t>
            </w:r>
            <w:bookmarkStart w:id="172" w:name="_Ref352938592"/>
            <w:r w:rsidRPr="00953F7D">
              <w:rPr>
                <w:rStyle w:val="FootnoteReference"/>
                <w:color w:val="000000"/>
              </w:rPr>
              <w:footnoteReference w:id="17"/>
            </w:r>
            <w:bookmarkEnd w:id="172"/>
            <w:r w:rsidR="00CD6C85" w:rsidRPr="00953F7D">
              <w:rPr>
                <w:color w:val="000000"/>
              </w:rPr>
              <w:t>;</w:t>
            </w:r>
            <w:r w:rsidRPr="00953F7D">
              <w:rPr>
                <w:color w:val="000000"/>
              </w:rPr>
              <w:t xml:space="preserve">and, </w:t>
            </w:r>
          </w:p>
          <w:p w14:paraId="49D04A4B" w14:textId="77777777" w:rsidR="00742F5F" w:rsidRPr="00953F7D" w:rsidRDefault="00742F5F" w:rsidP="00CD6C85">
            <w:pPr>
              <w:keepNext/>
              <w:keepLines/>
              <w:numPr>
                <w:ilvl w:val="0"/>
                <w:numId w:val="11"/>
              </w:numPr>
              <w:autoSpaceDE w:val="0"/>
              <w:autoSpaceDN w:val="0"/>
              <w:adjustRightInd w:val="0"/>
              <w:spacing w:before="60" w:after="60"/>
              <w:jc w:val="both"/>
              <w:rPr>
                <w:color w:val="000000"/>
              </w:rPr>
            </w:pPr>
            <w:r w:rsidRPr="00953F7D">
              <w:rPr>
                <w:color w:val="000000"/>
              </w:rPr>
              <w:t>separately, by portfolio</w:t>
            </w:r>
            <w:bookmarkStart w:id="173" w:name="_Ref352170710"/>
            <w:r w:rsidRPr="00953F7D">
              <w:rPr>
                <w:rStyle w:val="FootnoteReference"/>
                <w:position w:val="6"/>
              </w:rPr>
              <w:footnoteReference w:id="18"/>
            </w:r>
            <w:bookmarkEnd w:id="173"/>
            <w:r w:rsidR="00CD6C85" w:rsidRPr="00953F7D">
              <w:rPr>
                <w:color w:val="000000"/>
              </w:rPr>
              <w:t>.</w:t>
            </w:r>
          </w:p>
        </w:tc>
      </w:tr>
      <w:tr w:rsidR="00742F5F" w:rsidRPr="00953F7D" w14:paraId="49D04A52" w14:textId="77777777" w:rsidTr="009C3F64">
        <w:trPr>
          <w:trHeight w:val="798"/>
          <w:jc w:val="center"/>
        </w:trPr>
        <w:tc>
          <w:tcPr>
            <w:tcW w:w="570" w:type="dxa"/>
            <w:shd w:val="clear" w:color="auto" w:fill="auto"/>
          </w:tcPr>
          <w:p w14:paraId="49D04A4D" w14:textId="77777777" w:rsidR="00742F5F" w:rsidRPr="00953F7D" w:rsidRDefault="00742F5F" w:rsidP="009164E6">
            <w:pPr>
              <w:widowControl w:val="0"/>
              <w:spacing w:before="60" w:after="60"/>
              <w:jc w:val="both"/>
              <w:rPr>
                <w:color w:val="000000"/>
              </w:rPr>
            </w:pPr>
            <w:r w:rsidRPr="00953F7D">
              <w:rPr>
                <w:color w:val="000000"/>
              </w:rPr>
              <w:t>(b)</w:t>
            </w:r>
          </w:p>
        </w:tc>
        <w:tc>
          <w:tcPr>
            <w:tcW w:w="7718" w:type="dxa"/>
          </w:tcPr>
          <w:p w14:paraId="49D04A4E" w14:textId="77777777" w:rsidR="00742F5F" w:rsidRPr="00953F7D" w:rsidRDefault="00742F5F" w:rsidP="009164E6">
            <w:pPr>
              <w:widowControl w:val="0"/>
              <w:spacing w:before="60" w:after="60"/>
              <w:jc w:val="both"/>
              <w:rPr>
                <w:color w:val="000000"/>
              </w:rPr>
            </w:pPr>
            <w:r w:rsidRPr="00953F7D">
              <w:rPr>
                <w:color w:val="000000"/>
              </w:rPr>
              <w:t>By portfolio</w:t>
            </w:r>
            <w:r w:rsidRPr="00953F7D">
              <w:rPr>
                <w:rStyle w:val="FootnoteReference"/>
                <w:color w:val="000000"/>
              </w:rPr>
              <w:footnoteReference w:id="19"/>
            </w:r>
            <w:r w:rsidR="00CD6C85" w:rsidRPr="00953F7D">
              <w:rPr>
                <w:color w:val="000000"/>
              </w:rPr>
              <w:t>:</w:t>
            </w:r>
          </w:p>
          <w:p w14:paraId="49D04A4F" w14:textId="77777777" w:rsidR="00742F5F" w:rsidRPr="00953F7D" w:rsidRDefault="00742F5F" w:rsidP="00E9482F">
            <w:pPr>
              <w:keepNext/>
              <w:keepLines/>
              <w:numPr>
                <w:ilvl w:val="0"/>
                <w:numId w:val="11"/>
              </w:numPr>
              <w:autoSpaceDE w:val="0"/>
              <w:autoSpaceDN w:val="0"/>
              <w:adjustRightInd w:val="0"/>
              <w:spacing w:before="60" w:after="60"/>
              <w:jc w:val="both"/>
              <w:rPr>
                <w:color w:val="000000"/>
              </w:rPr>
            </w:pPr>
            <w:r w:rsidRPr="00953F7D">
              <w:rPr>
                <w:color w:val="000000"/>
              </w:rPr>
              <w:t>amount of impaired facilities and past due facilities, provided separately;</w:t>
            </w:r>
          </w:p>
          <w:p w14:paraId="49D04A50" w14:textId="77777777" w:rsidR="00742F5F" w:rsidRPr="00953F7D" w:rsidRDefault="00742F5F" w:rsidP="00E9482F">
            <w:pPr>
              <w:keepNext/>
              <w:keepLines/>
              <w:numPr>
                <w:ilvl w:val="0"/>
                <w:numId w:val="11"/>
              </w:numPr>
              <w:autoSpaceDE w:val="0"/>
              <w:autoSpaceDN w:val="0"/>
              <w:adjustRightInd w:val="0"/>
              <w:spacing w:before="60" w:after="60"/>
              <w:jc w:val="both"/>
              <w:rPr>
                <w:color w:val="000000"/>
              </w:rPr>
            </w:pPr>
            <w:r w:rsidRPr="00953F7D">
              <w:rPr>
                <w:color w:val="000000"/>
              </w:rPr>
              <w:t>specific provisions; and</w:t>
            </w:r>
          </w:p>
          <w:p w14:paraId="49D04A51" w14:textId="77777777" w:rsidR="00742F5F" w:rsidRPr="00953F7D" w:rsidRDefault="00742F5F" w:rsidP="00E9482F">
            <w:pPr>
              <w:keepNext/>
              <w:keepLines/>
              <w:numPr>
                <w:ilvl w:val="0"/>
                <w:numId w:val="11"/>
              </w:numPr>
              <w:autoSpaceDE w:val="0"/>
              <w:autoSpaceDN w:val="0"/>
              <w:adjustRightInd w:val="0"/>
              <w:spacing w:before="60" w:after="60"/>
              <w:jc w:val="both"/>
              <w:rPr>
                <w:color w:val="000000"/>
              </w:rPr>
            </w:pPr>
            <w:r w:rsidRPr="00953F7D">
              <w:rPr>
                <w:color w:val="000000"/>
              </w:rPr>
              <w:t>charges for specific provisions and write-offs during the period.</w:t>
            </w:r>
          </w:p>
        </w:tc>
      </w:tr>
      <w:tr w:rsidR="00742F5F" w:rsidRPr="00953F7D" w14:paraId="49D04A55" w14:textId="77777777" w:rsidTr="009C3F64">
        <w:trPr>
          <w:trHeight w:val="75"/>
          <w:jc w:val="center"/>
        </w:trPr>
        <w:tc>
          <w:tcPr>
            <w:tcW w:w="570" w:type="dxa"/>
            <w:shd w:val="clear" w:color="auto" w:fill="auto"/>
          </w:tcPr>
          <w:p w14:paraId="49D04A53" w14:textId="77777777" w:rsidR="00742F5F" w:rsidRPr="00953F7D" w:rsidRDefault="00742F5F" w:rsidP="009164E6">
            <w:pPr>
              <w:widowControl w:val="0"/>
              <w:spacing w:before="60" w:after="60"/>
              <w:jc w:val="both"/>
              <w:rPr>
                <w:color w:val="000000"/>
              </w:rPr>
            </w:pPr>
            <w:r w:rsidRPr="00953F7D">
              <w:rPr>
                <w:color w:val="000000"/>
              </w:rPr>
              <w:t>(c)</w:t>
            </w:r>
          </w:p>
        </w:tc>
        <w:tc>
          <w:tcPr>
            <w:tcW w:w="7718" w:type="dxa"/>
          </w:tcPr>
          <w:p w14:paraId="49D04A54" w14:textId="77777777" w:rsidR="00742F5F" w:rsidRPr="00953F7D" w:rsidRDefault="00742F5F" w:rsidP="009164E6">
            <w:pPr>
              <w:widowControl w:val="0"/>
              <w:spacing w:before="60" w:after="60"/>
              <w:jc w:val="both"/>
              <w:rPr>
                <w:color w:val="000000"/>
              </w:rPr>
            </w:pPr>
            <w:r w:rsidRPr="00953F7D">
              <w:rPr>
                <w:color w:val="000000"/>
              </w:rPr>
              <w:t>The general reserve for credit losses.</w:t>
            </w:r>
          </w:p>
        </w:tc>
      </w:tr>
    </w:tbl>
    <w:p w14:paraId="49D04A56" w14:textId="77777777" w:rsidR="002D23EE" w:rsidRDefault="002D23EE" w:rsidP="001F6477">
      <w:pPr>
        <w:ind w:firstLine="0"/>
        <w:jc w:val="both"/>
      </w:pPr>
    </w:p>
    <w:p w14:paraId="49D04A57" w14:textId="77777777" w:rsidR="00742F5F" w:rsidRPr="00953F7D" w:rsidRDefault="00742F5F" w:rsidP="001F6477">
      <w:pPr>
        <w:ind w:firstLine="0"/>
        <w:jc w:val="both"/>
      </w:pPr>
      <w:r w:rsidRPr="00953F7D">
        <w:t>Table 5: Securitisation exposures</w:t>
      </w:r>
      <w:bookmarkStart w:id="174" w:name="_Ref352171105"/>
      <w:r w:rsidRPr="00953F7D">
        <w:rPr>
          <w:rStyle w:val="FootnoteReference"/>
          <w:color w:val="000000"/>
        </w:rPr>
        <w:footnoteReference w:id="20"/>
      </w:r>
      <w:bookmarkEnd w:id="174"/>
      <w:r w:rsidRPr="00953F7D">
        <w:t xml:space="preserve"> </w:t>
      </w:r>
    </w:p>
    <w:p w14:paraId="49D04A58" w14:textId="77777777" w:rsidR="00742F5F" w:rsidRPr="00953F7D" w:rsidRDefault="00742F5F" w:rsidP="00742F5F">
      <w:pPr>
        <w:jc w:val="both"/>
      </w:pPr>
      <w:r w:rsidRPr="00953F7D">
        <w:t>.</w:t>
      </w:r>
    </w:p>
    <w:tbl>
      <w:tblPr>
        <w:tblW w:w="8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
        <w:gridCol w:w="7795"/>
      </w:tblGrid>
      <w:tr w:rsidR="00742F5F" w:rsidRPr="00953F7D" w14:paraId="49D04A5B" w14:textId="77777777" w:rsidTr="009C3F64">
        <w:trPr>
          <w:jc w:val="center"/>
        </w:trPr>
        <w:tc>
          <w:tcPr>
            <w:tcW w:w="496" w:type="dxa"/>
          </w:tcPr>
          <w:p w14:paraId="49D04A59" w14:textId="77777777" w:rsidR="00742F5F" w:rsidRPr="00953F7D" w:rsidRDefault="00742F5F" w:rsidP="009164E6">
            <w:pPr>
              <w:jc w:val="both"/>
            </w:pPr>
            <w:r w:rsidRPr="00953F7D">
              <w:t>(a)</w:t>
            </w:r>
          </w:p>
        </w:tc>
        <w:tc>
          <w:tcPr>
            <w:tcW w:w="7795" w:type="dxa"/>
          </w:tcPr>
          <w:p w14:paraId="49D04A5A" w14:textId="77777777" w:rsidR="00742F5F" w:rsidRPr="00953F7D" w:rsidRDefault="00742F5F" w:rsidP="0069763E">
            <w:pPr>
              <w:ind w:left="25" w:hanging="25"/>
              <w:jc w:val="both"/>
            </w:pPr>
            <w:r w:rsidRPr="00953F7D">
              <w:rPr>
                <w:color w:val="000000"/>
              </w:rPr>
              <w:t>Summary of current period’s securitisation activity, including the total amount of exposures securitised (by exposure type) and recognised gain or loss on sale by exposure type.</w:t>
            </w:r>
          </w:p>
        </w:tc>
      </w:tr>
      <w:tr w:rsidR="00742F5F" w:rsidRPr="00953F7D" w14:paraId="49D04A60" w14:textId="77777777" w:rsidTr="009C3F64">
        <w:trPr>
          <w:jc w:val="center"/>
        </w:trPr>
        <w:tc>
          <w:tcPr>
            <w:tcW w:w="496" w:type="dxa"/>
          </w:tcPr>
          <w:p w14:paraId="49D04A5C" w14:textId="77777777" w:rsidR="00742F5F" w:rsidRPr="00953F7D" w:rsidRDefault="00742F5F" w:rsidP="009164E6">
            <w:pPr>
              <w:jc w:val="both"/>
            </w:pPr>
            <w:r w:rsidRPr="00953F7D">
              <w:t>(b)</w:t>
            </w:r>
          </w:p>
        </w:tc>
        <w:tc>
          <w:tcPr>
            <w:tcW w:w="7795" w:type="dxa"/>
          </w:tcPr>
          <w:p w14:paraId="49D04A5D" w14:textId="77777777" w:rsidR="00742F5F" w:rsidRPr="00953F7D" w:rsidRDefault="00742F5F" w:rsidP="009164E6">
            <w:pPr>
              <w:keepNext/>
              <w:keepLines/>
              <w:autoSpaceDE w:val="0"/>
              <w:autoSpaceDN w:val="0"/>
              <w:adjustRightInd w:val="0"/>
              <w:spacing w:before="60" w:after="60"/>
              <w:jc w:val="both"/>
              <w:rPr>
                <w:color w:val="000000"/>
              </w:rPr>
            </w:pPr>
            <w:r w:rsidRPr="00953F7D">
              <w:rPr>
                <w:color w:val="000000"/>
              </w:rPr>
              <w:t>Aggregate amount of:</w:t>
            </w:r>
          </w:p>
          <w:p w14:paraId="49D04A5E" w14:textId="77777777" w:rsidR="00742F5F" w:rsidRPr="00953F7D" w:rsidRDefault="00742F5F" w:rsidP="00E9482F">
            <w:pPr>
              <w:keepNext/>
              <w:keepLines/>
              <w:numPr>
                <w:ilvl w:val="0"/>
                <w:numId w:val="18"/>
              </w:numPr>
              <w:autoSpaceDE w:val="0"/>
              <w:autoSpaceDN w:val="0"/>
              <w:adjustRightInd w:val="0"/>
              <w:spacing w:before="60" w:after="60"/>
              <w:jc w:val="both"/>
              <w:rPr>
                <w:color w:val="000000"/>
              </w:rPr>
            </w:pPr>
            <w:r w:rsidRPr="00953F7D">
              <w:rPr>
                <w:color w:val="000000"/>
              </w:rPr>
              <w:t>on-balance sheet securitisation exposures retained or purchased broken down by exposure type; and</w:t>
            </w:r>
          </w:p>
          <w:p w14:paraId="49D04A5F" w14:textId="77777777" w:rsidR="00742F5F" w:rsidRPr="00953F7D" w:rsidRDefault="00742F5F" w:rsidP="00E9482F">
            <w:pPr>
              <w:keepNext/>
              <w:keepLines/>
              <w:numPr>
                <w:ilvl w:val="0"/>
                <w:numId w:val="18"/>
              </w:numPr>
              <w:autoSpaceDE w:val="0"/>
              <w:autoSpaceDN w:val="0"/>
              <w:adjustRightInd w:val="0"/>
              <w:spacing w:before="60" w:after="60"/>
              <w:jc w:val="both"/>
              <w:rPr>
                <w:color w:val="000000"/>
              </w:rPr>
            </w:pPr>
            <w:r w:rsidRPr="00953F7D">
              <w:rPr>
                <w:color w:val="000000"/>
              </w:rPr>
              <w:t>off-balance sheet securitisation exposures broken down by exposure type.</w:t>
            </w:r>
          </w:p>
        </w:tc>
      </w:tr>
    </w:tbl>
    <w:p w14:paraId="49D04A61" w14:textId="77777777" w:rsidR="00742F5F" w:rsidRPr="00953F7D" w:rsidRDefault="00742F5F" w:rsidP="00742F5F">
      <w:pPr>
        <w:jc w:val="both"/>
      </w:pPr>
    </w:p>
    <w:p w14:paraId="49D04A62" w14:textId="77777777" w:rsidR="00742F5F" w:rsidRPr="00953F7D" w:rsidRDefault="00742F5F" w:rsidP="00742F5F">
      <w:pPr>
        <w:jc w:val="both"/>
        <w:sectPr w:rsidR="00742F5F" w:rsidRPr="00953F7D" w:rsidSect="008D3C2B">
          <w:footerReference w:type="default" r:id="rId22"/>
          <w:footerReference w:type="first" r:id="rId23"/>
          <w:pgSz w:w="11906" w:h="16838"/>
          <w:pgMar w:top="1440" w:right="1797" w:bottom="1440" w:left="1797" w:header="709" w:footer="709" w:gutter="0"/>
          <w:cols w:space="708"/>
          <w:titlePg/>
          <w:docGrid w:linePitch="360"/>
        </w:sectPr>
      </w:pPr>
    </w:p>
    <w:p w14:paraId="49D04A63" w14:textId="77777777" w:rsidR="00742F5F" w:rsidRPr="00953F7D" w:rsidRDefault="00742F5F" w:rsidP="00742F5F">
      <w:pPr>
        <w:pStyle w:val="Heading3"/>
        <w:spacing w:before="120" w:after="360"/>
        <w:jc w:val="both"/>
        <w:rPr>
          <w:b/>
          <w:sz w:val="32"/>
          <w:szCs w:val="32"/>
        </w:rPr>
      </w:pPr>
      <w:bookmarkStart w:id="175" w:name="_Toc387407129"/>
      <w:bookmarkStart w:id="176" w:name="_Toc387407365"/>
      <w:bookmarkStart w:id="177" w:name="_Toc391024782"/>
      <w:bookmarkStart w:id="178" w:name="_Toc506286038"/>
      <w:r w:rsidRPr="00953F7D">
        <w:rPr>
          <w:b/>
          <w:sz w:val="32"/>
          <w:szCs w:val="32"/>
        </w:rPr>
        <w:t>Attachment D</w:t>
      </w:r>
      <w:bookmarkEnd w:id="175"/>
      <w:bookmarkEnd w:id="176"/>
      <w:bookmarkEnd w:id="177"/>
      <w:bookmarkEnd w:id="178"/>
    </w:p>
    <w:p w14:paraId="49D04A64" w14:textId="77777777" w:rsidR="00742F5F" w:rsidRPr="00953F7D" w:rsidRDefault="00742F5F" w:rsidP="005F4B4B">
      <w:pPr>
        <w:pStyle w:val="Heading3"/>
        <w:spacing w:before="120" w:after="240"/>
        <w:ind w:left="0" w:firstLine="0"/>
        <w:jc w:val="both"/>
        <w:rPr>
          <w:b/>
          <w:sz w:val="32"/>
          <w:szCs w:val="32"/>
        </w:rPr>
      </w:pPr>
      <w:bookmarkStart w:id="179" w:name="_Toc352665704"/>
      <w:bookmarkStart w:id="180" w:name="_Toc360011879"/>
      <w:bookmarkStart w:id="181" w:name="_Toc395701858"/>
      <w:bookmarkStart w:id="182" w:name="_Toc506286039"/>
      <w:r w:rsidRPr="00953F7D">
        <w:rPr>
          <w:b/>
          <w:sz w:val="32"/>
          <w:szCs w:val="32"/>
        </w:rPr>
        <w:t>Risk exposure and assessment (ADIs with IRB and AMA approval)</w:t>
      </w:r>
      <w:bookmarkEnd w:id="179"/>
      <w:bookmarkEnd w:id="180"/>
      <w:bookmarkEnd w:id="181"/>
      <w:bookmarkEnd w:id="182"/>
    </w:p>
    <w:p w14:paraId="49D04A65" w14:textId="77777777" w:rsidR="00742F5F" w:rsidRPr="00953F7D" w:rsidRDefault="00742F5F" w:rsidP="00044A3D">
      <w:pPr>
        <w:pStyle w:val="BodyText"/>
        <w:numPr>
          <w:ilvl w:val="0"/>
          <w:numId w:val="38"/>
        </w:numPr>
      </w:pPr>
      <w:r w:rsidRPr="00953F7D">
        <w:t>The disclosures in this Attachment are only required to be made by an ADI with approval to use the IRB and AMA approaches to credit and operational risk, respectively. While an ADI may augment the required information with additional material (including graphics, etc), its disclosures must conform to the basic order/layout as follows.</w:t>
      </w:r>
    </w:p>
    <w:p w14:paraId="49D04A66" w14:textId="77777777" w:rsidR="00742F5F" w:rsidRPr="00953F7D" w:rsidRDefault="00742F5F" w:rsidP="00742F5F">
      <w:pPr>
        <w:autoSpaceDE w:val="0"/>
        <w:autoSpaceDN w:val="0"/>
        <w:adjustRightInd w:val="0"/>
        <w:spacing w:after="120"/>
        <w:jc w:val="both"/>
        <w:rPr>
          <w:i/>
        </w:rPr>
      </w:pPr>
      <w:r w:rsidRPr="00953F7D">
        <w:rPr>
          <w:i/>
        </w:rPr>
        <w:t>Capital</w:t>
      </w:r>
    </w:p>
    <w:p w14:paraId="49D04A67" w14:textId="77777777" w:rsidR="00742F5F" w:rsidRPr="00953F7D" w:rsidRDefault="00742F5F" w:rsidP="00044A3D">
      <w:pPr>
        <w:pStyle w:val="BodyText"/>
      </w:pPr>
      <w:r w:rsidRPr="00953F7D">
        <w:t>An ADI must disclose the items set out in Table 6</w:t>
      </w:r>
      <w:r w:rsidR="00716EA5" w:rsidRPr="00953F7D">
        <w:t xml:space="preserve"> to the extent applicable</w:t>
      </w:r>
      <w:r w:rsidRPr="00953F7D">
        <w:t>.</w:t>
      </w:r>
    </w:p>
    <w:p w14:paraId="49D04A68" w14:textId="77777777" w:rsidR="00742F5F" w:rsidRPr="00953F7D" w:rsidRDefault="00742F5F" w:rsidP="001F6477">
      <w:pPr>
        <w:keepNext/>
        <w:autoSpaceDE w:val="0"/>
        <w:autoSpaceDN w:val="0"/>
        <w:adjustRightInd w:val="0"/>
        <w:spacing w:before="120" w:after="240"/>
        <w:ind w:firstLine="0"/>
        <w:jc w:val="both"/>
      </w:pPr>
      <w:r w:rsidRPr="00953F7D">
        <w:rPr>
          <w:bCs/>
          <w:color w:val="000000"/>
        </w:rPr>
        <w:t>Table</w:t>
      </w:r>
      <w:r w:rsidRPr="00953F7D">
        <w:t xml:space="preserve"> 6: </w:t>
      </w:r>
      <w:r w:rsidRPr="00953F7D">
        <w:rPr>
          <w:bCs/>
          <w:color w:val="000000"/>
        </w:rPr>
        <w:t xml:space="preserve">Capital adequacy </w:t>
      </w:r>
    </w:p>
    <w:tbl>
      <w:tblPr>
        <w:tblW w:w="8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39"/>
        <w:gridCol w:w="567"/>
        <w:gridCol w:w="6164"/>
      </w:tblGrid>
      <w:tr w:rsidR="00742F5F" w:rsidRPr="00953F7D" w14:paraId="49D04A6C" w14:textId="77777777" w:rsidTr="009C3F64">
        <w:trPr>
          <w:trHeight w:val="659"/>
          <w:jc w:val="center"/>
        </w:trPr>
        <w:tc>
          <w:tcPr>
            <w:tcW w:w="1539" w:type="dxa"/>
            <w:tcBorders>
              <w:bottom w:val="single" w:sz="4" w:space="0" w:color="000000"/>
            </w:tcBorders>
          </w:tcPr>
          <w:p w14:paraId="49D04A69" w14:textId="77777777" w:rsidR="00742F5F" w:rsidRPr="00953F7D" w:rsidRDefault="00742F5F" w:rsidP="0069763E">
            <w:pPr>
              <w:keepNext/>
              <w:keepLines/>
              <w:autoSpaceDE w:val="0"/>
              <w:autoSpaceDN w:val="0"/>
              <w:adjustRightInd w:val="0"/>
              <w:spacing w:before="60" w:after="60"/>
              <w:ind w:left="0" w:firstLine="0"/>
              <w:jc w:val="both"/>
              <w:rPr>
                <w:b/>
                <w:bCs/>
                <w:color w:val="000000"/>
              </w:rPr>
            </w:pPr>
            <w:r w:rsidRPr="00953F7D">
              <w:rPr>
                <w:b/>
                <w:bCs/>
                <w:color w:val="000000"/>
              </w:rPr>
              <w:t>Qualitative disclosures</w:t>
            </w:r>
          </w:p>
        </w:tc>
        <w:tc>
          <w:tcPr>
            <w:tcW w:w="567" w:type="dxa"/>
          </w:tcPr>
          <w:p w14:paraId="49D04A6A" w14:textId="77777777" w:rsidR="00742F5F" w:rsidRPr="00953F7D" w:rsidRDefault="00742F5F" w:rsidP="009164E6">
            <w:pPr>
              <w:autoSpaceDE w:val="0"/>
              <w:autoSpaceDN w:val="0"/>
              <w:adjustRightInd w:val="0"/>
              <w:spacing w:before="60" w:after="60"/>
              <w:jc w:val="both"/>
              <w:rPr>
                <w:color w:val="000000"/>
              </w:rPr>
            </w:pPr>
            <w:r w:rsidRPr="00953F7D">
              <w:rPr>
                <w:color w:val="000000"/>
              </w:rPr>
              <w:t>(a)</w:t>
            </w:r>
          </w:p>
        </w:tc>
        <w:tc>
          <w:tcPr>
            <w:tcW w:w="6164" w:type="dxa"/>
          </w:tcPr>
          <w:p w14:paraId="49D04A6B" w14:textId="77777777" w:rsidR="00742F5F" w:rsidRPr="00953F7D" w:rsidRDefault="00742F5F" w:rsidP="0069763E">
            <w:pPr>
              <w:autoSpaceDE w:val="0"/>
              <w:autoSpaceDN w:val="0"/>
              <w:adjustRightInd w:val="0"/>
              <w:spacing w:before="60" w:after="60"/>
              <w:ind w:left="48" w:hanging="48"/>
              <w:jc w:val="both"/>
              <w:rPr>
                <w:color w:val="000000"/>
              </w:rPr>
            </w:pPr>
            <w:r w:rsidRPr="00953F7D">
              <w:rPr>
                <w:color w:val="000000"/>
              </w:rPr>
              <w:t>A summary discussion of the ADI’s approach to assessing the adequacy of its capital to support current and future activities.</w:t>
            </w:r>
          </w:p>
        </w:tc>
      </w:tr>
      <w:tr w:rsidR="00742F5F" w:rsidRPr="00953F7D" w14:paraId="49D04A79" w14:textId="77777777" w:rsidTr="009C3F64">
        <w:trPr>
          <w:cantSplit/>
          <w:trHeight w:val="70"/>
          <w:jc w:val="center"/>
        </w:trPr>
        <w:tc>
          <w:tcPr>
            <w:tcW w:w="1539" w:type="dxa"/>
            <w:tcBorders>
              <w:bottom w:val="nil"/>
            </w:tcBorders>
            <w:shd w:val="clear" w:color="auto" w:fill="auto"/>
          </w:tcPr>
          <w:p w14:paraId="49D04A6D" w14:textId="77777777" w:rsidR="00742F5F" w:rsidRPr="00953F7D" w:rsidRDefault="00742F5F" w:rsidP="0069763E">
            <w:pPr>
              <w:autoSpaceDE w:val="0"/>
              <w:autoSpaceDN w:val="0"/>
              <w:adjustRightInd w:val="0"/>
              <w:spacing w:before="60" w:after="60"/>
              <w:ind w:left="0" w:firstLine="0"/>
              <w:jc w:val="both"/>
              <w:rPr>
                <w:b/>
                <w:bCs/>
                <w:color w:val="000000"/>
              </w:rPr>
            </w:pPr>
            <w:r w:rsidRPr="00953F7D">
              <w:rPr>
                <w:b/>
                <w:bCs/>
                <w:color w:val="000000"/>
              </w:rPr>
              <w:t>Quantitative disclosures</w:t>
            </w:r>
          </w:p>
          <w:p w14:paraId="49D04A6E" w14:textId="77777777" w:rsidR="00742F5F" w:rsidRPr="00953F7D" w:rsidRDefault="00742F5F" w:rsidP="009C3F64">
            <w:pPr>
              <w:autoSpaceDE w:val="0"/>
              <w:autoSpaceDN w:val="0"/>
              <w:adjustRightInd w:val="0"/>
              <w:spacing w:before="60" w:after="60"/>
              <w:ind w:left="0" w:firstLine="0"/>
              <w:jc w:val="both"/>
              <w:rPr>
                <w:color w:val="000000"/>
              </w:rPr>
            </w:pPr>
          </w:p>
        </w:tc>
        <w:tc>
          <w:tcPr>
            <w:tcW w:w="567" w:type="dxa"/>
          </w:tcPr>
          <w:p w14:paraId="49D04A6F" w14:textId="77777777" w:rsidR="00742F5F" w:rsidRPr="00953F7D" w:rsidRDefault="00742F5F" w:rsidP="009164E6">
            <w:pPr>
              <w:autoSpaceDE w:val="0"/>
              <w:autoSpaceDN w:val="0"/>
              <w:adjustRightInd w:val="0"/>
              <w:spacing w:before="60" w:after="60"/>
              <w:jc w:val="both"/>
              <w:rPr>
                <w:color w:val="000000"/>
              </w:rPr>
            </w:pPr>
            <w:r w:rsidRPr="00953F7D">
              <w:rPr>
                <w:color w:val="000000"/>
              </w:rPr>
              <w:t>(b)</w:t>
            </w:r>
          </w:p>
        </w:tc>
        <w:tc>
          <w:tcPr>
            <w:tcW w:w="6164" w:type="dxa"/>
          </w:tcPr>
          <w:p w14:paraId="49D04A70" w14:textId="77777777" w:rsidR="00742F5F" w:rsidRPr="00953F7D" w:rsidRDefault="00742F5F" w:rsidP="0069763E">
            <w:pPr>
              <w:autoSpaceDE w:val="0"/>
              <w:autoSpaceDN w:val="0"/>
              <w:adjustRightInd w:val="0"/>
              <w:spacing w:before="60" w:after="60"/>
              <w:ind w:left="48" w:firstLine="0"/>
              <w:jc w:val="both"/>
            </w:pPr>
            <w:r w:rsidRPr="00953F7D">
              <w:t xml:space="preserve">Capital requirements </w:t>
            </w:r>
            <w:r w:rsidRPr="00953F7D">
              <w:rPr>
                <w:color w:val="000000"/>
              </w:rPr>
              <w:t xml:space="preserve">(in terms of risk-weighted assets) </w:t>
            </w:r>
            <w:r w:rsidRPr="00953F7D">
              <w:t>for credit risk:</w:t>
            </w:r>
          </w:p>
          <w:p w14:paraId="49D04A71" w14:textId="77777777" w:rsidR="00742F5F" w:rsidRPr="00953F7D" w:rsidRDefault="00742F5F" w:rsidP="00E9482F">
            <w:pPr>
              <w:numPr>
                <w:ilvl w:val="0"/>
                <w:numId w:val="12"/>
              </w:numPr>
              <w:autoSpaceDE w:val="0"/>
              <w:autoSpaceDN w:val="0"/>
              <w:adjustRightInd w:val="0"/>
              <w:spacing w:before="60" w:after="60"/>
              <w:jc w:val="both"/>
            </w:pPr>
            <w:r w:rsidRPr="00953F7D">
              <w:rPr>
                <w:color w:val="000000"/>
              </w:rPr>
              <w:t>portfolios</w:t>
            </w:r>
            <w:r w:rsidRPr="00953F7D">
              <w:t xml:space="preserve"> subject to standardised approach, disclosed separately for each portfolio;</w:t>
            </w:r>
          </w:p>
          <w:p w14:paraId="49D04A72" w14:textId="77777777" w:rsidR="00742F5F" w:rsidRPr="00953F7D" w:rsidRDefault="00742F5F" w:rsidP="00E9482F">
            <w:pPr>
              <w:numPr>
                <w:ilvl w:val="0"/>
                <w:numId w:val="12"/>
              </w:numPr>
              <w:autoSpaceDE w:val="0"/>
              <w:autoSpaceDN w:val="0"/>
              <w:adjustRightInd w:val="0"/>
              <w:spacing w:before="60" w:after="60"/>
              <w:jc w:val="both"/>
            </w:pPr>
            <w:r w:rsidRPr="00953F7D">
              <w:rPr>
                <w:color w:val="000000"/>
              </w:rPr>
              <w:t>portfolios</w:t>
            </w:r>
            <w:r w:rsidRPr="00953F7D">
              <w:t xml:space="preserve"> subject to the IRB approaches, disclosed separately for each portfolio under the foundation IRB approach and for each portfolio under the advanced IRB approach:</w:t>
            </w:r>
          </w:p>
          <w:p w14:paraId="49D04A73" w14:textId="77777777" w:rsidR="00742F5F" w:rsidRPr="00953F7D" w:rsidRDefault="00742F5F" w:rsidP="00E9482F">
            <w:pPr>
              <w:numPr>
                <w:ilvl w:val="0"/>
                <w:numId w:val="3"/>
              </w:numPr>
              <w:autoSpaceDE w:val="0"/>
              <w:autoSpaceDN w:val="0"/>
              <w:adjustRightInd w:val="0"/>
              <w:spacing w:before="60" w:after="60"/>
              <w:jc w:val="both"/>
            </w:pPr>
            <w:r w:rsidRPr="00953F7D">
              <w:t xml:space="preserve">corporate (including specialised lending (SL) not subject to the supervisory slotting approach); </w:t>
            </w:r>
          </w:p>
          <w:p w14:paraId="49D04A74" w14:textId="77777777" w:rsidR="00742F5F" w:rsidRPr="00953F7D" w:rsidRDefault="00742F5F" w:rsidP="00E9482F">
            <w:pPr>
              <w:numPr>
                <w:ilvl w:val="0"/>
                <w:numId w:val="3"/>
              </w:numPr>
              <w:autoSpaceDE w:val="0"/>
              <w:autoSpaceDN w:val="0"/>
              <w:adjustRightInd w:val="0"/>
              <w:spacing w:before="60" w:after="60"/>
              <w:jc w:val="both"/>
            </w:pPr>
            <w:r w:rsidRPr="00953F7D">
              <w:t>sovereign and bank;</w:t>
            </w:r>
          </w:p>
          <w:p w14:paraId="49D04A75" w14:textId="77777777" w:rsidR="00742F5F" w:rsidRPr="00953F7D" w:rsidRDefault="00742F5F" w:rsidP="00E9482F">
            <w:pPr>
              <w:numPr>
                <w:ilvl w:val="0"/>
                <w:numId w:val="3"/>
              </w:numPr>
              <w:autoSpaceDE w:val="0"/>
              <w:autoSpaceDN w:val="0"/>
              <w:adjustRightInd w:val="0"/>
              <w:spacing w:before="60" w:after="60"/>
              <w:jc w:val="both"/>
            </w:pPr>
            <w:r w:rsidRPr="00953F7D">
              <w:t>residential mortgage;</w:t>
            </w:r>
          </w:p>
          <w:p w14:paraId="49D04A76" w14:textId="77777777" w:rsidR="00742F5F" w:rsidRPr="00953F7D" w:rsidRDefault="00742F5F" w:rsidP="00E9482F">
            <w:pPr>
              <w:numPr>
                <w:ilvl w:val="0"/>
                <w:numId w:val="3"/>
              </w:numPr>
              <w:autoSpaceDE w:val="0"/>
              <w:autoSpaceDN w:val="0"/>
              <w:adjustRightInd w:val="0"/>
              <w:spacing w:before="60" w:after="60"/>
              <w:jc w:val="both"/>
            </w:pPr>
            <w:r w:rsidRPr="00953F7D">
              <w:t xml:space="preserve">qualifying revolving retail; </w:t>
            </w:r>
          </w:p>
          <w:p w14:paraId="49D04A77" w14:textId="77777777" w:rsidR="00742F5F" w:rsidRPr="00953F7D" w:rsidRDefault="00742F5F" w:rsidP="00E9482F">
            <w:pPr>
              <w:keepNext/>
              <w:keepLines/>
              <w:numPr>
                <w:ilvl w:val="0"/>
                <w:numId w:val="3"/>
              </w:numPr>
              <w:autoSpaceDE w:val="0"/>
              <w:autoSpaceDN w:val="0"/>
              <w:adjustRightInd w:val="0"/>
              <w:spacing w:before="60" w:after="60"/>
              <w:jc w:val="both"/>
              <w:rPr>
                <w:color w:val="000000"/>
              </w:rPr>
            </w:pPr>
            <w:r w:rsidRPr="00953F7D">
              <w:rPr>
                <w:color w:val="000000"/>
              </w:rPr>
              <w:t>other retail; and</w:t>
            </w:r>
          </w:p>
          <w:p w14:paraId="49D04A78" w14:textId="77777777" w:rsidR="00742F5F" w:rsidRPr="00953F7D" w:rsidRDefault="00742F5F" w:rsidP="00E9482F">
            <w:pPr>
              <w:numPr>
                <w:ilvl w:val="0"/>
                <w:numId w:val="12"/>
              </w:numPr>
              <w:autoSpaceDE w:val="0"/>
              <w:autoSpaceDN w:val="0"/>
              <w:adjustRightInd w:val="0"/>
              <w:spacing w:before="60" w:after="60"/>
              <w:jc w:val="both"/>
            </w:pPr>
            <w:r w:rsidRPr="00953F7D">
              <w:rPr>
                <w:color w:val="000000"/>
              </w:rPr>
              <w:t>securitisation exposures.</w:t>
            </w:r>
          </w:p>
        </w:tc>
      </w:tr>
      <w:tr w:rsidR="00742F5F" w:rsidRPr="00953F7D" w14:paraId="49D04A7D" w14:textId="77777777" w:rsidTr="009C3F64">
        <w:trPr>
          <w:trHeight w:val="70"/>
          <w:jc w:val="center"/>
        </w:trPr>
        <w:tc>
          <w:tcPr>
            <w:tcW w:w="1539" w:type="dxa"/>
            <w:tcBorders>
              <w:top w:val="nil"/>
              <w:bottom w:val="nil"/>
            </w:tcBorders>
            <w:shd w:val="clear" w:color="auto" w:fill="auto"/>
          </w:tcPr>
          <w:p w14:paraId="49D04A7A" w14:textId="77777777" w:rsidR="00742F5F" w:rsidRPr="00953F7D" w:rsidRDefault="00742F5F" w:rsidP="009164E6">
            <w:pPr>
              <w:autoSpaceDE w:val="0"/>
              <w:autoSpaceDN w:val="0"/>
              <w:adjustRightInd w:val="0"/>
              <w:spacing w:before="60" w:after="60"/>
              <w:jc w:val="both"/>
              <w:rPr>
                <w:b/>
                <w:bCs/>
                <w:color w:val="000000"/>
              </w:rPr>
            </w:pPr>
          </w:p>
        </w:tc>
        <w:tc>
          <w:tcPr>
            <w:tcW w:w="567" w:type="dxa"/>
          </w:tcPr>
          <w:p w14:paraId="49D04A7B" w14:textId="77777777" w:rsidR="00742F5F" w:rsidRPr="00953F7D" w:rsidRDefault="00742F5F" w:rsidP="009164E6">
            <w:pPr>
              <w:autoSpaceDE w:val="0"/>
              <w:autoSpaceDN w:val="0"/>
              <w:adjustRightInd w:val="0"/>
              <w:spacing w:before="60" w:after="60"/>
              <w:jc w:val="both"/>
              <w:rPr>
                <w:color w:val="000000"/>
              </w:rPr>
            </w:pPr>
            <w:r w:rsidRPr="00953F7D">
              <w:rPr>
                <w:color w:val="000000"/>
              </w:rPr>
              <w:t>(c)</w:t>
            </w:r>
          </w:p>
        </w:tc>
        <w:tc>
          <w:tcPr>
            <w:tcW w:w="6164" w:type="dxa"/>
          </w:tcPr>
          <w:p w14:paraId="49D04A7C" w14:textId="77777777" w:rsidR="00742F5F" w:rsidRPr="00953F7D" w:rsidRDefault="00742F5F" w:rsidP="0069763E">
            <w:pPr>
              <w:keepNext/>
              <w:keepLines/>
              <w:autoSpaceDE w:val="0"/>
              <w:autoSpaceDN w:val="0"/>
              <w:adjustRightInd w:val="0"/>
              <w:spacing w:before="60" w:after="60"/>
              <w:ind w:left="48" w:hanging="48"/>
              <w:jc w:val="both"/>
            </w:pPr>
            <w:r w:rsidRPr="00953F7D">
              <w:rPr>
                <w:color w:val="000000"/>
              </w:rPr>
              <w:t>Capital requirements (in terms of risk-weighted assets) for equity exposures in the IRB approach (simple risk-weight method).</w:t>
            </w:r>
          </w:p>
        </w:tc>
      </w:tr>
      <w:tr w:rsidR="00DF203E" w:rsidRPr="00953F7D" w14:paraId="49D04A81" w14:textId="77777777" w:rsidTr="00945F1D">
        <w:trPr>
          <w:trHeight w:val="526"/>
          <w:jc w:val="center"/>
        </w:trPr>
        <w:tc>
          <w:tcPr>
            <w:tcW w:w="1539" w:type="dxa"/>
            <w:vMerge w:val="restart"/>
            <w:tcBorders>
              <w:top w:val="nil"/>
            </w:tcBorders>
            <w:shd w:val="clear" w:color="auto" w:fill="auto"/>
          </w:tcPr>
          <w:p w14:paraId="49D04A7E" w14:textId="77777777" w:rsidR="00DF203E" w:rsidRPr="00953F7D" w:rsidRDefault="00DF203E" w:rsidP="009164E6">
            <w:pPr>
              <w:autoSpaceDE w:val="0"/>
              <w:autoSpaceDN w:val="0"/>
              <w:adjustRightInd w:val="0"/>
              <w:spacing w:before="60" w:after="60"/>
              <w:jc w:val="both"/>
            </w:pPr>
          </w:p>
        </w:tc>
        <w:tc>
          <w:tcPr>
            <w:tcW w:w="567" w:type="dxa"/>
          </w:tcPr>
          <w:p w14:paraId="49D04A7F" w14:textId="77777777" w:rsidR="00DF203E" w:rsidRPr="00953F7D" w:rsidRDefault="00DF203E" w:rsidP="009164E6">
            <w:pPr>
              <w:autoSpaceDE w:val="0"/>
              <w:autoSpaceDN w:val="0"/>
              <w:adjustRightInd w:val="0"/>
              <w:spacing w:before="60" w:after="60"/>
              <w:jc w:val="both"/>
              <w:rPr>
                <w:color w:val="000000"/>
              </w:rPr>
            </w:pPr>
            <w:r w:rsidRPr="00953F7D">
              <w:rPr>
                <w:color w:val="000000"/>
              </w:rPr>
              <w:t>(d)</w:t>
            </w:r>
          </w:p>
        </w:tc>
        <w:tc>
          <w:tcPr>
            <w:tcW w:w="6164" w:type="dxa"/>
            <w:tcBorders>
              <w:bottom w:val="single" w:sz="4" w:space="0" w:color="000000"/>
            </w:tcBorders>
          </w:tcPr>
          <w:p w14:paraId="49D04A80" w14:textId="77777777" w:rsidR="00DF203E" w:rsidRPr="00953F7D" w:rsidRDefault="00DF203E" w:rsidP="0069763E">
            <w:pPr>
              <w:autoSpaceDE w:val="0"/>
              <w:autoSpaceDN w:val="0"/>
              <w:adjustRightInd w:val="0"/>
              <w:spacing w:before="60" w:after="60"/>
              <w:ind w:left="48" w:hanging="48"/>
              <w:jc w:val="both"/>
              <w:rPr>
                <w:color w:val="000000"/>
              </w:rPr>
            </w:pPr>
            <w:r w:rsidRPr="00953F7D">
              <w:rPr>
                <w:color w:val="000000"/>
              </w:rPr>
              <w:t>Capital requirements (in terms of risk-weighted assets) for market risk: standard method and internal models approach (IMA) – trading book.</w:t>
            </w:r>
          </w:p>
        </w:tc>
      </w:tr>
      <w:tr w:rsidR="00DF203E" w:rsidRPr="00953F7D" w14:paraId="49D04A85" w14:textId="77777777" w:rsidTr="00945F1D">
        <w:trPr>
          <w:trHeight w:val="534"/>
          <w:jc w:val="center"/>
        </w:trPr>
        <w:tc>
          <w:tcPr>
            <w:tcW w:w="1539" w:type="dxa"/>
            <w:vMerge/>
            <w:shd w:val="clear" w:color="auto" w:fill="auto"/>
          </w:tcPr>
          <w:p w14:paraId="49D04A82" w14:textId="77777777" w:rsidR="00DF203E" w:rsidRPr="00953F7D" w:rsidRDefault="00DF203E" w:rsidP="009164E6">
            <w:pPr>
              <w:autoSpaceDE w:val="0"/>
              <w:autoSpaceDN w:val="0"/>
              <w:adjustRightInd w:val="0"/>
              <w:spacing w:before="60" w:after="60"/>
              <w:jc w:val="both"/>
            </w:pPr>
          </w:p>
        </w:tc>
        <w:tc>
          <w:tcPr>
            <w:tcW w:w="567" w:type="dxa"/>
          </w:tcPr>
          <w:p w14:paraId="49D04A83" w14:textId="77777777" w:rsidR="00DF203E" w:rsidRPr="00953F7D" w:rsidRDefault="00DF203E" w:rsidP="009164E6">
            <w:pPr>
              <w:autoSpaceDE w:val="0"/>
              <w:autoSpaceDN w:val="0"/>
              <w:adjustRightInd w:val="0"/>
              <w:spacing w:before="60" w:after="60"/>
              <w:jc w:val="both"/>
              <w:rPr>
                <w:color w:val="000000"/>
              </w:rPr>
            </w:pPr>
            <w:r w:rsidRPr="00953F7D">
              <w:rPr>
                <w:color w:val="000000"/>
              </w:rPr>
              <w:t>(e)</w:t>
            </w:r>
          </w:p>
        </w:tc>
        <w:tc>
          <w:tcPr>
            <w:tcW w:w="6164" w:type="dxa"/>
          </w:tcPr>
          <w:p w14:paraId="49D04A84" w14:textId="77777777" w:rsidR="00DF203E" w:rsidRPr="00953F7D" w:rsidRDefault="00DF203E" w:rsidP="0069763E">
            <w:pPr>
              <w:autoSpaceDE w:val="0"/>
              <w:autoSpaceDN w:val="0"/>
              <w:adjustRightInd w:val="0"/>
              <w:spacing w:before="60" w:after="60"/>
              <w:ind w:left="48" w:hanging="48"/>
              <w:jc w:val="both"/>
              <w:rPr>
                <w:color w:val="000000"/>
              </w:rPr>
            </w:pPr>
            <w:r w:rsidRPr="00953F7D">
              <w:rPr>
                <w:color w:val="000000"/>
              </w:rPr>
              <w:t>Capital requirements (in terms of risk-weighted assets) for operational risk: Standardised Approach and AMA.</w:t>
            </w:r>
          </w:p>
        </w:tc>
      </w:tr>
      <w:tr w:rsidR="00DF203E" w:rsidRPr="00953F7D" w14:paraId="49D04A89" w14:textId="77777777" w:rsidTr="00945F1D">
        <w:trPr>
          <w:cantSplit/>
          <w:trHeight w:val="534"/>
          <w:jc w:val="center"/>
        </w:trPr>
        <w:tc>
          <w:tcPr>
            <w:tcW w:w="1539" w:type="dxa"/>
            <w:vMerge/>
            <w:shd w:val="clear" w:color="auto" w:fill="auto"/>
          </w:tcPr>
          <w:p w14:paraId="49D04A86" w14:textId="77777777" w:rsidR="00DF203E" w:rsidRPr="00953F7D" w:rsidRDefault="00DF203E" w:rsidP="009164E6">
            <w:pPr>
              <w:autoSpaceDE w:val="0"/>
              <w:autoSpaceDN w:val="0"/>
              <w:adjustRightInd w:val="0"/>
              <w:spacing w:before="60" w:after="60"/>
              <w:jc w:val="both"/>
            </w:pPr>
          </w:p>
        </w:tc>
        <w:tc>
          <w:tcPr>
            <w:tcW w:w="567" w:type="dxa"/>
            <w:tcBorders>
              <w:bottom w:val="single" w:sz="4" w:space="0" w:color="auto"/>
            </w:tcBorders>
          </w:tcPr>
          <w:p w14:paraId="49D04A87" w14:textId="77777777" w:rsidR="00DF203E" w:rsidRPr="00953F7D" w:rsidRDefault="00DF203E" w:rsidP="009164E6">
            <w:pPr>
              <w:autoSpaceDE w:val="0"/>
              <w:autoSpaceDN w:val="0"/>
              <w:adjustRightInd w:val="0"/>
              <w:spacing w:before="60" w:after="60"/>
              <w:jc w:val="both"/>
              <w:rPr>
                <w:color w:val="000000"/>
              </w:rPr>
            </w:pPr>
            <w:r w:rsidRPr="00953F7D">
              <w:rPr>
                <w:color w:val="000000"/>
              </w:rPr>
              <w:t>(f)</w:t>
            </w:r>
          </w:p>
        </w:tc>
        <w:tc>
          <w:tcPr>
            <w:tcW w:w="6164" w:type="dxa"/>
            <w:tcBorders>
              <w:bottom w:val="single" w:sz="4" w:space="0" w:color="auto"/>
            </w:tcBorders>
          </w:tcPr>
          <w:p w14:paraId="49D04A88" w14:textId="77777777" w:rsidR="00DF203E" w:rsidRPr="00953F7D" w:rsidRDefault="00DF203E" w:rsidP="0069763E">
            <w:pPr>
              <w:autoSpaceDE w:val="0"/>
              <w:autoSpaceDN w:val="0"/>
              <w:adjustRightInd w:val="0"/>
              <w:spacing w:before="60" w:after="60"/>
              <w:ind w:left="0" w:firstLine="0"/>
              <w:jc w:val="both"/>
              <w:rPr>
                <w:color w:val="000000"/>
              </w:rPr>
            </w:pPr>
            <w:r w:rsidRPr="00953F7D">
              <w:rPr>
                <w:color w:val="000000"/>
              </w:rPr>
              <w:t>Capital requirements (in terms of risk-weighted assets) for interest rate risk in the banking book.</w:t>
            </w:r>
          </w:p>
        </w:tc>
      </w:tr>
      <w:tr w:rsidR="00DF203E" w:rsidRPr="00953F7D" w14:paraId="49D04A8F" w14:textId="77777777" w:rsidTr="0037763D">
        <w:trPr>
          <w:trHeight w:val="530"/>
          <w:jc w:val="center"/>
        </w:trPr>
        <w:tc>
          <w:tcPr>
            <w:tcW w:w="1539" w:type="dxa"/>
            <w:vMerge/>
            <w:shd w:val="clear" w:color="auto" w:fill="auto"/>
          </w:tcPr>
          <w:p w14:paraId="49D04A8A" w14:textId="77777777" w:rsidR="00DF203E" w:rsidRPr="00953F7D" w:rsidRDefault="00DF203E" w:rsidP="009164E6">
            <w:pPr>
              <w:autoSpaceDE w:val="0"/>
              <w:autoSpaceDN w:val="0"/>
              <w:adjustRightInd w:val="0"/>
              <w:spacing w:before="60" w:after="60"/>
              <w:jc w:val="both"/>
            </w:pPr>
          </w:p>
        </w:tc>
        <w:tc>
          <w:tcPr>
            <w:tcW w:w="567" w:type="dxa"/>
            <w:tcBorders>
              <w:top w:val="single" w:sz="4" w:space="0" w:color="auto"/>
            </w:tcBorders>
          </w:tcPr>
          <w:p w14:paraId="49D04A8B" w14:textId="77777777" w:rsidR="00DF203E" w:rsidRPr="00953F7D" w:rsidRDefault="00DF203E" w:rsidP="009164E6">
            <w:pPr>
              <w:autoSpaceDE w:val="0"/>
              <w:autoSpaceDN w:val="0"/>
              <w:adjustRightInd w:val="0"/>
              <w:spacing w:before="60" w:after="60"/>
              <w:jc w:val="both"/>
              <w:rPr>
                <w:color w:val="000000"/>
              </w:rPr>
            </w:pPr>
            <w:r w:rsidRPr="00953F7D">
              <w:rPr>
                <w:color w:val="000000"/>
              </w:rPr>
              <w:t>(g)</w:t>
            </w:r>
          </w:p>
        </w:tc>
        <w:tc>
          <w:tcPr>
            <w:tcW w:w="6164" w:type="dxa"/>
            <w:tcBorders>
              <w:top w:val="single" w:sz="4" w:space="0" w:color="auto"/>
            </w:tcBorders>
          </w:tcPr>
          <w:p w14:paraId="49D04A8C" w14:textId="77777777" w:rsidR="00DF203E" w:rsidRPr="00953F7D" w:rsidRDefault="00DF203E" w:rsidP="0069763E">
            <w:pPr>
              <w:autoSpaceDE w:val="0"/>
              <w:autoSpaceDN w:val="0"/>
              <w:adjustRightInd w:val="0"/>
              <w:spacing w:before="60" w:after="60"/>
              <w:ind w:left="0" w:firstLine="0"/>
              <w:jc w:val="both"/>
              <w:rPr>
                <w:color w:val="000000"/>
              </w:rPr>
            </w:pPr>
            <w:r w:rsidRPr="00953F7D">
              <w:rPr>
                <w:color w:val="000000"/>
              </w:rPr>
              <w:t>Common Equity Tier 1, Tier 1 and Total Capital ratio:</w:t>
            </w:r>
          </w:p>
          <w:p w14:paraId="49D04A8D" w14:textId="77777777" w:rsidR="00DF203E" w:rsidRPr="00953F7D" w:rsidRDefault="00DF203E" w:rsidP="00E9482F">
            <w:pPr>
              <w:numPr>
                <w:ilvl w:val="0"/>
                <w:numId w:val="12"/>
              </w:numPr>
              <w:autoSpaceDE w:val="0"/>
              <w:autoSpaceDN w:val="0"/>
              <w:adjustRightInd w:val="0"/>
              <w:spacing w:before="60" w:after="60"/>
              <w:ind w:left="0" w:firstLine="0"/>
              <w:jc w:val="both"/>
              <w:rPr>
                <w:color w:val="000000"/>
              </w:rPr>
            </w:pPr>
            <w:r w:rsidRPr="00953F7D">
              <w:rPr>
                <w:color w:val="000000"/>
              </w:rPr>
              <w:t>for the consolidated banking group; and</w:t>
            </w:r>
          </w:p>
          <w:p w14:paraId="49D04A8E" w14:textId="77777777" w:rsidR="00DF203E" w:rsidRPr="00953F7D" w:rsidRDefault="00DF203E" w:rsidP="00E9482F">
            <w:pPr>
              <w:numPr>
                <w:ilvl w:val="0"/>
                <w:numId w:val="12"/>
              </w:numPr>
              <w:autoSpaceDE w:val="0"/>
              <w:autoSpaceDN w:val="0"/>
              <w:adjustRightInd w:val="0"/>
              <w:spacing w:before="60" w:after="60"/>
              <w:ind w:left="615" w:hanging="615"/>
              <w:jc w:val="both"/>
              <w:rPr>
                <w:color w:val="000000"/>
              </w:rPr>
            </w:pPr>
            <w:r w:rsidRPr="00953F7D">
              <w:rPr>
                <w:color w:val="000000"/>
              </w:rPr>
              <w:t>for each significant ADI or overseas bank</w:t>
            </w:r>
            <w:r w:rsidRPr="00953F7D">
              <w:rPr>
                <w:rStyle w:val="FootnoteReference"/>
                <w:color w:val="000000"/>
              </w:rPr>
              <w:footnoteReference w:id="21"/>
            </w:r>
            <w:r w:rsidRPr="00953F7D">
              <w:rPr>
                <w:color w:val="000000"/>
              </w:rPr>
              <w:t xml:space="preserve"> subsidiary.</w:t>
            </w:r>
          </w:p>
        </w:tc>
      </w:tr>
    </w:tbl>
    <w:p w14:paraId="49D04A90" w14:textId="77777777" w:rsidR="00E73216" w:rsidRDefault="00E73216" w:rsidP="009C3F64">
      <w:pPr>
        <w:keepNext/>
        <w:jc w:val="both"/>
        <w:rPr>
          <w:i/>
        </w:rPr>
      </w:pPr>
    </w:p>
    <w:p w14:paraId="49D04A91" w14:textId="77777777" w:rsidR="00742F5F" w:rsidRPr="00953F7D" w:rsidRDefault="00742F5F" w:rsidP="009C3F64">
      <w:pPr>
        <w:keepNext/>
        <w:spacing w:after="240"/>
        <w:jc w:val="both"/>
        <w:rPr>
          <w:i/>
        </w:rPr>
      </w:pPr>
      <w:r w:rsidRPr="00953F7D">
        <w:rPr>
          <w:i/>
        </w:rPr>
        <w:t>General qualitative disclosure requirement</w:t>
      </w:r>
    </w:p>
    <w:p w14:paraId="49D04A92" w14:textId="77777777" w:rsidR="00742F5F" w:rsidRPr="00953F7D" w:rsidRDefault="00742F5F" w:rsidP="00044A3D">
      <w:pPr>
        <w:pStyle w:val="BodyText"/>
      </w:pPr>
      <w:bookmarkStart w:id="183" w:name="_Ref412477308"/>
      <w:r w:rsidRPr="00953F7D">
        <w:t>For each separate risk area (e.g. credit, market, operational, interest rate risk in the banking book, equity) an ADI must describe its risk management objectives and policies, including:</w:t>
      </w:r>
      <w:bookmarkEnd w:id="183"/>
    </w:p>
    <w:p w14:paraId="49D04A93" w14:textId="77777777" w:rsidR="00742F5F" w:rsidRPr="00953F7D" w:rsidRDefault="00742F5F" w:rsidP="00044A3D">
      <w:pPr>
        <w:pStyle w:val="Bodytextlist"/>
      </w:pPr>
      <w:bookmarkStart w:id="184" w:name="_Toc506286040"/>
      <w:r w:rsidRPr="00953F7D">
        <w:t>strategies and processes;</w:t>
      </w:r>
      <w:bookmarkEnd w:id="184"/>
    </w:p>
    <w:p w14:paraId="49D04A94" w14:textId="77777777" w:rsidR="00742F5F" w:rsidRPr="00953F7D" w:rsidRDefault="00742F5F" w:rsidP="00044A3D">
      <w:pPr>
        <w:pStyle w:val="Bodytextlist"/>
      </w:pPr>
      <w:bookmarkStart w:id="185" w:name="_Toc506286041"/>
      <w:r w:rsidRPr="00953F7D">
        <w:t>the structure and organisation of the relevant risk management function;</w:t>
      </w:r>
      <w:bookmarkEnd w:id="185"/>
    </w:p>
    <w:p w14:paraId="49D04A95" w14:textId="77777777" w:rsidR="00742F5F" w:rsidRPr="00953F7D" w:rsidRDefault="00742F5F" w:rsidP="00044A3D">
      <w:pPr>
        <w:pStyle w:val="Bodytextlist"/>
      </w:pPr>
      <w:bookmarkStart w:id="186" w:name="_Toc506286042"/>
      <w:r w:rsidRPr="00953F7D">
        <w:t>the scope and nature of risk reporting and/or measurement systems; and</w:t>
      </w:r>
      <w:bookmarkEnd w:id="186"/>
    </w:p>
    <w:p w14:paraId="49D04A96" w14:textId="77777777" w:rsidR="00742F5F" w:rsidRPr="00953F7D" w:rsidRDefault="00742F5F" w:rsidP="00044A3D">
      <w:pPr>
        <w:pStyle w:val="Bodytextlist"/>
      </w:pPr>
      <w:bookmarkStart w:id="187" w:name="_Toc506286043"/>
      <w:r w:rsidRPr="00953F7D">
        <w:t>policies for hedging and/or mitigating risk and strategies and processes for monitoring the continuing effectiveness of hedges/mitigants.</w:t>
      </w:r>
      <w:bookmarkEnd w:id="187"/>
    </w:p>
    <w:p w14:paraId="49D04A97" w14:textId="77777777" w:rsidR="00E73216" w:rsidRDefault="00E73216" w:rsidP="009C3F64">
      <w:pPr>
        <w:keepNext/>
        <w:jc w:val="both"/>
        <w:rPr>
          <w:i/>
        </w:rPr>
      </w:pPr>
    </w:p>
    <w:p w14:paraId="49D04A98" w14:textId="77777777" w:rsidR="00742F5F" w:rsidRPr="00953F7D" w:rsidRDefault="00742F5F" w:rsidP="009C3F64">
      <w:pPr>
        <w:keepNext/>
        <w:spacing w:after="240"/>
        <w:jc w:val="both"/>
        <w:rPr>
          <w:i/>
        </w:rPr>
      </w:pPr>
      <w:r w:rsidRPr="00953F7D">
        <w:rPr>
          <w:i/>
        </w:rPr>
        <w:t>Credit risk</w:t>
      </w:r>
    </w:p>
    <w:p w14:paraId="49D04A99" w14:textId="77777777" w:rsidR="00742F5F" w:rsidRPr="00953F7D" w:rsidRDefault="00742F5F" w:rsidP="00044A3D">
      <w:pPr>
        <w:pStyle w:val="BodyText"/>
        <w:rPr>
          <w:i/>
        </w:rPr>
      </w:pPr>
      <w:r w:rsidRPr="00953F7D">
        <w:t>An ADI must disclose the items set out in Tables 7 to 11 to the extent applicable.</w:t>
      </w:r>
    </w:p>
    <w:p w14:paraId="49D04A9A" w14:textId="77777777" w:rsidR="00742F5F" w:rsidRPr="00953F7D" w:rsidRDefault="00742F5F" w:rsidP="00742F5F">
      <w:pPr>
        <w:keepNext/>
        <w:autoSpaceDE w:val="0"/>
        <w:autoSpaceDN w:val="0"/>
        <w:adjustRightInd w:val="0"/>
        <w:spacing w:before="240" w:after="120"/>
        <w:ind w:left="284" w:firstLine="284"/>
        <w:jc w:val="both"/>
      </w:pPr>
      <w:r w:rsidRPr="00953F7D">
        <w:rPr>
          <w:bCs/>
          <w:color w:val="000000"/>
        </w:rPr>
        <w:t>Table</w:t>
      </w:r>
      <w:r w:rsidRPr="00953F7D">
        <w:t xml:space="preserve"> 7: </w:t>
      </w:r>
      <w:r w:rsidRPr="00953F7D">
        <w:rPr>
          <w:bCs/>
        </w:rPr>
        <w:t>Credit risk - general disclosures</w:t>
      </w:r>
      <w:r w:rsidRPr="00953F7D">
        <w:rPr>
          <w:rStyle w:val="FootnoteReference"/>
          <w:bCs/>
        </w:rPr>
        <w:footnoteReference w:id="22"/>
      </w:r>
      <w:r w:rsidRPr="00953F7D">
        <w:rPr>
          <w:bCs/>
        </w:rPr>
        <w:t xml:space="preserve"> </w:t>
      </w:r>
    </w:p>
    <w:tbl>
      <w:tblPr>
        <w:tblW w:w="82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1"/>
        <w:gridCol w:w="567"/>
        <w:gridCol w:w="6121"/>
      </w:tblGrid>
      <w:tr w:rsidR="00DF203E" w:rsidRPr="00953F7D" w14:paraId="49D04AA3" w14:textId="77777777" w:rsidTr="004E7639">
        <w:trPr>
          <w:trHeight w:val="5273"/>
          <w:jc w:val="center"/>
        </w:trPr>
        <w:tc>
          <w:tcPr>
            <w:tcW w:w="1561" w:type="dxa"/>
            <w:tcBorders>
              <w:top w:val="single" w:sz="4" w:space="0" w:color="auto"/>
              <w:left w:val="single" w:sz="4" w:space="0" w:color="auto"/>
              <w:right w:val="single" w:sz="4" w:space="0" w:color="auto"/>
            </w:tcBorders>
          </w:tcPr>
          <w:p w14:paraId="49D04A9B" w14:textId="77777777" w:rsidR="00DF203E" w:rsidRPr="00953F7D" w:rsidRDefault="00DF203E" w:rsidP="0069763E">
            <w:pPr>
              <w:autoSpaceDE w:val="0"/>
              <w:autoSpaceDN w:val="0"/>
              <w:adjustRightInd w:val="0"/>
              <w:spacing w:before="60" w:after="60"/>
              <w:ind w:left="-17" w:firstLine="17"/>
              <w:jc w:val="both"/>
              <w:rPr>
                <w:b/>
                <w:bCs/>
                <w:color w:val="000000"/>
              </w:rPr>
            </w:pPr>
            <w:r w:rsidRPr="00953F7D">
              <w:rPr>
                <w:b/>
                <w:bCs/>
                <w:color w:val="000000"/>
              </w:rPr>
              <w:t>Qualitative disclosures</w:t>
            </w:r>
          </w:p>
        </w:tc>
        <w:tc>
          <w:tcPr>
            <w:tcW w:w="567" w:type="dxa"/>
            <w:tcBorders>
              <w:top w:val="single" w:sz="4" w:space="0" w:color="auto"/>
              <w:left w:val="single" w:sz="4" w:space="0" w:color="auto"/>
              <w:right w:val="single" w:sz="4" w:space="0" w:color="auto"/>
            </w:tcBorders>
          </w:tcPr>
          <w:p w14:paraId="49D04A9C" w14:textId="77777777" w:rsidR="00DF203E" w:rsidRPr="00953F7D" w:rsidRDefault="00DF203E" w:rsidP="00A258F2">
            <w:pPr>
              <w:keepNext/>
              <w:keepLines/>
              <w:autoSpaceDE w:val="0"/>
              <w:autoSpaceDN w:val="0"/>
              <w:adjustRightInd w:val="0"/>
              <w:spacing w:before="60" w:after="60"/>
              <w:ind w:left="0" w:firstLine="0"/>
              <w:jc w:val="center"/>
              <w:rPr>
                <w:color w:val="000000"/>
              </w:rPr>
            </w:pPr>
            <w:r w:rsidRPr="00953F7D">
              <w:rPr>
                <w:color w:val="000000"/>
              </w:rPr>
              <w:t>(a)</w:t>
            </w:r>
          </w:p>
          <w:p w14:paraId="49D04A9D" w14:textId="77777777" w:rsidR="00DF203E" w:rsidRPr="00953F7D" w:rsidRDefault="00DF203E" w:rsidP="009164E6">
            <w:pPr>
              <w:autoSpaceDE w:val="0"/>
              <w:autoSpaceDN w:val="0"/>
              <w:adjustRightInd w:val="0"/>
              <w:spacing w:before="60" w:after="60"/>
              <w:ind w:left="-18"/>
              <w:jc w:val="both"/>
            </w:pPr>
            <w:r w:rsidRPr="00953F7D">
              <w:rPr>
                <w:color w:val="000000"/>
              </w:rPr>
              <w:t>(</w:t>
            </w:r>
          </w:p>
        </w:tc>
        <w:tc>
          <w:tcPr>
            <w:tcW w:w="6121" w:type="dxa"/>
            <w:tcBorders>
              <w:top w:val="single" w:sz="4" w:space="0" w:color="auto"/>
              <w:left w:val="single" w:sz="4" w:space="0" w:color="auto"/>
              <w:bottom w:val="single" w:sz="4" w:space="0" w:color="auto"/>
              <w:right w:val="single" w:sz="4" w:space="0" w:color="auto"/>
            </w:tcBorders>
          </w:tcPr>
          <w:p w14:paraId="49D04A9E" w14:textId="77777777" w:rsidR="00DF203E" w:rsidRPr="00953F7D" w:rsidRDefault="00DF203E" w:rsidP="00114436">
            <w:pPr>
              <w:keepNext/>
              <w:keepLines/>
              <w:autoSpaceDE w:val="0"/>
              <w:autoSpaceDN w:val="0"/>
              <w:adjustRightInd w:val="0"/>
              <w:spacing w:before="60" w:after="60"/>
              <w:ind w:left="34" w:firstLine="0"/>
              <w:jc w:val="both"/>
              <w:rPr>
                <w:color w:val="000000"/>
              </w:rPr>
            </w:pPr>
            <w:r w:rsidRPr="00953F7D">
              <w:rPr>
                <w:color w:val="000000"/>
              </w:rPr>
              <w:t xml:space="preserve">The general qualitative disclosure requirement (refer to paragraph </w:t>
            </w:r>
            <w:r w:rsidRPr="00953F7D">
              <w:rPr>
                <w:color w:val="000000"/>
              </w:rPr>
              <w:fldChar w:fldCharType="begin"/>
            </w:r>
            <w:r w:rsidRPr="00953F7D">
              <w:rPr>
                <w:color w:val="000000"/>
              </w:rPr>
              <w:instrText xml:space="preserve"> REF _Ref412477308 \r \h </w:instrText>
            </w:r>
            <w:r>
              <w:rPr>
                <w:color w:val="000000"/>
              </w:rPr>
              <w:instrText xml:space="preserve"> \* MERGEFORMAT </w:instrText>
            </w:r>
            <w:r w:rsidRPr="00953F7D">
              <w:rPr>
                <w:color w:val="000000"/>
              </w:rPr>
            </w:r>
            <w:r w:rsidRPr="00953F7D">
              <w:rPr>
                <w:color w:val="000000"/>
              </w:rPr>
              <w:fldChar w:fldCharType="separate"/>
            </w:r>
            <w:r w:rsidR="007D232B">
              <w:rPr>
                <w:color w:val="000000"/>
              </w:rPr>
              <w:t>3</w:t>
            </w:r>
            <w:r w:rsidRPr="00953F7D">
              <w:rPr>
                <w:color w:val="000000"/>
              </w:rPr>
              <w:fldChar w:fldCharType="end"/>
            </w:r>
            <w:r w:rsidRPr="00953F7D">
              <w:rPr>
                <w:color w:val="000000"/>
              </w:rPr>
              <w:t xml:space="preserve"> of this Attachment) with respect to credit risk, including:</w:t>
            </w:r>
          </w:p>
          <w:p w14:paraId="49D04A9F" w14:textId="77777777" w:rsidR="00DF203E" w:rsidRPr="00953F7D" w:rsidRDefault="00DF203E" w:rsidP="00E9482F">
            <w:pPr>
              <w:keepNext/>
              <w:keepLines/>
              <w:numPr>
                <w:ilvl w:val="0"/>
                <w:numId w:val="12"/>
              </w:numPr>
              <w:autoSpaceDE w:val="0"/>
              <w:autoSpaceDN w:val="0"/>
              <w:adjustRightInd w:val="0"/>
              <w:spacing w:before="60" w:after="60"/>
              <w:jc w:val="both"/>
              <w:rPr>
                <w:color w:val="000000"/>
              </w:rPr>
            </w:pPr>
            <w:r w:rsidRPr="00953F7D">
              <w:rPr>
                <w:color w:val="000000"/>
              </w:rPr>
              <w:t>definitions of past due and impaired (for regulatory purposes);</w:t>
            </w:r>
          </w:p>
          <w:p w14:paraId="49D04AA0" w14:textId="77777777" w:rsidR="00DF203E" w:rsidRPr="00953F7D" w:rsidRDefault="00DF203E" w:rsidP="00E9482F">
            <w:pPr>
              <w:keepNext/>
              <w:keepLines/>
              <w:numPr>
                <w:ilvl w:val="0"/>
                <w:numId w:val="12"/>
              </w:numPr>
              <w:autoSpaceDE w:val="0"/>
              <w:autoSpaceDN w:val="0"/>
              <w:adjustRightInd w:val="0"/>
              <w:spacing w:before="60" w:after="60"/>
              <w:jc w:val="both"/>
              <w:rPr>
                <w:color w:val="000000"/>
              </w:rPr>
            </w:pPr>
            <w:r w:rsidRPr="00953F7D">
              <w:rPr>
                <w:color w:val="000000"/>
              </w:rPr>
              <w:t>description of approaches followed for creation of specific provisions and general reserve for credit losses;</w:t>
            </w:r>
          </w:p>
          <w:p w14:paraId="49D04AA1" w14:textId="77777777" w:rsidR="00DF203E" w:rsidRPr="00953F7D" w:rsidRDefault="00DF203E" w:rsidP="00E9482F">
            <w:pPr>
              <w:keepNext/>
              <w:keepLines/>
              <w:numPr>
                <w:ilvl w:val="0"/>
                <w:numId w:val="12"/>
              </w:numPr>
              <w:autoSpaceDE w:val="0"/>
              <w:autoSpaceDN w:val="0"/>
              <w:adjustRightInd w:val="0"/>
              <w:spacing w:before="60" w:after="60"/>
              <w:jc w:val="both"/>
              <w:rPr>
                <w:color w:val="000000"/>
              </w:rPr>
            </w:pPr>
            <w:r w:rsidRPr="00953F7D">
              <w:rPr>
                <w:color w:val="000000"/>
              </w:rPr>
              <w:t>discussion of the ADI’s credit risk management policy; and</w:t>
            </w:r>
          </w:p>
          <w:p w14:paraId="49D04AA2" w14:textId="77777777" w:rsidR="00DF203E" w:rsidRPr="00953F7D" w:rsidRDefault="00DF203E" w:rsidP="00E9482F">
            <w:pPr>
              <w:keepNext/>
              <w:keepLines/>
              <w:numPr>
                <w:ilvl w:val="0"/>
                <w:numId w:val="12"/>
              </w:numPr>
              <w:autoSpaceDE w:val="0"/>
              <w:autoSpaceDN w:val="0"/>
              <w:adjustRightInd w:val="0"/>
              <w:spacing w:before="60"/>
              <w:jc w:val="both"/>
              <w:rPr>
                <w:color w:val="000000"/>
              </w:rPr>
            </w:pPr>
            <w:r w:rsidRPr="00953F7D">
              <w:rPr>
                <w:color w:val="000000"/>
              </w:rPr>
              <w:t>for ADIs that have partly, but not fully adopted either the foundation IRB or the advanced IRB approach, a description of the nature of exposures within each portfolio that are subject to the (i) standardised; (ii) foundation IRB; and (iii) advanced IRB approaches and of management’s plans and timing for migrating exposures to full implementation of the applicable approach.</w:t>
            </w:r>
          </w:p>
        </w:tc>
      </w:tr>
      <w:tr w:rsidR="00DF203E" w:rsidRPr="00953F7D" w14:paraId="49D04AA8" w14:textId="77777777" w:rsidTr="00945F1D">
        <w:trPr>
          <w:cantSplit/>
          <w:trHeight w:val="372"/>
          <w:jc w:val="center"/>
        </w:trPr>
        <w:tc>
          <w:tcPr>
            <w:tcW w:w="1561" w:type="dxa"/>
            <w:vMerge w:val="restart"/>
            <w:tcBorders>
              <w:top w:val="single" w:sz="4" w:space="0" w:color="auto"/>
              <w:left w:val="single" w:sz="4" w:space="0" w:color="auto"/>
              <w:right w:val="single" w:sz="4" w:space="0" w:color="auto"/>
            </w:tcBorders>
            <w:shd w:val="clear" w:color="auto" w:fill="auto"/>
          </w:tcPr>
          <w:p w14:paraId="49D04AA4" w14:textId="77777777" w:rsidR="00DF203E" w:rsidRPr="00953F7D" w:rsidRDefault="00DF203E" w:rsidP="005F4B4B">
            <w:pPr>
              <w:autoSpaceDE w:val="0"/>
              <w:autoSpaceDN w:val="0"/>
              <w:adjustRightInd w:val="0"/>
              <w:spacing w:before="60" w:after="60"/>
              <w:ind w:left="36" w:firstLine="0"/>
              <w:jc w:val="both"/>
              <w:rPr>
                <w:color w:val="000000"/>
              </w:rPr>
            </w:pPr>
            <w:r w:rsidRPr="00953F7D">
              <w:rPr>
                <w:b/>
                <w:bCs/>
                <w:color w:val="000000"/>
              </w:rPr>
              <w:t>Quantitative disclosures</w:t>
            </w:r>
          </w:p>
        </w:tc>
        <w:tc>
          <w:tcPr>
            <w:tcW w:w="567" w:type="dxa"/>
            <w:tcBorders>
              <w:top w:val="single" w:sz="4" w:space="0" w:color="auto"/>
              <w:left w:val="single" w:sz="4" w:space="0" w:color="auto"/>
              <w:bottom w:val="single" w:sz="4" w:space="0" w:color="auto"/>
              <w:right w:val="single" w:sz="4" w:space="0" w:color="auto"/>
            </w:tcBorders>
          </w:tcPr>
          <w:p w14:paraId="49D04AA5" w14:textId="77777777" w:rsidR="00DF203E" w:rsidRPr="00953F7D" w:rsidRDefault="00DF203E" w:rsidP="00A258F2">
            <w:pPr>
              <w:autoSpaceDE w:val="0"/>
              <w:autoSpaceDN w:val="0"/>
              <w:adjustRightInd w:val="0"/>
              <w:spacing w:before="60" w:after="60"/>
              <w:ind w:left="0" w:firstLine="0"/>
              <w:jc w:val="center"/>
              <w:rPr>
                <w:color w:val="000000"/>
              </w:rPr>
            </w:pPr>
            <w:r w:rsidRPr="00953F7D">
              <w:rPr>
                <w:color w:val="000000"/>
              </w:rPr>
              <w:t>(b)</w:t>
            </w:r>
          </w:p>
          <w:p w14:paraId="49D04AA6" w14:textId="77777777" w:rsidR="00DF203E" w:rsidRPr="00953F7D" w:rsidRDefault="00DF203E" w:rsidP="00A258F2">
            <w:pPr>
              <w:widowControl w:val="0"/>
              <w:ind w:left="0" w:firstLine="0"/>
              <w:jc w:val="center"/>
            </w:pPr>
          </w:p>
        </w:tc>
        <w:tc>
          <w:tcPr>
            <w:tcW w:w="6121" w:type="dxa"/>
            <w:tcBorders>
              <w:top w:val="single" w:sz="4" w:space="0" w:color="auto"/>
              <w:left w:val="single" w:sz="4" w:space="0" w:color="auto"/>
              <w:bottom w:val="single" w:sz="4" w:space="0" w:color="auto"/>
              <w:right w:val="single" w:sz="4" w:space="0" w:color="auto"/>
            </w:tcBorders>
          </w:tcPr>
          <w:p w14:paraId="49D04AA7" w14:textId="77777777" w:rsidR="00DF203E" w:rsidRPr="00953F7D" w:rsidRDefault="00DF203E" w:rsidP="00114436">
            <w:pPr>
              <w:keepNext/>
              <w:keepLines/>
              <w:autoSpaceDE w:val="0"/>
              <w:autoSpaceDN w:val="0"/>
              <w:adjustRightInd w:val="0"/>
              <w:spacing w:before="60" w:after="60"/>
              <w:ind w:left="34" w:firstLine="0"/>
              <w:jc w:val="both"/>
              <w:rPr>
                <w:color w:val="000000"/>
              </w:rPr>
            </w:pPr>
            <w:r w:rsidRPr="00953F7D">
              <w:rPr>
                <w:color w:val="000000"/>
              </w:rPr>
              <w:t>Total gross credit risk exposures,</w:t>
            </w:r>
            <w:r w:rsidRPr="00953F7D">
              <w:rPr>
                <w:color w:val="000000"/>
                <w:position w:val="6"/>
                <w:vertAlign w:val="superscript"/>
              </w:rPr>
              <w:t xml:space="preserve"> </w:t>
            </w:r>
            <w:r w:rsidRPr="00953F7D">
              <w:rPr>
                <w:color w:val="000000"/>
              </w:rPr>
              <w:t>plus average gross exposure over the period broken down by major types of credit exposure</w:t>
            </w:r>
            <w:r w:rsidRPr="00953F7D">
              <w:rPr>
                <w:rStyle w:val="FootnoteReference"/>
                <w:color w:val="000000"/>
              </w:rPr>
              <w:footnoteReference w:id="23"/>
            </w:r>
            <w:r w:rsidRPr="00953F7D">
              <w:rPr>
                <w:color w:val="000000"/>
              </w:rPr>
              <w:t xml:space="preserve"> and, separately, by portfolio. </w:t>
            </w:r>
          </w:p>
        </w:tc>
      </w:tr>
      <w:tr w:rsidR="00DF203E" w:rsidRPr="00953F7D" w14:paraId="49D04AAD" w14:textId="77777777" w:rsidTr="00945F1D">
        <w:trPr>
          <w:trHeight w:val="477"/>
          <w:jc w:val="center"/>
        </w:trPr>
        <w:tc>
          <w:tcPr>
            <w:tcW w:w="1561" w:type="dxa"/>
            <w:vMerge/>
            <w:tcBorders>
              <w:left w:val="single" w:sz="4" w:space="0" w:color="auto"/>
              <w:right w:val="single" w:sz="4" w:space="0" w:color="auto"/>
            </w:tcBorders>
            <w:shd w:val="clear" w:color="auto" w:fill="auto"/>
          </w:tcPr>
          <w:p w14:paraId="49D04AA9" w14:textId="77777777" w:rsidR="00DF203E" w:rsidRPr="00953F7D" w:rsidRDefault="00DF203E" w:rsidP="005F4B4B">
            <w:pPr>
              <w:autoSpaceDE w:val="0"/>
              <w:autoSpaceDN w:val="0"/>
              <w:adjustRightInd w:val="0"/>
              <w:spacing w:before="60" w:after="60"/>
              <w:ind w:left="0" w:firstLine="0"/>
              <w:jc w:val="both"/>
            </w:pPr>
          </w:p>
        </w:tc>
        <w:tc>
          <w:tcPr>
            <w:tcW w:w="567" w:type="dxa"/>
            <w:tcBorders>
              <w:top w:val="single" w:sz="4" w:space="0" w:color="auto"/>
              <w:left w:val="single" w:sz="4" w:space="0" w:color="auto"/>
            </w:tcBorders>
          </w:tcPr>
          <w:p w14:paraId="49D04AAA" w14:textId="77777777" w:rsidR="00DF203E" w:rsidRPr="00953F7D" w:rsidRDefault="00DF203E" w:rsidP="00A258F2">
            <w:pPr>
              <w:autoSpaceDE w:val="0"/>
              <w:autoSpaceDN w:val="0"/>
              <w:adjustRightInd w:val="0"/>
              <w:spacing w:before="60" w:after="60"/>
              <w:jc w:val="center"/>
              <w:rPr>
                <w:color w:val="000000"/>
              </w:rPr>
            </w:pPr>
            <w:r w:rsidRPr="00953F7D">
              <w:rPr>
                <w:color w:val="000000"/>
              </w:rPr>
              <w:t>(c)</w:t>
            </w:r>
          </w:p>
          <w:p w14:paraId="49D04AAB" w14:textId="77777777" w:rsidR="00DF203E" w:rsidRPr="00953F7D" w:rsidRDefault="00DF203E" w:rsidP="00A258F2">
            <w:pPr>
              <w:jc w:val="center"/>
            </w:pPr>
          </w:p>
        </w:tc>
        <w:tc>
          <w:tcPr>
            <w:tcW w:w="6121" w:type="dxa"/>
            <w:tcBorders>
              <w:top w:val="single" w:sz="4" w:space="0" w:color="auto"/>
            </w:tcBorders>
          </w:tcPr>
          <w:p w14:paraId="49D04AAC" w14:textId="77777777" w:rsidR="00DF203E" w:rsidRPr="00953F7D" w:rsidRDefault="00DF203E" w:rsidP="00114436">
            <w:pPr>
              <w:autoSpaceDE w:val="0"/>
              <w:autoSpaceDN w:val="0"/>
              <w:adjustRightInd w:val="0"/>
              <w:spacing w:before="60" w:after="60"/>
              <w:ind w:left="34" w:firstLine="0"/>
              <w:jc w:val="both"/>
              <w:rPr>
                <w:color w:val="000000"/>
              </w:rPr>
            </w:pPr>
            <w:r w:rsidRPr="00953F7D">
              <w:rPr>
                <w:color w:val="000000"/>
              </w:rPr>
              <w:t>Geographic distribution</w:t>
            </w:r>
            <w:r w:rsidRPr="00953F7D">
              <w:rPr>
                <w:rStyle w:val="FootnoteReference"/>
                <w:color w:val="000000"/>
              </w:rPr>
              <w:footnoteReference w:id="24"/>
            </w:r>
            <w:r w:rsidRPr="00953F7D">
              <w:rPr>
                <w:color w:val="000000"/>
              </w:rPr>
              <w:t xml:space="preserve"> of exposures, broken down in significant areas by major types of credit exposure.</w:t>
            </w:r>
          </w:p>
        </w:tc>
      </w:tr>
      <w:tr w:rsidR="00DF203E" w:rsidRPr="00953F7D" w14:paraId="49D04AB2" w14:textId="77777777" w:rsidTr="00945F1D">
        <w:trPr>
          <w:trHeight w:val="446"/>
          <w:jc w:val="center"/>
        </w:trPr>
        <w:tc>
          <w:tcPr>
            <w:tcW w:w="1561" w:type="dxa"/>
            <w:vMerge/>
            <w:tcBorders>
              <w:left w:val="single" w:sz="4" w:space="0" w:color="auto"/>
              <w:right w:val="single" w:sz="4" w:space="0" w:color="auto"/>
            </w:tcBorders>
            <w:shd w:val="clear" w:color="auto" w:fill="auto"/>
          </w:tcPr>
          <w:p w14:paraId="49D04AAE" w14:textId="77777777" w:rsidR="00DF203E" w:rsidRPr="00953F7D" w:rsidRDefault="00DF203E" w:rsidP="009164E6">
            <w:pPr>
              <w:autoSpaceDE w:val="0"/>
              <w:autoSpaceDN w:val="0"/>
              <w:adjustRightInd w:val="0"/>
              <w:spacing w:before="60" w:after="60"/>
              <w:ind w:left="-18"/>
              <w:jc w:val="both"/>
              <w:rPr>
                <w:color w:val="000000"/>
              </w:rPr>
            </w:pPr>
          </w:p>
        </w:tc>
        <w:tc>
          <w:tcPr>
            <w:tcW w:w="567" w:type="dxa"/>
            <w:tcBorders>
              <w:left w:val="single" w:sz="4" w:space="0" w:color="auto"/>
            </w:tcBorders>
            <w:shd w:val="clear" w:color="auto" w:fill="auto"/>
          </w:tcPr>
          <w:p w14:paraId="49D04AAF" w14:textId="77777777" w:rsidR="00DF203E" w:rsidRPr="00953F7D" w:rsidRDefault="00DF203E" w:rsidP="00A258F2">
            <w:pPr>
              <w:autoSpaceDE w:val="0"/>
              <w:autoSpaceDN w:val="0"/>
              <w:adjustRightInd w:val="0"/>
              <w:spacing w:before="60" w:after="60"/>
              <w:ind w:left="516" w:hanging="516"/>
              <w:jc w:val="center"/>
              <w:rPr>
                <w:color w:val="000000"/>
              </w:rPr>
            </w:pPr>
            <w:r w:rsidRPr="00953F7D">
              <w:rPr>
                <w:color w:val="000000"/>
              </w:rPr>
              <w:t>(d)</w:t>
            </w:r>
          </w:p>
          <w:p w14:paraId="49D04AB0" w14:textId="77777777" w:rsidR="00DF203E" w:rsidRPr="00953F7D" w:rsidRDefault="00DF203E" w:rsidP="00A258F2">
            <w:pPr>
              <w:ind w:left="516" w:hanging="516"/>
              <w:jc w:val="center"/>
            </w:pPr>
          </w:p>
        </w:tc>
        <w:tc>
          <w:tcPr>
            <w:tcW w:w="6121" w:type="dxa"/>
          </w:tcPr>
          <w:p w14:paraId="49D04AB1" w14:textId="77777777" w:rsidR="00DF203E" w:rsidRPr="00953F7D" w:rsidRDefault="00DF203E" w:rsidP="00114436">
            <w:pPr>
              <w:autoSpaceDE w:val="0"/>
              <w:autoSpaceDN w:val="0"/>
              <w:adjustRightInd w:val="0"/>
              <w:spacing w:before="60" w:after="60"/>
              <w:ind w:left="34" w:firstLine="0"/>
              <w:jc w:val="both"/>
              <w:rPr>
                <w:color w:val="000000"/>
              </w:rPr>
            </w:pPr>
            <w:r w:rsidRPr="00953F7D">
              <w:rPr>
                <w:color w:val="000000"/>
              </w:rPr>
              <w:t>Industry or counterparty type distribution of exposures, broken down by major types of credit exposure.</w:t>
            </w:r>
          </w:p>
        </w:tc>
      </w:tr>
      <w:tr w:rsidR="00DF203E" w:rsidRPr="00953F7D" w14:paraId="49D04AB6" w14:textId="77777777" w:rsidTr="00945F1D">
        <w:trPr>
          <w:trHeight w:val="476"/>
          <w:jc w:val="center"/>
        </w:trPr>
        <w:tc>
          <w:tcPr>
            <w:tcW w:w="1561" w:type="dxa"/>
            <w:vMerge/>
            <w:tcBorders>
              <w:left w:val="single" w:sz="4" w:space="0" w:color="auto"/>
              <w:right w:val="single" w:sz="4" w:space="0" w:color="auto"/>
            </w:tcBorders>
            <w:shd w:val="clear" w:color="auto" w:fill="auto"/>
          </w:tcPr>
          <w:p w14:paraId="49D04AB3" w14:textId="77777777" w:rsidR="00DF203E" w:rsidRPr="00953F7D" w:rsidRDefault="00DF203E" w:rsidP="005E09FA">
            <w:pPr>
              <w:autoSpaceDE w:val="0"/>
              <w:autoSpaceDN w:val="0"/>
              <w:adjustRightInd w:val="0"/>
              <w:spacing w:before="60" w:after="60"/>
              <w:ind w:left="-18" w:firstLine="54"/>
              <w:jc w:val="both"/>
              <w:rPr>
                <w:color w:val="000000"/>
              </w:rPr>
            </w:pPr>
          </w:p>
        </w:tc>
        <w:tc>
          <w:tcPr>
            <w:tcW w:w="567" w:type="dxa"/>
            <w:tcBorders>
              <w:left w:val="single" w:sz="4" w:space="0" w:color="auto"/>
            </w:tcBorders>
            <w:shd w:val="clear" w:color="auto" w:fill="auto"/>
          </w:tcPr>
          <w:p w14:paraId="49D04AB4" w14:textId="77777777" w:rsidR="00DF203E" w:rsidRPr="00953F7D" w:rsidRDefault="00DF203E" w:rsidP="00A258F2">
            <w:pPr>
              <w:autoSpaceDE w:val="0"/>
              <w:autoSpaceDN w:val="0"/>
              <w:adjustRightInd w:val="0"/>
              <w:spacing w:before="60" w:after="60"/>
              <w:ind w:left="0" w:firstLine="0"/>
              <w:jc w:val="center"/>
              <w:rPr>
                <w:color w:val="000000"/>
              </w:rPr>
            </w:pPr>
            <w:r w:rsidRPr="00953F7D">
              <w:rPr>
                <w:color w:val="000000"/>
              </w:rPr>
              <w:t>(e)</w:t>
            </w:r>
          </w:p>
        </w:tc>
        <w:tc>
          <w:tcPr>
            <w:tcW w:w="6121" w:type="dxa"/>
          </w:tcPr>
          <w:p w14:paraId="49D04AB5" w14:textId="77777777" w:rsidR="00DF203E" w:rsidRPr="00953F7D" w:rsidRDefault="00DF203E" w:rsidP="00114436">
            <w:pPr>
              <w:autoSpaceDE w:val="0"/>
              <w:autoSpaceDN w:val="0"/>
              <w:adjustRightInd w:val="0"/>
              <w:spacing w:before="60" w:after="60"/>
              <w:ind w:left="34" w:firstLine="0"/>
              <w:jc w:val="both"/>
              <w:rPr>
                <w:color w:val="000000"/>
              </w:rPr>
            </w:pPr>
            <w:r w:rsidRPr="00953F7D">
              <w:rPr>
                <w:color w:val="000000"/>
              </w:rPr>
              <w:t>Residual contractual maturity breakdown of the whole portfolio, broken down by major types of credit exposure.</w:t>
            </w:r>
          </w:p>
        </w:tc>
      </w:tr>
      <w:tr w:rsidR="00DF203E" w:rsidRPr="00953F7D" w14:paraId="49D04ABE" w14:textId="77777777" w:rsidTr="00945F1D">
        <w:trPr>
          <w:trHeight w:val="1142"/>
          <w:jc w:val="center"/>
        </w:trPr>
        <w:tc>
          <w:tcPr>
            <w:tcW w:w="1561" w:type="dxa"/>
            <w:vMerge/>
            <w:tcBorders>
              <w:left w:val="single" w:sz="4" w:space="0" w:color="auto"/>
              <w:right w:val="single" w:sz="4" w:space="0" w:color="auto"/>
            </w:tcBorders>
            <w:shd w:val="clear" w:color="auto" w:fill="auto"/>
          </w:tcPr>
          <w:p w14:paraId="49D04AB7" w14:textId="77777777" w:rsidR="00DF203E" w:rsidRPr="00953F7D" w:rsidRDefault="00DF203E" w:rsidP="009164E6">
            <w:pPr>
              <w:autoSpaceDE w:val="0"/>
              <w:autoSpaceDN w:val="0"/>
              <w:adjustRightInd w:val="0"/>
              <w:spacing w:before="60" w:after="60"/>
              <w:ind w:left="-18"/>
              <w:jc w:val="both"/>
              <w:rPr>
                <w:color w:val="000000"/>
              </w:rPr>
            </w:pPr>
          </w:p>
        </w:tc>
        <w:tc>
          <w:tcPr>
            <w:tcW w:w="567" w:type="dxa"/>
            <w:tcBorders>
              <w:left w:val="single" w:sz="4" w:space="0" w:color="auto"/>
              <w:bottom w:val="single" w:sz="4" w:space="0" w:color="000000"/>
            </w:tcBorders>
            <w:shd w:val="clear" w:color="auto" w:fill="auto"/>
          </w:tcPr>
          <w:p w14:paraId="49D04AB8" w14:textId="77777777" w:rsidR="00DF203E" w:rsidRPr="00953F7D" w:rsidRDefault="00DF203E" w:rsidP="00A258F2">
            <w:pPr>
              <w:autoSpaceDE w:val="0"/>
              <w:autoSpaceDN w:val="0"/>
              <w:adjustRightInd w:val="0"/>
              <w:spacing w:before="60" w:after="60"/>
              <w:jc w:val="center"/>
              <w:rPr>
                <w:color w:val="000000"/>
              </w:rPr>
            </w:pPr>
            <w:r w:rsidRPr="00953F7D">
              <w:rPr>
                <w:color w:val="000000"/>
              </w:rPr>
              <w:t>(f)</w:t>
            </w:r>
          </w:p>
          <w:p w14:paraId="49D04AB9" w14:textId="77777777" w:rsidR="00DF203E" w:rsidRPr="00953F7D" w:rsidRDefault="00DF203E" w:rsidP="00A258F2">
            <w:pPr>
              <w:widowControl w:val="0"/>
              <w:ind w:left="0" w:firstLine="0"/>
              <w:jc w:val="center"/>
            </w:pPr>
          </w:p>
        </w:tc>
        <w:tc>
          <w:tcPr>
            <w:tcW w:w="6121" w:type="dxa"/>
            <w:tcBorders>
              <w:bottom w:val="single" w:sz="4" w:space="0" w:color="000000"/>
            </w:tcBorders>
          </w:tcPr>
          <w:p w14:paraId="49D04ABA" w14:textId="77777777" w:rsidR="00DF203E" w:rsidRPr="00953F7D" w:rsidRDefault="00DF203E" w:rsidP="005E09FA">
            <w:pPr>
              <w:autoSpaceDE w:val="0"/>
              <w:autoSpaceDN w:val="0"/>
              <w:adjustRightInd w:val="0"/>
              <w:spacing w:before="60" w:after="60"/>
              <w:ind w:left="-17" w:firstLine="17"/>
              <w:jc w:val="both"/>
              <w:rPr>
                <w:color w:val="000000"/>
              </w:rPr>
            </w:pPr>
            <w:r w:rsidRPr="00953F7D">
              <w:rPr>
                <w:color w:val="000000"/>
              </w:rPr>
              <w:t>By major industry or counterparty type and, separately, by portfolio:</w:t>
            </w:r>
          </w:p>
          <w:p w14:paraId="49D04ABB" w14:textId="77777777" w:rsidR="00DF203E" w:rsidRPr="00953F7D" w:rsidRDefault="00DF203E" w:rsidP="00E9482F">
            <w:pPr>
              <w:numPr>
                <w:ilvl w:val="0"/>
                <w:numId w:val="12"/>
              </w:numPr>
              <w:autoSpaceDE w:val="0"/>
              <w:autoSpaceDN w:val="0"/>
              <w:adjustRightInd w:val="0"/>
              <w:spacing w:before="60" w:after="60"/>
              <w:jc w:val="both"/>
              <w:rPr>
                <w:color w:val="000000"/>
              </w:rPr>
            </w:pPr>
            <w:r w:rsidRPr="00953F7D">
              <w:rPr>
                <w:color w:val="000000"/>
              </w:rPr>
              <w:t>amount of impaired facilities and, if available, past due facilities provided separately</w:t>
            </w:r>
            <w:r w:rsidRPr="00953F7D">
              <w:rPr>
                <w:rStyle w:val="FootnoteReference"/>
                <w:color w:val="000000"/>
              </w:rPr>
              <w:footnoteReference w:id="25"/>
            </w:r>
            <w:r w:rsidRPr="00953F7D">
              <w:rPr>
                <w:color w:val="000000"/>
              </w:rPr>
              <w:t>;</w:t>
            </w:r>
          </w:p>
          <w:p w14:paraId="49D04ABC" w14:textId="77777777" w:rsidR="00DF203E" w:rsidRPr="00953F7D" w:rsidRDefault="00DF203E" w:rsidP="00E9482F">
            <w:pPr>
              <w:numPr>
                <w:ilvl w:val="0"/>
                <w:numId w:val="12"/>
              </w:numPr>
              <w:autoSpaceDE w:val="0"/>
              <w:autoSpaceDN w:val="0"/>
              <w:adjustRightInd w:val="0"/>
              <w:spacing w:before="60" w:after="60"/>
              <w:jc w:val="both"/>
              <w:rPr>
                <w:color w:val="000000"/>
              </w:rPr>
            </w:pPr>
            <w:r w:rsidRPr="00953F7D">
              <w:rPr>
                <w:color w:val="000000"/>
              </w:rPr>
              <w:t>specific provisions; and</w:t>
            </w:r>
          </w:p>
          <w:p w14:paraId="49D04ABD" w14:textId="77777777" w:rsidR="00DF203E" w:rsidRPr="00953F7D" w:rsidRDefault="00DF203E" w:rsidP="00E9482F">
            <w:pPr>
              <w:numPr>
                <w:ilvl w:val="0"/>
                <w:numId w:val="12"/>
              </w:numPr>
              <w:autoSpaceDE w:val="0"/>
              <w:autoSpaceDN w:val="0"/>
              <w:adjustRightInd w:val="0"/>
              <w:spacing w:before="60" w:after="60"/>
              <w:jc w:val="both"/>
              <w:rPr>
                <w:color w:val="000000"/>
              </w:rPr>
            </w:pPr>
            <w:r w:rsidRPr="00953F7D">
              <w:rPr>
                <w:color w:val="000000"/>
              </w:rPr>
              <w:t>charges for specific provisions and write-offs during the period.</w:t>
            </w:r>
          </w:p>
        </w:tc>
      </w:tr>
      <w:tr w:rsidR="00DF203E" w:rsidRPr="00953F7D" w14:paraId="49D04AC3" w14:textId="77777777" w:rsidTr="00945F1D">
        <w:trPr>
          <w:trHeight w:val="170"/>
          <w:jc w:val="center"/>
        </w:trPr>
        <w:tc>
          <w:tcPr>
            <w:tcW w:w="1561" w:type="dxa"/>
            <w:vMerge/>
            <w:tcBorders>
              <w:left w:val="single" w:sz="4" w:space="0" w:color="auto"/>
              <w:right w:val="single" w:sz="4" w:space="0" w:color="auto"/>
            </w:tcBorders>
            <w:shd w:val="clear" w:color="auto" w:fill="auto"/>
          </w:tcPr>
          <w:p w14:paraId="49D04ABF" w14:textId="77777777" w:rsidR="00DF203E" w:rsidRPr="00953F7D" w:rsidRDefault="00DF203E" w:rsidP="009164E6">
            <w:pPr>
              <w:autoSpaceDE w:val="0"/>
              <w:autoSpaceDN w:val="0"/>
              <w:adjustRightInd w:val="0"/>
              <w:spacing w:before="60" w:after="60"/>
              <w:ind w:left="-17"/>
              <w:jc w:val="both"/>
              <w:rPr>
                <w:color w:val="000000"/>
              </w:rPr>
            </w:pPr>
          </w:p>
        </w:tc>
        <w:tc>
          <w:tcPr>
            <w:tcW w:w="567" w:type="dxa"/>
            <w:tcBorders>
              <w:top w:val="single" w:sz="4" w:space="0" w:color="000000"/>
              <w:left w:val="single" w:sz="4" w:space="0" w:color="auto"/>
              <w:bottom w:val="single" w:sz="4" w:space="0" w:color="000000"/>
            </w:tcBorders>
            <w:shd w:val="clear" w:color="auto" w:fill="auto"/>
          </w:tcPr>
          <w:p w14:paraId="49D04AC0" w14:textId="77777777" w:rsidR="00DF203E" w:rsidRPr="00953F7D" w:rsidRDefault="00DF203E" w:rsidP="00A258F2">
            <w:pPr>
              <w:keepNext/>
              <w:keepLines/>
              <w:autoSpaceDE w:val="0"/>
              <w:autoSpaceDN w:val="0"/>
              <w:adjustRightInd w:val="0"/>
              <w:spacing w:before="60" w:after="60"/>
              <w:ind w:left="544" w:hanging="544"/>
              <w:jc w:val="center"/>
              <w:rPr>
                <w:color w:val="000000"/>
              </w:rPr>
            </w:pPr>
            <w:r w:rsidRPr="00953F7D">
              <w:rPr>
                <w:color w:val="000000"/>
              </w:rPr>
              <w:t>(g)</w:t>
            </w:r>
          </w:p>
          <w:p w14:paraId="49D04AC1" w14:textId="77777777" w:rsidR="00DF203E" w:rsidRPr="00953F7D" w:rsidRDefault="00DF203E" w:rsidP="00A258F2">
            <w:pPr>
              <w:ind w:left="544" w:hanging="544"/>
              <w:jc w:val="center"/>
            </w:pPr>
          </w:p>
        </w:tc>
        <w:tc>
          <w:tcPr>
            <w:tcW w:w="6121" w:type="dxa"/>
            <w:tcBorders>
              <w:top w:val="single" w:sz="4" w:space="0" w:color="000000"/>
              <w:bottom w:val="single" w:sz="4" w:space="0" w:color="000000"/>
            </w:tcBorders>
          </w:tcPr>
          <w:p w14:paraId="49D04AC2" w14:textId="77777777" w:rsidR="00DF203E" w:rsidRPr="00953F7D" w:rsidRDefault="00DF203E" w:rsidP="005E09FA">
            <w:pPr>
              <w:keepNext/>
              <w:keepLines/>
              <w:autoSpaceDE w:val="0"/>
              <w:autoSpaceDN w:val="0"/>
              <w:adjustRightInd w:val="0"/>
              <w:spacing w:before="60" w:after="60"/>
              <w:ind w:left="-17" w:firstLine="17"/>
              <w:jc w:val="both"/>
              <w:rPr>
                <w:color w:val="000000"/>
              </w:rPr>
            </w:pPr>
            <w:r w:rsidRPr="00953F7D">
              <w:rPr>
                <w:color w:val="000000"/>
              </w:rPr>
              <w:t>Amount of impaired facilities and, if available, past due facilities provided separately broken down by significant geographic areas including, if practical, the amounts of specific provisions and general reserve for credit losses related to each geographical area; the portion of general reserve not allocated to a geographical area must be disclosed separately.</w:t>
            </w:r>
          </w:p>
        </w:tc>
      </w:tr>
      <w:tr w:rsidR="00DF203E" w:rsidRPr="00953F7D" w14:paraId="49D04AC8" w14:textId="77777777" w:rsidTr="00945F1D">
        <w:trPr>
          <w:trHeight w:val="269"/>
          <w:jc w:val="center"/>
        </w:trPr>
        <w:tc>
          <w:tcPr>
            <w:tcW w:w="1561" w:type="dxa"/>
            <w:vMerge/>
            <w:tcBorders>
              <w:left w:val="single" w:sz="4" w:space="0" w:color="auto"/>
              <w:right w:val="single" w:sz="4" w:space="0" w:color="auto"/>
            </w:tcBorders>
            <w:shd w:val="clear" w:color="auto" w:fill="auto"/>
          </w:tcPr>
          <w:p w14:paraId="49D04AC4" w14:textId="77777777" w:rsidR="00DF203E" w:rsidRPr="00953F7D" w:rsidRDefault="00DF203E" w:rsidP="009164E6">
            <w:pPr>
              <w:autoSpaceDE w:val="0"/>
              <w:autoSpaceDN w:val="0"/>
              <w:adjustRightInd w:val="0"/>
              <w:spacing w:before="60" w:after="60"/>
              <w:ind w:left="-17"/>
              <w:jc w:val="both"/>
              <w:rPr>
                <w:color w:val="000000"/>
              </w:rPr>
            </w:pPr>
          </w:p>
        </w:tc>
        <w:tc>
          <w:tcPr>
            <w:tcW w:w="567" w:type="dxa"/>
            <w:tcBorders>
              <w:top w:val="single" w:sz="4" w:space="0" w:color="000000"/>
              <w:left w:val="single" w:sz="4" w:space="0" w:color="auto"/>
              <w:bottom w:val="single" w:sz="4" w:space="0" w:color="000000"/>
            </w:tcBorders>
            <w:shd w:val="clear" w:color="auto" w:fill="auto"/>
          </w:tcPr>
          <w:p w14:paraId="49D04AC5" w14:textId="77777777" w:rsidR="00DF203E" w:rsidRPr="00953F7D" w:rsidRDefault="00DF203E" w:rsidP="00A258F2">
            <w:pPr>
              <w:keepNext/>
              <w:keepLines/>
              <w:autoSpaceDE w:val="0"/>
              <w:autoSpaceDN w:val="0"/>
              <w:adjustRightInd w:val="0"/>
              <w:spacing w:before="60" w:after="60"/>
              <w:jc w:val="center"/>
              <w:rPr>
                <w:color w:val="000000"/>
              </w:rPr>
            </w:pPr>
            <w:r w:rsidRPr="00953F7D">
              <w:rPr>
                <w:color w:val="000000"/>
              </w:rPr>
              <w:t>(h)</w:t>
            </w:r>
          </w:p>
          <w:p w14:paraId="49D04AC6" w14:textId="77777777" w:rsidR="00DF203E" w:rsidRPr="00953F7D" w:rsidRDefault="00DF203E" w:rsidP="00A258F2">
            <w:pPr>
              <w:jc w:val="center"/>
            </w:pPr>
          </w:p>
        </w:tc>
        <w:tc>
          <w:tcPr>
            <w:tcW w:w="6121" w:type="dxa"/>
            <w:tcBorders>
              <w:top w:val="single" w:sz="4" w:space="0" w:color="000000"/>
              <w:bottom w:val="single" w:sz="4" w:space="0" w:color="000000"/>
            </w:tcBorders>
          </w:tcPr>
          <w:p w14:paraId="49D04AC7" w14:textId="77777777" w:rsidR="00DF203E" w:rsidRPr="00953F7D" w:rsidRDefault="00DF203E" w:rsidP="005E09FA">
            <w:pPr>
              <w:keepNext/>
              <w:keepLines/>
              <w:autoSpaceDE w:val="0"/>
              <w:autoSpaceDN w:val="0"/>
              <w:adjustRightInd w:val="0"/>
              <w:spacing w:before="60" w:after="60"/>
              <w:ind w:left="-17" w:firstLine="17"/>
              <w:jc w:val="both"/>
              <w:rPr>
                <w:color w:val="000000"/>
              </w:rPr>
            </w:pPr>
            <w:r w:rsidRPr="00953F7D">
              <w:rPr>
                <w:color w:val="000000"/>
              </w:rPr>
              <w:t>Reconciliation of changes in the provisions/reserves for credit impairment</w:t>
            </w:r>
            <w:r w:rsidRPr="00953F7D">
              <w:rPr>
                <w:rStyle w:val="FootnoteReference"/>
                <w:color w:val="000000"/>
              </w:rPr>
              <w:footnoteReference w:id="26"/>
            </w:r>
            <w:r w:rsidRPr="00953F7D">
              <w:rPr>
                <w:color w:val="000000"/>
              </w:rPr>
              <w:t>.</w:t>
            </w:r>
          </w:p>
        </w:tc>
      </w:tr>
      <w:tr w:rsidR="00DF203E" w:rsidRPr="00953F7D" w14:paraId="49D04ACD" w14:textId="77777777" w:rsidTr="00945F1D">
        <w:trPr>
          <w:trHeight w:val="654"/>
          <w:jc w:val="center"/>
        </w:trPr>
        <w:tc>
          <w:tcPr>
            <w:tcW w:w="1561" w:type="dxa"/>
            <w:vMerge/>
            <w:tcBorders>
              <w:left w:val="single" w:sz="4" w:space="0" w:color="auto"/>
              <w:right w:val="single" w:sz="4" w:space="0" w:color="auto"/>
            </w:tcBorders>
            <w:shd w:val="clear" w:color="auto" w:fill="auto"/>
          </w:tcPr>
          <w:p w14:paraId="49D04AC9" w14:textId="77777777" w:rsidR="00DF203E" w:rsidRPr="00953F7D" w:rsidRDefault="00DF203E" w:rsidP="009164E6">
            <w:pPr>
              <w:autoSpaceDE w:val="0"/>
              <w:autoSpaceDN w:val="0"/>
              <w:adjustRightInd w:val="0"/>
              <w:spacing w:before="60" w:after="60"/>
              <w:ind w:left="-18"/>
              <w:jc w:val="both"/>
              <w:rPr>
                <w:color w:val="000000"/>
              </w:rPr>
            </w:pPr>
          </w:p>
        </w:tc>
        <w:tc>
          <w:tcPr>
            <w:tcW w:w="567" w:type="dxa"/>
            <w:tcBorders>
              <w:top w:val="single" w:sz="4" w:space="0" w:color="000000"/>
              <w:left w:val="single" w:sz="4" w:space="0" w:color="auto"/>
              <w:bottom w:val="single" w:sz="4" w:space="0" w:color="000000"/>
            </w:tcBorders>
            <w:shd w:val="clear" w:color="auto" w:fill="auto"/>
          </w:tcPr>
          <w:p w14:paraId="49D04ACA" w14:textId="77777777" w:rsidR="00DF203E" w:rsidRPr="00953F7D" w:rsidRDefault="00DF203E" w:rsidP="00A258F2">
            <w:pPr>
              <w:autoSpaceDE w:val="0"/>
              <w:autoSpaceDN w:val="0"/>
              <w:adjustRightInd w:val="0"/>
              <w:spacing w:before="60" w:after="60"/>
              <w:jc w:val="center"/>
              <w:rPr>
                <w:color w:val="000000"/>
              </w:rPr>
            </w:pPr>
            <w:r w:rsidRPr="00953F7D">
              <w:rPr>
                <w:color w:val="000000"/>
              </w:rPr>
              <w:t>(i)</w:t>
            </w:r>
          </w:p>
          <w:p w14:paraId="49D04ACB" w14:textId="77777777" w:rsidR="00DF203E" w:rsidRPr="00953F7D" w:rsidRDefault="00DF203E" w:rsidP="00A258F2">
            <w:pPr>
              <w:jc w:val="center"/>
            </w:pPr>
          </w:p>
        </w:tc>
        <w:tc>
          <w:tcPr>
            <w:tcW w:w="6121" w:type="dxa"/>
            <w:tcBorders>
              <w:top w:val="single" w:sz="4" w:space="0" w:color="000000"/>
              <w:bottom w:val="single" w:sz="4" w:space="0" w:color="000000"/>
            </w:tcBorders>
          </w:tcPr>
          <w:p w14:paraId="49D04ACC" w14:textId="77777777" w:rsidR="00DF203E" w:rsidRPr="00953F7D" w:rsidRDefault="00DF203E" w:rsidP="005E09FA">
            <w:pPr>
              <w:autoSpaceDE w:val="0"/>
              <w:autoSpaceDN w:val="0"/>
              <w:adjustRightInd w:val="0"/>
              <w:spacing w:before="60" w:after="60"/>
              <w:ind w:left="-18" w:firstLine="18"/>
              <w:jc w:val="both"/>
              <w:rPr>
                <w:color w:val="000000"/>
              </w:rPr>
            </w:pPr>
            <w:r w:rsidRPr="00953F7D">
              <w:rPr>
                <w:color w:val="000000"/>
              </w:rPr>
              <w:t>For each portfolio, the amount of exposures (for IRB ADIs, drawn plus exposure at default (EAD) on undrawn) subject to the: (i) standardised; (ii) foundation IRB; and (iii) advanced IRB approaches.</w:t>
            </w:r>
          </w:p>
        </w:tc>
      </w:tr>
      <w:tr w:rsidR="00DF203E" w:rsidRPr="00953F7D" w14:paraId="49D04AD1" w14:textId="77777777" w:rsidTr="00945F1D">
        <w:trPr>
          <w:trHeight w:val="654"/>
          <w:jc w:val="center"/>
        </w:trPr>
        <w:tc>
          <w:tcPr>
            <w:tcW w:w="1561" w:type="dxa"/>
            <w:vMerge/>
            <w:tcBorders>
              <w:left w:val="single" w:sz="4" w:space="0" w:color="auto"/>
              <w:bottom w:val="single" w:sz="4" w:space="0" w:color="000000"/>
              <w:right w:val="single" w:sz="4" w:space="0" w:color="auto"/>
            </w:tcBorders>
            <w:shd w:val="clear" w:color="auto" w:fill="FFFFFF"/>
          </w:tcPr>
          <w:p w14:paraId="49D04ACE" w14:textId="77777777" w:rsidR="00DF203E" w:rsidRPr="00953F7D" w:rsidRDefault="00DF203E" w:rsidP="009164E6">
            <w:pPr>
              <w:autoSpaceDE w:val="0"/>
              <w:autoSpaceDN w:val="0"/>
              <w:adjustRightInd w:val="0"/>
              <w:spacing w:before="60" w:after="60"/>
              <w:ind w:left="-18"/>
              <w:jc w:val="both"/>
              <w:rPr>
                <w:color w:val="000000"/>
              </w:rPr>
            </w:pPr>
          </w:p>
        </w:tc>
        <w:tc>
          <w:tcPr>
            <w:tcW w:w="567" w:type="dxa"/>
            <w:tcBorders>
              <w:top w:val="single" w:sz="4" w:space="0" w:color="000000"/>
              <w:left w:val="single" w:sz="4" w:space="0" w:color="auto"/>
              <w:bottom w:val="single" w:sz="4" w:space="0" w:color="000000"/>
            </w:tcBorders>
            <w:shd w:val="clear" w:color="auto" w:fill="FFFFFF"/>
          </w:tcPr>
          <w:p w14:paraId="49D04ACF" w14:textId="77777777" w:rsidR="00DF203E" w:rsidRPr="00953F7D" w:rsidRDefault="00DF203E" w:rsidP="00A258F2">
            <w:pPr>
              <w:autoSpaceDE w:val="0"/>
              <w:autoSpaceDN w:val="0"/>
              <w:adjustRightInd w:val="0"/>
              <w:spacing w:before="60" w:after="60"/>
              <w:ind w:left="516" w:hanging="516"/>
              <w:jc w:val="center"/>
              <w:rPr>
                <w:color w:val="000000"/>
              </w:rPr>
            </w:pPr>
            <w:r w:rsidRPr="00953F7D">
              <w:rPr>
                <w:color w:val="000000"/>
              </w:rPr>
              <w:t>(j)</w:t>
            </w:r>
          </w:p>
        </w:tc>
        <w:tc>
          <w:tcPr>
            <w:tcW w:w="6121" w:type="dxa"/>
            <w:tcBorders>
              <w:top w:val="single" w:sz="4" w:space="0" w:color="000000"/>
              <w:bottom w:val="single" w:sz="4" w:space="0" w:color="000000"/>
            </w:tcBorders>
            <w:shd w:val="clear" w:color="auto" w:fill="FFFFFF"/>
          </w:tcPr>
          <w:p w14:paraId="49D04AD0" w14:textId="77777777" w:rsidR="00DF203E" w:rsidRPr="00953F7D" w:rsidRDefault="00DF203E" w:rsidP="005E09FA">
            <w:pPr>
              <w:autoSpaceDE w:val="0"/>
              <w:autoSpaceDN w:val="0"/>
              <w:adjustRightInd w:val="0"/>
              <w:spacing w:before="60"/>
              <w:ind w:left="-17" w:firstLine="17"/>
              <w:jc w:val="both"/>
              <w:rPr>
                <w:color w:val="000000"/>
              </w:rPr>
            </w:pPr>
            <w:r w:rsidRPr="00953F7D">
              <w:rPr>
                <w:color w:val="000000"/>
              </w:rPr>
              <w:t>The general reserve for credit losses.</w:t>
            </w:r>
          </w:p>
        </w:tc>
      </w:tr>
    </w:tbl>
    <w:p w14:paraId="49D04AD2" w14:textId="77777777" w:rsidR="00742F5F" w:rsidRPr="00953F7D" w:rsidRDefault="00742F5F" w:rsidP="008D3C2B">
      <w:pPr>
        <w:keepNext/>
        <w:autoSpaceDE w:val="0"/>
        <w:autoSpaceDN w:val="0"/>
        <w:adjustRightInd w:val="0"/>
        <w:spacing w:before="240" w:after="240"/>
        <w:ind w:firstLine="0"/>
        <w:jc w:val="both"/>
      </w:pPr>
      <w:r w:rsidRPr="00953F7D">
        <w:rPr>
          <w:bCs/>
          <w:color w:val="000000"/>
        </w:rPr>
        <w:t>Table</w:t>
      </w:r>
      <w:r w:rsidRPr="00953F7D">
        <w:rPr>
          <w:color w:val="000000"/>
        </w:rPr>
        <w:t xml:space="preserve"> 8: </w:t>
      </w:r>
      <w:r w:rsidRPr="00953F7D">
        <w:rPr>
          <w:bCs/>
          <w:color w:val="000000"/>
        </w:rPr>
        <w:t xml:space="preserve">Credit risk - disclosures for portfolios subject to the standardised approach and supervisory risk-weights in the IRB approaches </w:t>
      </w:r>
    </w:p>
    <w:tbl>
      <w:tblPr>
        <w:tblW w:w="8214" w:type="dxa"/>
        <w:jc w:val="center"/>
        <w:tblBorders>
          <w:top w:val="nil"/>
          <w:left w:val="nil"/>
          <w:bottom w:val="nil"/>
          <w:right w:val="nil"/>
        </w:tblBorders>
        <w:tblLayout w:type="fixed"/>
        <w:tblLook w:val="0000" w:firstRow="0" w:lastRow="0" w:firstColumn="0" w:lastColumn="0" w:noHBand="0" w:noVBand="0"/>
      </w:tblPr>
      <w:tblGrid>
        <w:gridCol w:w="1511"/>
        <w:gridCol w:w="567"/>
        <w:gridCol w:w="6136"/>
      </w:tblGrid>
      <w:tr w:rsidR="00742F5F" w:rsidRPr="00953F7D" w14:paraId="49D04ADA" w14:textId="77777777" w:rsidTr="009C3F64">
        <w:trPr>
          <w:trHeight w:val="1926"/>
          <w:jc w:val="center"/>
        </w:trPr>
        <w:tc>
          <w:tcPr>
            <w:tcW w:w="1511" w:type="dxa"/>
            <w:tcBorders>
              <w:top w:val="single" w:sz="4" w:space="0" w:color="000000"/>
              <w:left w:val="single" w:sz="4" w:space="0" w:color="000000"/>
              <w:bottom w:val="single" w:sz="4" w:space="0" w:color="000000"/>
              <w:right w:val="single" w:sz="4" w:space="0" w:color="000000"/>
            </w:tcBorders>
          </w:tcPr>
          <w:p w14:paraId="49D04AD3" w14:textId="77777777" w:rsidR="00742F5F" w:rsidRPr="00953F7D" w:rsidRDefault="00742F5F" w:rsidP="002552A5">
            <w:pPr>
              <w:autoSpaceDE w:val="0"/>
              <w:autoSpaceDN w:val="0"/>
              <w:adjustRightInd w:val="0"/>
              <w:spacing w:before="60" w:after="60"/>
              <w:ind w:left="-15" w:firstLine="15"/>
              <w:jc w:val="both"/>
              <w:rPr>
                <w:color w:val="000000"/>
              </w:rPr>
            </w:pPr>
            <w:r w:rsidRPr="00953F7D">
              <w:rPr>
                <w:b/>
                <w:bCs/>
                <w:color w:val="000000"/>
              </w:rPr>
              <w:t>Qualitative disclosures</w:t>
            </w:r>
          </w:p>
        </w:tc>
        <w:tc>
          <w:tcPr>
            <w:tcW w:w="567" w:type="dxa"/>
            <w:tcBorders>
              <w:top w:val="single" w:sz="4" w:space="0" w:color="000000"/>
              <w:left w:val="single" w:sz="4" w:space="0" w:color="000000"/>
              <w:bottom w:val="single" w:sz="4" w:space="0" w:color="000000"/>
              <w:right w:val="single" w:sz="4" w:space="0" w:color="000000"/>
            </w:tcBorders>
          </w:tcPr>
          <w:p w14:paraId="49D04AD4" w14:textId="77777777" w:rsidR="00742F5F" w:rsidRPr="00953F7D" w:rsidRDefault="00742F5F" w:rsidP="009164E6">
            <w:pPr>
              <w:autoSpaceDE w:val="0"/>
              <w:autoSpaceDN w:val="0"/>
              <w:adjustRightInd w:val="0"/>
              <w:spacing w:before="60" w:after="60"/>
              <w:jc w:val="both"/>
              <w:rPr>
                <w:color w:val="000000"/>
              </w:rPr>
            </w:pPr>
            <w:r w:rsidRPr="00953F7D">
              <w:rPr>
                <w:color w:val="000000"/>
              </w:rPr>
              <w:t>(a)</w:t>
            </w:r>
          </w:p>
        </w:tc>
        <w:tc>
          <w:tcPr>
            <w:tcW w:w="6136" w:type="dxa"/>
            <w:tcBorders>
              <w:top w:val="single" w:sz="4" w:space="0" w:color="000000"/>
              <w:left w:val="single" w:sz="4" w:space="0" w:color="000000"/>
              <w:bottom w:val="single" w:sz="4" w:space="0" w:color="000000"/>
              <w:right w:val="single" w:sz="4" w:space="0" w:color="000000"/>
            </w:tcBorders>
          </w:tcPr>
          <w:p w14:paraId="49D04AD5" w14:textId="77777777" w:rsidR="00742F5F" w:rsidRPr="00953F7D" w:rsidRDefault="00742F5F" w:rsidP="009164E6">
            <w:pPr>
              <w:autoSpaceDE w:val="0"/>
              <w:autoSpaceDN w:val="0"/>
              <w:adjustRightInd w:val="0"/>
              <w:spacing w:before="60" w:after="60"/>
              <w:jc w:val="both"/>
              <w:rPr>
                <w:color w:val="000000"/>
              </w:rPr>
            </w:pPr>
            <w:r w:rsidRPr="00953F7D">
              <w:rPr>
                <w:color w:val="000000"/>
              </w:rPr>
              <w:t>For portfolios under the standardised approach:</w:t>
            </w:r>
          </w:p>
          <w:p w14:paraId="49D04AD6" w14:textId="77777777" w:rsidR="00742F5F" w:rsidRPr="00953F7D" w:rsidRDefault="00742F5F" w:rsidP="00E9482F">
            <w:pPr>
              <w:numPr>
                <w:ilvl w:val="0"/>
                <w:numId w:val="4"/>
              </w:numPr>
              <w:autoSpaceDE w:val="0"/>
              <w:autoSpaceDN w:val="0"/>
              <w:adjustRightInd w:val="0"/>
              <w:spacing w:before="60" w:after="60"/>
              <w:jc w:val="both"/>
              <w:rPr>
                <w:color w:val="000000"/>
              </w:rPr>
            </w:pPr>
            <w:r w:rsidRPr="00953F7D">
              <w:rPr>
                <w:color w:val="000000"/>
              </w:rPr>
              <w:t>names of external credit assessment institutions (</w:t>
            </w:r>
            <w:r w:rsidRPr="00953F7D">
              <w:rPr>
                <w:b/>
                <w:color w:val="000000"/>
              </w:rPr>
              <w:t>ECAIs</w:t>
            </w:r>
            <w:r w:rsidRPr="00953F7D">
              <w:rPr>
                <w:color w:val="000000"/>
              </w:rPr>
              <w:t>) used, plus reasons for any changes;</w:t>
            </w:r>
          </w:p>
          <w:p w14:paraId="49D04AD7" w14:textId="77777777" w:rsidR="00742F5F" w:rsidRPr="00953F7D" w:rsidRDefault="00742F5F" w:rsidP="00E9482F">
            <w:pPr>
              <w:numPr>
                <w:ilvl w:val="0"/>
                <w:numId w:val="4"/>
              </w:numPr>
              <w:autoSpaceDE w:val="0"/>
              <w:autoSpaceDN w:val="0"/>
              <w:adjustRightInd w:val="0"/>
              <w:spacing w:before="60" w:after="60"/>
              <w:jc w:val="both"/>
              <w:rPr>
                <w:color w:val="000000"/>
              </w:rPr>
            </w:pPr>
            <w:r w:rsidRPr="00953F7D">
              <w:rPr>
                <w:color w:val="000000"/>
              </w:rPr>
              <w:t>types of exposure for which each ECAI is used;</w:t>
            </w:r>
          </w:p>
          <w:p w14:paraId="49D04AD8" w14:textId="77777777" w:rsidR="00742F5F" w:rsidRPr="00953F7D" w:rsidRDefault="00742F5F" w:rsidP="00E9482F">
            <w:pPr>
              <w:numPr>
                <w:ilvl w:val="0"/>
                <w:numId w:val="4"/>
              </w:numPr>
              <w:autoSpaceDE w:val="0"/>
              <w:autoSpaceDN w:val="0"/>
              <w:adjustRightInd w:val="0"/>
              <w:spacing w:before="60" w:after="60"/>
              <w:jc w:val="both"/>
              <w:rPr>
                <w:color w:val="000000"/>
              </w:rPr>
            </w:pPr>
            <w:r w:rsidRPr="00953F7D">
              <w:rPr>
                <w:color w:val="000000"/>
              </w:rPr>
              <w:t>a description of the process used to transfer public issue ratings onto comparable assets in the banking book; and</w:t>
            </w:r>
          </w:p>
          <w:p w14:paraId="49D04AD9" w14:textId="77777777" w:rsidR="00742F5F" w:rsidRPr="00953F7D" w:rsidRDefault="00742F5F" w:rsidP="00CD6C85">
            <w:pPr>
              <w:numPr>
                <w:ilvl w:val="0"/>
                <w:numId w:val="4"/>
              </w:numPr>
              <w:autoSpaceDE w:val="0"/>
              <w:autoSpaceDN w:val="0"/>
              <w:adjustRightInd w:val="0"/>
              <w:spacing w:before="60" w:after="60"/>
              <w:jc w:val="both"/>
              <w:rPr>
                <w:color w:val="000000"/>
              </w:rPr>
            </w:pPr>
            <w:r w:rsidRPr="00953F7D">
              <w:rPr>
                <w:color w:val="000000"/>
              </w:rPr>
              <w:t>the alignment of the alphanumerical scale of each ECAI used with risk buckets</w:t>
            </w:r>
            <w:r w:rsidRPr="00953F7D">
              <w:rPr>
                <w:rStyle w:val="FootnoteReference"/>
                <w:color w:val="000000"/>
              </w:rPr>
              <w:footnoteReference w:id="27"/>
            </w:r>
            <w:r w:rsidR="00CD6C85" w:rsidRPr="00953F7D">
              <w:rPr>
                <w:color w:val="000000"/>
              </w:rPr>
              <w:t>.</w:t>
            </w:r>
          </w:p>
        </w:tc>
      </w:tr>
      <w:tr w:rsidR="00742F5F" w:rsidRPr="00953F7D" w14:paraId="49D04ADF" w14:textId="77777777" w:rsidTr="009C3F64">
        <w:trPr>
          <w:trHeight w:val="1585"/>
          <w:jc w:val="center"/>
        </w:trPr>
        <w:tc>
          <w:tcPr>
            <w:tcW w:w="1511" w:type="dxa"/>
            <w:tcBorders>
              <w:top w:val="single" w:sz="4" w:space="0" w:color="000000"/>
              <w:left w:val="single" w:sz="4" w:space="0" w:color="000000"/>
              <w:bottom w:val="single" w:sz="4" w:space="0" w:color="000000"/>
              <w:right w:val="single" w:sz="4" w:space="0" w:color="000000"/>
            </w:tcBorders>
          </w:tcPr>
          <w:p w14:paraId="49D04ADB" w14:textId="77777777" w:rsidR="00742F5F" w:rsidRPr="00953F7D" w:rsidRDefault="00742F5F" w:rsidP="005E09FA">
            <w:pPr>
              <w:autoSpaceDE w:val="0"/>
              <w:autoSpaceDN w:val="0"/>
              <w:adjustRightInd w:val="0"/>
              <w:spacing w:before="60" w:after="60"/>
              <w:ind w:left="0" w:firstLine="0"/>
              <w:jc w:val="both"/>
              <w:rPr>
                <w:color w:val="000000"/>
              </w:rPr>
            </w:pPr>
            <w:r w:rsidRPr="00953F7D">
              <w:rPr>
                <w:b/>
                <w:bCs/>
                <w:color w:val="000000"/>
              </w:rPr>
              <w:t>Quantitative disclosures</w:t>
            </w:r>
          </w:p>
        </w:tc>
        <w:tc>
          <w:tcPr>
            <w:tcW w:w="567" w:type="dxa"/>
            <w:tcBorders>
              <w:top w:val="single" w:sz="4" w:space="0" w:color="000000"/>
              <w:left w:val="single" w:sz="4" w:space="0" w:color="000000"/>
              <w:bottom w:val="single" w:sz="4" w:space="0" w:color="000000"/>
              <w:right w:val="single" w:sz="4" w:space="0" w:color="000000"/>
            </w:tcBorders>
          </w:tcPr>
          <w:p w14:paraId="49D04ADC" w14:textId="77777777" w:rsidR="00742F5F" w:rsidRPr="00953F7D" w:rsidRDefault="00742F5F" w:rsidP="009164E6">
            <w:pPr>
              <w:autoSpaceDE w:val="0"/>
              <w:autoSpaceDN w:val="0"/>
              <w:adjustRightInd w:val="0"/>
              <w:spacing w:before="60" w:after="60"/>
              <w:jc w:val="both"/>
              <w:rPr>
                <w:color w:val="000000"/>
              </w:rPr>
            </w:pPr>
            <w:r w:rsidRPr="00953F7D">
              <w:rPr>
                <w:color w:val="000000"/>
              </w:rPr>
              <w:t>(b)</w:t>
            </w:r>
          </w:p>
        </w:tc>
        <w:tc>
          <w:tcPr>
            <w:tcW w:w="6136" w:type="dxa"/>
            <w:tcBorders>
              <w:top w:val="single" w:sz="4" w:space="0" w:color="000000"/>
              <w:left w:val="single" w:sz="4" w:space="0" w:color="000000"/>
              <w:bottom w:val="single" w:sz="4" w:space="0" w:color="000000"/>
              <w:right w:val="single" w:sz="4" w:space="0" w:color="000000"/>
            </w:tcBorders>
            <w:vAlign w:val="center"/>
          </w:tcPr>
          <w:p w14:paraId="49D04ADD" w14:textId="77777777" w:rsidR="00742F5F" w:rsidRPr="00953F7D" w:rsidRDefault="00742F5F" w:rsidP="00E9482F">
            <w:pPr>
              <w:numPr>
                <w:ilvl w:val="0"/>
                <w:numId w:val="4"/>
              </w:numPr>
              <w:autoSpaceDE w:val="0"/>
              <w:autoSpaceDN w:val="0"/>
              <w:adjustRightInd w:val="0"/>
              <w:spacing w:before="60" w:after="60"/>
              <w:jc w:val="both"/>
              <w:rPr>
                <w:color w:val="000000"/>
              </w:rPr>
            </w:pPr>
            <w:r w:rsidRPr="00953F7D">
              <w:rPr>
                <w:color w:val="000000"/>
              </w:rPr>
              <w:t>For exposure amounts after risk mitigation subject to the standardised approach, the amount of an ADI’s outstandings (rated and unrated) in each risk bucket as well as those that are deducted; and</w:t>
            </w:r>
          </w:p>
          <w:p w14:paraId="49D04ADE" w14:textId="77777777" w:rsidR="00742F5F" w:rsidRPr="00953F7D" w:rsidRDefault="00742F5F" w:rsidP="00E9482F">
            <w:pPr>
              <w:numPr>
                <w:ilvl w:val="0"/>
                <w:numId w:val="4"/>
              </w:numPr>
              <w:autoSpaceDE w:val="0"/>
              <w:autoSpaceDN w:val="0"/>
              <w:adjustRightInd w:val="0"/>
              <w:spacing w:before="60" w:after="60"/>
              <w:jc w:val="both"/>
              <w:rPr>
                <w:color w:val="000000"/>
              </w:rPr>
            </w:pPr>
            <w:r w:rsidRPr="00953F7D">
              <w:rPr>
                <w:color w:val="000000"/>
              </w:rPr>
              <w:t>For exposures subject to the supervisory risk-weights under the IRB (any SL products subject to supervisory slotting approach and equities under the simple risk-weight method), the aggregate amount of the ADI’s outstandings in each risk bucket.</w:t>
            </w:r>
          </w:p>
        </w:tc>
      </w:tr>
    </w:tbl>
    <w:p w14:paraId="49D04AE0" w14:textId="77777777" w:rsidR="002D23EE" w:rsidRDefault="002D23EE" w:rsidP="009C3F64">
      <w:pPr>
        <w:keepNext/>
        <w:autoSpaceDE w:val="0"/>
        <w:autoSpaceDN w:val="0"/>
        <w:adjustRightInd w:val="0"/>
        <w:spacing w:after="240"/>
        <w:ind w:firstLine="0"/>
        <w:jc w:val="both"/>
        <w:rPr>
          <w:bCs/>
          <w:color w:val="000000"/>
        </w:rPr>
      </w:pPr>
    </w:p>
    <w:p w14:paraId="49D04AE1" w14:textId="77777777" w:rsidR="00742F5F" w:rsidRPr="00953F7D" w:rsidRDefault="00742F5F" w:rsidP="00830D13">
      <w:pPr>
        <w:keepNext/>
        <w:autoSpaceDE w:val="0"/>
        <w:autoSpaceDN w:val="0"/>
        <w:adjustRightInd w:val="0"/>
        <w:spacing w:before="240" w:after="240"/>
        <w:ind w:firstLine="0"/>
        <w:jc w:val="both"/>
        <w:rPr>
          <w:color w:val="000000"/>
        </w:rPr>
      </w:pPr>
      <w:r w:rsidRPr="00953F7D">
        <w:rPr>
          <w:bCs/>
          <w:color w:val="000000"/>
        </w:rPr>
        <w:t>Table</w:t>
      </w:r>
      <w:r w:rsidRPr="00953F7D">
        <w:rPr>
          <w:color w:val="000000"/>
        </w:rPr>
        <w:t xml:space="preserve"> 9: </w:t>
      </w:r>
      <w:r w:rsidRPr="00953F7D">
        <w:rPr>
          <w:bCs/>
          <w:color w:val="000000"/>
        </w:rPr>
        <w:t>Credit risk - disclosures for portfolios subject to IRB approaches</w:t>
      </w:r>
      <w:r w:rsidRPr="00953F7D">
        <w:rPr>
          <w:rStyle w:val="FootnoteReference"/>
          <w:bCs/>
          <w:color w:val="000000"/>
        </w:rPr>
        <w:footnoteReference w:id="28"/>
      </w:r>
      <w:r w:rsidRPr="00953F7D">
        <w:rPr>
          <w:bCs/>
          <w:color w:val="000000"/>
        </w:rPr>
        <w:t xml:space="preserve"> </w:t>
      </w:r>
    </w:p>
    <w:tbl>
      <w:tblPr>
        <w:tblW w:w="8256" w:type="dxa"/>
        <w:jc w:val="center"/>
        <w:tblBorders>
          <w:top w:val="nil"/>
          <w:left w:val="nil"/>
          <w:bottom w:val="nil"/>
          <w:right w:val="nil"/>
        </w:tblBorders>
        <w:tblLayout w:type="fixed"/>
        <w:tblLook w:val="0000" w:firstRow="0" w:lastRow="0" w:firstColumn="0" w:lastColumn="0" w:noHBand="0" w:noVBand="0"/>
      </w:tblPr>
      <w:tblGrid>
        <w:gridCol w:w="1532"/>
        <w:gridCol w:w="567"/>
        <w:gridCol w:w="6157"/>
      </w:tblGrid>
      <w:tr w:rsidR="00742F5F" w:rsidRPr="00953F7D" w14:paraId="49D04AE5" w14:textId="77777777" w:rsidTr="009C3F64">
        <w:trPr>
          <w:trHeight w:val="70"/>
          <w:jc w:val="center"/>
        </w:trPr>
        <w:tc>
          <w:tcPr>
            <w:tcW w:w="1532" w:type="dxa"/>
            <w:vMerge w:val="restart"/>
            <w:tcBorders>
              <w:top w:val="single" w:sz="4" w:space="0" w:color="000000"/>
              <w:left w:val="single" w:sz="4" w:space="0" w:color="000000"/>
              <w:bottom w:val="single" w:sz="4" w:space="0" w:color="000000"/>
              <w:right w:val="single" w:sz="4" w:space="0" w:color="000000"/>
            </w:tcBorders>
          </w:tcPr>
          <w:p w14:paraId="49D04AE2" w14:textId="77777777" w:rsidR="00742F5F" w:rsidRPr="00953F7D" w:rsidRDefault="00742F5F" w:rsidP="005E09FA">
            <w:pPr>
              <w:autoSpaceDE w:val="0"/>
              <w:autoSpaceDN w:val="0"/>
              <w:adjustRightInd w:val="0"/>
              <w:spacing w:before="60" w:after="60"/>
              <w:ind w:left="0" w:firstLine="0"/>
              <w:jc w:val="both"/>
              <w:rPr>
                <w:color w:val="000000"/>
              </w:rPr>
            </w:pPr>
            <w:r w:rsidRPr="00953F7D">
              <w:rPr>
                <w:b/>
                <w:bCs/>
                <w:color w:val="000000"/>
              </w:rPr>
              <w:t>Qualitative disclosures</w:t>
            </w:r>
          </w:p>
        </w:tc>
        <w:tc>
          <w:tcPr>
            <w:tcW w:w="567" w:type="dxa"/>
            <w:tcBorders>
              <w:top w:val="single" w:sz="4" w:space="0" w:color="000000"/>
              <w:left w:val="single" w:sz="4" w:space="0" w:color="000000"/>
              <w:bottom w:val="single" w:sz="4" w:space="0" w:color="000000"/>
              <w:right w:val="single" w:sz="4" w:space="0" w:color="000000"/>
            </w:tcBorders>
          </w:tcPr>
          <w:p w14:paraId="49D04AE3" w14:textId="77777777" w:rsidR="00742F5F" w:rsidRPr="00953F7D" w:rsidRDefault="00742F5F" w:rsidP="009164E6">
            <w:pPr>
              <w:keepNext/>
              <w:keepLines/>
              <w:autoSpaceDE w:val="0"/>
              <w:autoSpaceDN w:val="0"/>
              <w:adjustRightInd w:val="0"/>
              <w:spacing w:before="60" w:after="60"/>
              <w:jc w:val="both"/>
              <w:rPr>
                <w:color w:val="000000"/>
              </w:rPr>
            </w:pPr>
            <w:r w:rsidRPr="00953F7D">
              <w:rPr>
                <w:color w:val="000000"/>
              </w:rPr>
              <w:t>(a)</w:t>
            </w:r>
          </w:p>
        </w:tc>
        <w:tc>
          <w:tcPr>
            <w:tcW w:w="6157" w:type="dxa"/>
            <w:tcBorders>
              <w:top w:val="single" w:sz="4" w:space="0" w:color="000000"/>
              <w:left w:val="single" w:sz="4" w:space="0" w:color="000000"/>
              <w:bottom w:val="single" w:sz="4" w:space="0" w:color="000000"/>
              <w:right w:val="single" w:sz="4" w:space="0" w:color="000000"/>
            </w:tcBorders>
          </w:tcPr>
          <w:p w14:paraId="49D04AE4" w14:textId="77777777" w:rsidR="00742F5F" w:rsidRPr="00953F7D" w:rsidRDefault="00742F5F" w:rsidP="009164E6">
            <w:pPr>
              <w:keepNext/>
              <w:keepLines/>
              <w:autoSpaceDE w:val="0"/>
              <w:autoSpaceDN w:val="0"/>
              <w:adjustRightInd w:val="0"/>
              <w:spacing w:before="60" w:after="60"/>
              <w:jc w:val="both"/>
              <w:rPr>
                <w:color w:val="000000"/>
              </w:rPr>
            </w:pPr>
            <w:r w:rsidRPr="00953F7D">
              <w:rPr>
                <w:color w:val="000000"/>
              </w:rPr>
              <w:t>APRA’s acceptance of approach/approved transition.</w:t>
            </w:r>
          </w:p>
        </w:tc>
      </w:tr>
      <w:tr w:rsidR="00742F5F" w:rsidRPr="00953F7D" w14:paraId="49D04AED" w14:textId="77777777" w:rsidTr="009C3F64">
        <w:trPr>
          <w:trHeight w:val="1691"/>
          <w:jc w:val="center"/>
        </w:trPr>
        <w:tc>
          <w:tcPr>
            <w:tcW w:w="1532" w:type="dxa"/>
            <w:vMerge/>
            <w:tcBorders>
              <w:top w:val="single" w:sz="4" w:space="0" w:color="000000"/>
              <w:left w:val="single" w:sz="4" w:space="0" w:color="000000"/>
              <w:bottom w:val="single" w:sz="4" w:space="0" w:color="000000"/>
              <w:right w:val="single" w:sz="4" w:space="0" w:color="000000"/>
            </w:tcBorders>
          </w:tcPr>
          <w:p w14:paraId="49D04AE6" w14:textId="77777777" w:rsidR="00742F5F" w:rsidRPr="00953F7D" w:rsidRDefault="00742F5F" w:rsidP="009164E6">
            <w:pPr>
              <w:keepNext/>
              <w:keepLines/>
              <w:autoSpaceDE w:val="0"/>
              <w:autoSpaceDN w:val="0"/>
              <w:adjustRightInd w:val="0"/>
              <w:spacing w:before="60" w:after="60"/>
              <w:jc w:val="both"/>
            </w:pPr>
          </w:p>
        </w:tc>
        <w:tc>
          <w:tcPr>
            <w:tcW w:w="567" w:type="dxa"/>
            <w:tcBorders>
              <w:top w:val="single" w:sz="4" w:space="0" w:color="000000"/>
              <w:left w:val="single" w:sz="4" w:space="0" w:color="000000"/>
              <w:bottom w:val="single" w:sz="4" w:space="0" w:color="000000"/>
              <w:right w:val="single" w:sz="4" w:space="0" w:color="000000"/>
            </w:tcBorders>
          </w:tcPr>
          <w:p w14:paraId="49D04AE7" w14:textId="77777777" w:rsidR="00742F5F" w:rsidRPr="00953F7D" w:rsidRDefault="00742F5F" w:rsidP="009164E6">
            <w:pPr>
              <w:keepNext/>
              <w:keepLines/>
              <w:autoSpaceDE w:val="0"/>
              <w:autoSpaceDN w:val="0"/>
              <w:adjustRightInd w:val="0"/>
              <w:spacing w:before="60" w:after="60"/>
              <w:jc w:val="both"/>
              <w:rPr>
                <w:color w:val="000000"/>
              </w:rPr>
            </w:pPr>
            <w:r w:rsidRPr="00953F7D">
              <w:rPr>
                <w:color w:val="000000"/>
              </w:rPr>
              <w:t>(b)</w:t>
            </w:r>
          </w:p>
        </w:tc>
        <w:tc>
          <w:tcPr>
            <w:tcW w:w="6157" w:type="dxa"/>
            <w:tcBorders>
              <w:top w:val="single" w:sz="4" w:space="0" w:color="000000"/>
              <w:left w:val="single" w:sz="4" w:space="0" w:color="000000"/>
              <w:bottom w:val="single" w:sz="4" w:space="0" w:color="000000"/>
              <w:right w:val="single" w:sz="4" w:space="0" w:color="000000"/>
            </w:tcBorders>
          </w:tcPr>
          <w:p w14:paraId="49D04AE8" w14:textId="77777777" w:rsidR="00742F5F" w:rsidRPr="00953F7D" w:rsidRDefault="00742F5F" w:rsidP="009164E6">
            <w:pPr>
              <w:keepNext/>
              <w:keepLines/>
              <w:autoSpaceDE w:val="0"/>
              <w:autoSpaceDN w:val="0"/>
              <w:adjustRightInd w:val="0"/>
              <w:spacing w:before="60" w:after="60"/>
              <w:jc w:val="both"/>
              <w:rPr>
                <w:color w:val="000000"/>
              </w:rPr>
            </w:pPr>
            <w:r w:rsidRPr="00953F7D">
              <w:rPr>
                <w:color w:val="000000"/>
              </w:rPr>
              <w:t>Explanation and review of the:</w:t>
            </w:r>
          </w:p>
          <w:p w14:paraId="49D04AE9" w14:textId="77777777" w:rsidR="00742F5F" w:rsidRPr="00953F7D" w:rsidRDefault="00742F5F" w:rsidP="00E9482F">
            <w:pPr>
              <w:keepNext/>
              <w:keepLines/>
              <w:numPr>
                <w:ilvl w:val="0"/>
                <w:numId w:val="5"/>
              </w:numPr>
              <w:autoSpaceDE w:val="0"/>
              <w:autoSpaceDN w:val="0"/>
              <w:adjustRightInd w:val="0"/>
              <w:spacing w:before="60" w:after="60"/>
              <w:jc w:val="both"/>
              <w:rPr>
                <w:color w:val="000000"/>
              </w:rPr>
            </w:pPr>
            <w:r w:rsidRPr="00953F7D">
              <w:rPr>
                <w:color w:val="000000"/>
              </w:rPr>
              <w:t>structure of internal rating systems and relation between internal and external ratings;</w:t>
            </w:r>
          </w:p>
          <w:p w14:paraId="49D04AEA" w14:textId="77777777" w:rsidR="00742F5F" w:rsidRPr="00953F7D" w:rsidRDefault="00742F5F" w:rsidP="00E9482F">
            <w:pPr>
              <w:keepNext/>
              <w:keepLines/>
              <w:numPr>
                <w:ilvl w:val="0"/>
                <w:numId w:val="5"/>
              </w:numPr>
              <w:autoSpaceDE w:val="0"/>
              <w:autoSpaceDN w:val="0"/>
              <w:adjustRightInd w:val="0"/>
              <w:spacing w:before="60" w:after="60"/>
              <w:jc w:val="both"/>
              <w:rPr>
                <w:color w:val="000000"/>
              </w:rPr>
            </w:pPr>
            <w:r w:rsidRPr="00953F7D">
              <w:rPr>
                <w:color w:val="000000"/>
              </w:rPr>
              <w:t>use of internal estimates other than for IRB capital purposes;</w:t>
            </w:r>
          </w:p>
          <w:p w14:paraId="49D04AEB" w14:textId="77777777" w:rsidR="00742F5F" w:rsidRPr="00953F7D" w:rsidRDefault="00742F5F" w:rsidP="00E9482F">
            <w:pPr>
              <w:keepNext/>
              <w:keepLines/>
              <w:numPr>
                <w:ilvl w:val="0"/>
                <w:numId w:val="5"/>
              </w:numPr>
              <w:autoSpaceDE w:val="0"/>
              <w:autoSpaceDN w:val="0"/>
              <w:adjustRightInd w:val="0"/>
              <w:spacing w:before="60" w:after="60"/>
              <w:jc w:val="both"/>
              <w:rPr>
                <w:color w:val="000000"/>
              </w:rPr>
            </w:pPr>
            <w:r w:rsidRPr="00953F7D">
              <w:rPr>
                <w:color w:val="000000"/>
              </w:rPr>
              <w:t>process for managing and recognising credit risk mitigation; and</w:t>
            </w:r>
          </w:p>
          <w:p w14:paraId="49D04AEC" w14:textId="77777777" w:rsidR="00742F5F" w:rsidRPr="00953F7D" w:rsidRDefault="00742F5F" w:rsidP="00E9482F">
            <w:pPr>
              <w:keepNext/>
              <w:keepLines/>
              <w:numPr>
                <w:ilvl w:val="0"/>
                <w:numId w:val="5"/>
              </w:numPr>
              <w:autoSpaceDE w:val="0"/>
              <w:autoSpaceDN w:val="0"/>
              <w:adjustRightInd w:val="0"/>
              <w:spacing w:before="60" w:after="60"/>
              <w:jc w:val="both"/>
              <w:rPr>
                <w:color w:val="000000"/>
              </w:rPr>
            </w:pPr>
            <w:r w:rsidRPr="00953F7D">
              <w:rPr>
                <w:color w:val="000000"/>
              </w:rPr>
              <w:t>control mechanisms for the rating system including discussion of independence, accountability, and rating systems review.</w:t>
            </w:r>
          </w:p>
        </w:tc>
      </w:tr>
      <w:tr w:rsidR="00742F5F" w:rsidRPr="00953F7D" w14:paraId="49D04AFA" w14:textId="77777777" w:rsidTr="009C3F64">
        <w:trPr>
          <w:trHeight w:val="558"/>
          <w:jc w:val="center"/>
        </w:trPr>
        <w:tc>
          <w:tcPr>
            <w:tcW w:w="1532" w:type="dxa"/>
            <w:vMerge/>
            <w:tcBorders>
              <w:top w:val="single" w:sz="4" w:space="0" w:color="000000"/>
              <w:left w:val="single" w:sz="4" w:space="0" w:color="000000"/>
              <w:bottom w:val="single" w:sz="4" w:space="0" w:color="000000"/>
              <w:right w:val="single" w:sz="4" w:space="0" w:color="000000"/>
            </w:tcBorders>
          </w:tcPr>
          <w:p w14:paraId="49D04AEE" w14:textId="77777777" w:rsidR="00742F5F" w:rsidRPr="00953F7D" w:rsidRDefault="00742F5F" w:rsidP="009164E6">
            <w:pPr>
              <w:autoSpaceDE w:val="0"/>
              <w:autoSpaceDN w:val="0"/>
              <w:adjustRightInd w:val="0"/>
              <w:spacing w:before="60" w:after="60"/>
              <w:jc w:val="both"/>
              <w:rPr>
                <w:color w:val="000000"/>
              </w:rPr>
            </w:pPr>
          </w:p>
        </w:tc>
        <w:tc>
          <w:tcPr>
            <w:tcW w:w="567" w:type="dxa"/>
            <w:tcBorders>
              <w:top w:val="single" w:sz="4" w:space="0" w:color="000000"/>
              <w:left w:val="single" w:sz="4" w:space="0" w:color="000000"/>
              <w:bottom w:val="single" w:sz="4" w:space="0" w:color="000000"/>
              <w:right w:val="single" w:sz="4" w:space="0" w:color="000000"/>
            </w:tcBorders>
          </w:tcPr>
          <w:p w14:paraId="49D04AEF" w14:textId="77777777" w:rsidR="00742F5F" w:rsidRPr="00953F7D" w:rsidRDefault="00742F5F" w:rsidP="009164E6">
            <w:pPr>
              <w:autoSpaceDE w:val="0"/>
              <w:autoSpaceDN w:val="0"/>
              <w:adjustRightInd w:val="0"/>
              <w:spacing w:before="60" w:after="60"/>
              <w:jc w:val="both"/>
              <w:rPr>
                <w:color w:val="000000"/>
              </w:rPr>
            </w:pPr>
            <w:r w:rsidRPr="00953F7D">
              <w:rPr>
                <w:color w:val="000000"/>
              </w:rPr>
              <w:t>(c)</w:t>
            </w:r>
          </w:p>
        </w:tc>
        <w:tc>
          <w:tcPr>
            <w:tcW w:w="6157" w:type="dxa"/>
            <w:tcBorders>
              <w:top w:val="single" w:sz="4" w:space="0" w:color="000000"/>
              <w:left w:val="single" w:sz="4" w:space="0" w:color="000000"/>
              <w:bottom w:val="single" w:sz="4" w:space="0" w:color="000000"/>
              <w:right w:val="single" w:sz="4" w:space="0" w:color="000000"/>
            </w:tcBorders>
          </w:tcPr>
          <w:p w14:paraId="49D04AF0" w14:textId="77777777" w:rsidR="00742F5F" w:rsidRPr="00953F7D" w:rsidRDefault="00742F5F" w:rsidP="009164E6">
            <w:pPr>
              <w:autoSpaceDE w:val="0"/>
              <w:autoSpaceDN w:val="0"/>
              <w:adjustRightInd w:val="0"/>
              <w:spacing w:before="60" w:after="60"/>
              <w:jc w:val="both"/>
              <w:rPr>
                <w:color w:val="000000"/>
              </w:rPr>
            </w:pPr>
            <w:r w:rsidRPr="00953F7D">
              <w:rPr>
                <w:color w:val="000000"/>
              </w:rPr>
              <w:t>Description of the internal ratings process, provided separately for distinct portfolios:</w:t>
            </w:r>
          </w:p>
          <w:p w14:paraId="49D04AF1" w14:textId="77777777" w:rsidR="00742F5F" w:rsidRPr="00953F7D" w:rsidRDefault="00742F5F" w:rsidP="00E9482F">
            <w:pPr>
              <w:numPr>
                <w:ilvl w:val="0"/>
                <w:numId w:val="5"/>
              </w:numPr>
              <w:autoSpaceDE w:val="0"/>
              <w:autoSpaceDN w:val="0"/>
              <w:adjustRightInd w:val="0"/>
              <w:spacing w:before="60" w:after="60"/>
              <w:jc w:val="both"/>
              <w:rPr>
                <w:color w:val="000000"/>
              </w:rPr>
            </w:pPr>
            <w:r w:rsidRPr="00953F7D">
              <w:rPr>
                <w:color w:val="000000"/>
              </w:rPr>
              <w:t>corporate (including small and medium-sized entities (</w:t>
            </w:r>
            <w:r w:rsidRPr="00953F7D">
              <w:rPr>
                <w:b/>
                <w:color w:val="000000"/>
              </w:rPr>
              <w:t>SMEs</w:t>
            </w:r>
            <w:r w:rsidRPr="00953F7D">
              <w:rPr>
                <w:color w:val="000000"/>
              </w:rPr>
              <w:t xml:space="preserve">), SL and purchased corporate receivables); </w:t>
            </w:r>
          </w:p>
          <w:p w14:paraId="49D04AF2" w14:textId="77777777" w:rsidR="00742F5F" w:rsidRPr="00953F7D" w:rsidRDefault="00742F5F" w:rsidP="00E9482F">
            <w:pPr>
              <w:numPr>
                <w:ilvl w:val="0"/>
                <w:numId w:val="5"/>
              </w:numPr>
              <w:autoSpaceDE w:val="0"/>
              <w:autoSpaceDN w:val="0"/>
              <w:adjustRightInd w:val="0"/>
              <w:spacing w:before="60" w:after="60"/>
              <w:jc w:val="both"/>
              <w:rPr>
                <w:color w:val="000000"/>
              </w:rPr>
            </w:pPr>
            <w:r w:rsidRPr="00953F7D">
              <w:rPr>
                <w:color w:val="000000"/>
              </w:rPr>
              <w:t>sovereign and bank;</w:t>
            </w:r>
          </w:p>
          <w:p w14:paraId="49D04AF3" w14:textId="77777777" w:rsidR="00742F5F" w:rsidRPr="00953F7D" w:rsidRDefault="00742F5F" w:rsidP="00E9482F">
            <w:pPr>
              <w:numPr>
                <w:ilvl w:val="0"/>
                <w:numId w:val="5"/>
              </w:numPr>
              <w:autoSpaceDE w:val="0"/>
              <w:autoSpaceDN w:val="0"/>
              <w:adjustRightInd w:val="0"/>
              <w:spacing w:before="60" w:after="60"/>
              <w:jc w:val="both"/>
              <w:rPr>
                <w:color w:val="000000"/>
              </w:rPr>
            </w:pPr>
            <w:r w:rsidRPr="00953F7D">
              <w:rPr>
                <w:color w:val="000000"/>
              </w:rPr>
              <w:t>residential mortgages;</w:t>
            </w:r>
          </w:p>
          <w:p w14:paraId="49D04AF4" w14:textId="77777777" w:rsidR="00742F5F" w:rsidRPr="00953F7D" w:rsidRDefault="00742F5F" w:rsidP="00E9482F">
            <w:pPr>
              <w:numPr>
                <w:ilvl w:val="0"/>
                <w:numId w:val="5"/>
              </w:numPr>
              <w:autoSpaceDE w:val="0"/>
              <w:autoSpaceDN w:val="0"/>
              <w:adjustRightInd w:val="0"/>
              <w:spacing w:before="60" w:after="60"/>
              <w:jc w:val="both"/>
              <w:rPr>
                <w:color w:val="000000"/>
              </w:rPr>
            </w:pPr>
            <w:r w:rsidRPr="00953F7D">
              <w:rPr>
                <w:color w:val="000000"/>
              </w:rPr>
              <w:t>qualifying revolving retail</w:t>
            </w:r>
            <w:r w:rsidRPr="00953F7D">
              <w:rPr>
                <w:rStyle w:val="FootnoteReference"/>
                <w:color w:val="000000"/>
              </w:rPr>
              <w:footnoteReference w:id="29"/>
            </w:r>
            <w:r w:rsidR="00CD6C85" w:rsidRPr="00953F7D">
              <w:rPr>
                <w:color w:val="000000"/>
              </w:rPr>
              <w:t>;</w:t>
            </w:r>
            <w:r w:rsidRPr="00953F7D">
              <w:rPr>
                <w:color w:val="000000"/>
                <w:position w:val="8"/>
                <w:vertAlign w:val="superscript"/>
              </w:rPr>
              <w:t xml:space="preserve"> </w:t>
            </w:r>
            <w:r w:rsidRPr="00953F7D">
              <w:rPr>
                <w:color w:val="000000"/>
              </w:rPr>
              <w:t>and</w:t>
            </w:r>
          </w:p>
          <w:p w14:paraId="49D04AF5" w14:textId="77777777" w:rsidR="00742F5F" w:rsidRPr="00953F7D" w:rsidRDefault="00742F5F" w:rsidP="00E9482F">
            <w:pPr>
              <w:numPr>
                <w:ilvl w:val="0"/>
                <w:numId w:val="5"/>
              </w:numPr>
              <w:autoSpaceDE w:val="0"/>
              <w:autoSpaceDN w:val="0"/>
              <w:adjustRightInd w:val="0"/>
              <w:spacing w:before="60" w:after="60"/>
              <w:jc w:val="both"/>
              <w:rPr>
                <w:color w:val="000000"/>
              </w:rPr>
            </w:pPr>
            <w:r w:rsidRPr="00953F7D">
              <w:rPr>
                <w:color w:val="000000"/>
              </w:rPr>
              <w:t>other retail.</w:t>
            </w:r>
          </w:p>
          <w:p w14:paraId="49D04AF6" w14:textId="77777777" w:rsidR="00742F5F" w:rsidRPr="00953F7D" w:rsidRDefault="00742F5F" w:rsidP="009164E6">
            <w:pPr>
              <w:autoSpaceDE w:val="0"/>
              <w:autoSpaceDN w:val="0"/>
              <w:adjustRightInd w:val="0"/>
              <w:spacing w:before="60" w:after="60"/>
              <w:jc w:val="both"/>
              <w:rPr>
                <w:color w:val="000000"/>
              </w:rPr>
            </w:pPr>
            <w:r w:rsidRPr="00953F7D">
              <w:rPr>
                <w:color w:val="000000"/>
              </w:rPr>
              <w:t>The description must include, for each portfolio:</w:t>
            </w:r>
          </w:p>
          <w:p w14:paraId="49D04AF7" w14:textId="77777777" w:rsidR="00742F5F" w:rsidRPr="00953F7D" w:rsidRDefault="00742F5F" w:rsidP="00E9482F">
            <w:pPr>
              <w:numPr>
                <w:ilvl w:val="0"/>
                <w:numId w:val="5"/>
              </w:numPr>
              <w:autoSpaceDE w:val="0"/>
              <w:autoSpaceDN w:val="0"/>
              <w:adjustRightInd w:val="0"/>
              <w:spacing w:before="60" w:after="60"/>
              <w:jc w:val="both"/>
              <w:rPr>
                <w:color w:val="000000"/>
              </w:rPr>
            </w:pPr>
            <w:r w:rsidRPr="00953F7D">
              <w:rPr>
                <w:color w:val="000000"/>
              </w:rPr>
              <w:t>the types of exposure included in the portfolio;</w:t>
            </w:r>
          </w:p>
          <w:p w14:paraId="49D04AF8" w14:textId="77777777" w:rsidR="00742F5F" w:rsidRPr="00953F7D" w:rsidRDefault="00742F5F" w:rsidP="00E9482F">
            <w:pPr>
              <w:numPr>
                <w:ilvl w:val="0"/>
                <w:numId w:val="5"/>
              </w:numPr>
              <w:autoSpaceDE w:val="0"/>
              <w:autoSpaceDN w:val="0"/>
              <w:adjustRightInd w:val="0"/>
              <w:spacing w:before="60" w:after="60"/>
              <w:jc w:val="both"/>
              <w:rPr>
                <w:color w:val="000000"/>
              </w:rPr>
            </w:pPr>
            <w:r w:rsidRPr="00953F7D">
              <w:rPr>
                <w:color w:val="000000"/>
              </w:rPr>
              <w:t>the definitions, methods and data for estimation and validation of probability of default (PD), and (for portfolios subject to the advanced IRB approach) loss given default (LGD) and/or EAD, including assumptions employed in the derivation of these variables</w:t>
            </w:r>
            <w:r w:rsidRPr="00953F7D">
              <w:rPr>
                <w:rStyle w:val="FootnoteReference"/>
                <w:color w:val="000000"/>
                <w:position w:val="6"/>
              </w:rPr>
              <w:footnoteReference w:id="30"/>
            </w:r>
            <w:r w:rsidR="00CD6C85" w:rsidRPr="00953F7D">
              <w:rPr>
                <w:color w:val="000000"/>
              </w:rPr>
              <w:t>;</w:t>
            </w:r>
            <w:r w:rsidRPr="00953F7D">
              <w:rPr>
                <w:color w:val="000000"/>
                <w:position w:val="6"/>
                <w:vertAlign w:val="superscript"/>
              </w:rPr>
              <w:t xml:space="preserve"> </w:t>
            </w:r>
            <w:r w:rsidRPr="00953F7D">
              <w:rPr>
                <w:color w:val="000000"/>
              </w:rPr>
              <w:t>and</w:t>
            </w:r>
          </w:p>
          <w:p w14:paraId="49D04AF9" w14:textId="77777777" w:rsidR="00742F5F" w:rsidRPr="00953F7D" w:rsidRDefault="00742F5F" w:rsidP="00E9482F">
            <w:pPr>
              <w:numPr>
                <w:ilvl w:val="0"/>
                <w:numId w:val="5"/>
              </w:numPr>
              <w:autoSpaceDE w:val="0"/>
              <w:autoSpaceDN w:val="0"/>
              <w:adjustRightInd w:val="0"/>
              <w:spacing w:before="60" w:after="60"/>
              <w:jc w:val="both"/>
            </w:pPr>
            <w:r w:rsidRPr="00953F7D">
              <w:rPr>
                <w:color w:val="000000"/>
              </w:rPr>
              <w:t>the permitted material deviations from the reference definition of default, including the broad segments of the portfolio(s) affected by such deviations.</w:t>
            </w:r>
          </w:p>
        </w:tc>
      </w:tr>
      <w:tr w:rsidR="00742F5F" w:rsidRPr="00953F7D" w14:paraId="49D04B05" w14:textId="77777777" w:rsidTr="009C3F64">
        <w:trPr>
          <w:cantSplit/>
          <w:trHeight w:val="889"/>
          <w:jc w:val="center"/>
        </w:trPr>
        <w:tc>
          <w:tcPr>
            <w:tcW w:w="1532" w:type="dxa"/>
            <w:tcBorders>
              <w:top w:val="single" w:sz="4" w:space="0" w:color="000000"/>
              <w:left w:val="single" w:sz="4" w:space="0" w:color="000000"/>
              <w:bottom w:val="single" w:sz="4" w:space="0" w:color="000000"/>
              <w:right w:val="single" w:sz="4" w:space="0" w:color="000000"/>
            </w:tcBorders>
          </w:tcPr>
          <w:p w14:paraId="49D04AFB" w14:textId="77777777" w:rsidR="00742F5F" w:rsidRPr="00953F7D" w:rsidRDefault="00742F5F" w:rsidP="005E09FA">
            <w:pPr>
              <w:autoSpaceDE w:val="0"/>
              <w:autoSpaceDN w:val="0"/>
              <w:adjustRightInd w:val="0"/>
              <w:spacing w:before="60" w:after="60"/>
              <w:ind w:left="0" w:firstLine="0"/>
              <w:rPr>
                <w:color w:val="000000"/>
              </w:rPr>
            </w:pPr>
            <w:r w:rsidRPr="00953F7D">
              <w:rPr>
                <w:b/>
                <w:bCs/>
                <w:color w:val="000000"/>
              </w:rPr>
              <w:t>Quantitative disclosures: risk assessment</w:t>
            </w:r>
          </w:p>
        </w:tc>
        <w:tc>
          <w:tcPr>
            <w:tcW w:w="567" w:type="dxa"/>
            <w:tcBorders>
              <w:top w:val="single" w:sz="4" w:space="0" w:color="000000"/>
              <w:left w:val="single" w:sz="4" w:space="0" w:color="000000"/>
              <w:bottom w:val="single" w:sz="4" w:space="0" w:color="000000"/>
              <w:right w:val="single" w:sz="4" w:space="0" w:color="000000"/>
            </w:tcBorders>
          </w:tcPr>
          <w:p w14:paraId="49D04AFC" w14:textId="77777777" w:rsidR="00742F5F" w:rsidRPr="00953F7D" w:rsidRDefault="00742F5F" w:rsidP="009164E6">
            <w:pPr>
              <w:autoSpaceDE w:val="0"/>
              <w:autoSpaceDN w:val="0"/>
              <w:adjustRightInd w:val="0"/>
              <w:spacing w:before="60" w:after="60"/>
              <w:jc w:val="both"/>
              <w:rPr>
                <w:color w:val="000000"/>
              </w:rPr>
            </w:pPr>
            <w:r w:rsidRPr="00953F7D">
              <w:rPr>
                <w:color w:val="000000"/>
              </w:rPr>
              <w:t>(d)</w:t>
            </w:r>
          </w:p>
        </w:tc>
        <w:tc>
          <w:tcPr>
            <w:tcW w:w="6157" w:type="dxa"/>
            <w:tcBorders>
              <w:top w:val="single" w:sz="4" w:space="0" w:color="000000"/>
              <w:left w:val="single" w:sz="4" w:space="0" w:color="000000"/>
              <w:bottom w:val="single" w:sz="4" w:space="0" w:color="000000"/>
              <w:right w:val="single" w:sz="4" w:space="0" w:color="000000"/>
            </w:tcBorders>
          </w:tcPr>
          <w:p w14:paraId="49D04AFD" w14:textId="77777777" w:rsidR="00742F5F" w:rsidRPr="00953F7D" w:rsidRDefault="00742F5F" w:rsidP="005E09FA">
            <w:pPr>
              <w:autoSpaceDE w:val="0"/>
              <w:autoSpaceDN w:val="0"/>
              <w:adjustRightInd w:val="0"/>
              <w:spacing w:before="60" w:after="60"/>
              <w:ind w:left="62" w:firstLine="0"/>
              <w:jc w:val="both"/>
              <w:rPr>
                <w:color w:val="000000"/>
              </w:rPr>
            </w:pPr>
            <w:r w:rsidRPr="00953F7D">
              <w:rPr>
                <w:color w:val="000000"/>
              </w:rPr>
              <w:t>For each portfolio (as defined above) except residential mortgages, qualifying revolving retail and other retail, present the following information across a sufficient number of PD grades (including default) to allow for a meaningful differentiation of credit risk</w:t>
            </w:r>
            <w:r w:rsidRPr="00953F7D">
              <w:rPr>
                <w:rStyle w:val="FootnoteReference"/>
                <w:color w:val="000000"/>
              </w:rPr>
              <w:footnoteReference w:id="31"/>
            </w:r>
            <w:r w:rsidR="00CD6C85" w:rsidRPr="00953F7D">
              <w:rPr>
                <w:color w:val="000000"/>
              </w:rPr>
              <w:t>:</w:t>
            </w:r>
          </w:p>
          <w:p w14:paraId="49D04AFE" w14:textId="77777777" w:rsidR="00742F5F" w:rsidRPr="00953F7D" w:rsidRDefault="00742F5F" w:rsidP="00E9482F">
            <w:pPr>
              <w:numPr>
                <w:ilvl w:val="0"/>
                <w:numId w:val="13"/>
              </w:numPr>
              <w:autoSpaceDE w:val="0"/>
              <w:autoSpaceDN w:val="0"/>
              <w:adjustRightInd w:val="0"/>
              <w:spacing w:before="60" w:after="60"/>
              <w:jc w:val="both"/>
              <w:rPr>
                <w:color w:val="000000"/>
              </w:rPr>
            </w:pPr>
            <w:r w:rsidRPr="00953F7D">
              <w:rPr>
                <w:color w:val="000000"/>
              </w:rPr>
              <w:t>total exposures (for corporate, sovereign and bank, outstanding loans and EAD on undrawn commitments)</w:t>
            </w:r>
            <w:r w:rsidRPr="00953F7D">
              <w:rPr>
                <w:rStyle w:val="FootnoteReference"/>
                <w:color w:val="000000"/>
              </w:rPr>
              <w:footnoteReference w:id="32"/>
            </w:r>
            <w:r w:rsidR="00CD6C85" w:rsidRPr="00953F7D">
              <w:rPr>
                <w:color w:val="000000"/>
              </w:rPr>
              <w:t>;</w:t>
            </w:r>
          </w:p>
          <w:p w14:paraId="49D04AFF" w14:textId="77777777" w:rsidR="00742F5F" w:rsidRPr="00953F7D" w:rsidRDefault="00742F5F" w:rsidP="00E9482F">
            <w:pPr>
              <w:numPr>
                <w:ilvl w:val="0"/>
                <w:numId w:val="13"/>
              </w:numPr>
              <w:autoSpaceDE w:val="0"/>
              <w:autoSpaceDN w:val="0"/>
              <w:adjustRightInd w:val="0"/>
              <w:spacing w:before="60" w:after="60"/>
              <w:jc w:val="both"/>
              <w:rPr>
                <w:color w:val="000000"/>
              </w:rPr>
            </w:pPr>
            <w:r w:rsidRPr="00953F7D">
              <w:rPr>
                <w:color w:val="000000"/>
              </w:rPr>
              <w:t>for ADIs on the advanced IRB approach, exposure-weighted average LGD (percentage); and</w:t>
            </w:r>
          </w:p>
          <w:p w14:paraId="49D04B00" w14:textId="77777777" w:rsidR="00742F5F" w:rsidRPr="00953F7D" w:rsidRDefault="00742F5F" w:rsidP="00E9482F">
            <w:pPr>
              <w:numPr>
                <w:ilvl w:val="0"/>
                <w:numId w:val="13"/>
              </w:numPr>
              <w:autoSpaceDE w:val="0"/>
              <w:autoSpaceDN w:val="0"/>
              <w:adjustRightInd w:val="0"/>
              <w:spacing w:before="60" w:after="60"/>
              <w:jc w:val="both"/>
              <w:rPr>
                <w:color w:val="000000"/>
              </w:rPr>
            </w:pPr>
            <w:r w:rsidRPr="00953F7D">
              <w:rPr>
                <w:color w:val="000000"/>
              </w:rPr>
              <w:t>exposure-weighted average risk-weight.</w:t>
            </w:r>
          </w:p>
          <w:p w14:paraId="49D04B01" w14:textId="77777777" w:rsidR="00742F5F" w:rsidRPr="00953F7D" w:rsidRDefault="00742F5F" w:rsidP="005E09FA">
            <w:pPr>
              <w:autoSpaceDE w:val="0"/>
              <w:autoSpaceDN w:val="0"/>
              <w:adjustRightInd w:val="0"/>
              <w:spacing w:before="60" w:after="60"/>
              <w:ind w:left="62" w:firstLine="0"/>
              <w:jc w:val="both"/>
              <w:rPr>
                <w:color w:val="000000"/>
              </w:rPr>
            </w:pPr>
            <w:r w:rsidRPr="00953F7D">
              <w:rPr>
                <w:color w:val="000000"/>
              </w:rPr>
              <w:t>For an ADI on the advanced IRB approach, the amount of undrawn commitments and exposure-weighted average EAD for each portfolio</w:t>
            </w:r>
            <w:r w:rsidRPr="00953F7D">
              <w:rPr>
                <w:rStyle w:val="FootnoteReference"/>
                <w:color w:val="000000"/>
              </w:rPr>
              <w:footnoteReference w:id="33"/>
            </w:r>
            <w:r w:rsidR="00CD6C85" w:rsidRPr="00953F7D">
              <w:rPr>
                <w:color w:val="000000"/>
              </w:rPr>
              <w:t>.</w:t>
            </w:r>
          </w:p>
          <w:p w14:paraId="49D04B02" w14:textId="77777777" w:rsidR="00742F5F" w:rsidRPr="00953F7D" w:rsidRDefault="00742F5F" w:rsidP="005E09FA">
            <w:pPr>
              <w:autoSpaceDE w:val="0"/>
              <w:autoSpaceDN w:val="0"/>
              <w:adjustRightInd w:val="0"/>
              <w:spacing w:before="60" w:after="60"/>
              <w:ind w:left="62" w:firstLine="0"/>
              <w:jc w:val="both"/>
              <w:rPr>
                <w:color w:val="000000"/>
              </w:rPr>
            </w:pPr>
            <w:r w:rsidRPr="00953F7D">
              <w:rPr>
                <w:color w:val="000000"/>
              </w:rPr>
              <w:t>For each retail portfolio (as defined above), either</w:t>
            </w:r>
            <w:r w:rsidRPr="00953F7D">
              <w:rPr>
                <w:rStyle w:val="FootnoteReference"/>
                <w:color w:val="000000"/>
              </w:rPr>
              <w:footnoteReference w:id="34"/>
            </w:r>
            <w:r w:rsidR="00CD6C85" w:rsidRPr="00953F7D">
              <w:rPr>
                <w:color w:val="000000"/>
              </w:rPr>
              <w:t>:</w:t>
            </w:r>
            <w:r w:rsidRPr="00953F7D">
              <w:rPr>
                <w:color w:val="000000"/>
                <w:position w:val="8"/>
                <w:vertAlign w:val="superscript"/>
              </w:rPr>
              <w:t xml:space="preserve"> </w:t>
            </w:r>
          </w:p>
          <w:p w14:paraId="49D04B03" w14:textId="77777777" w:rsidR="00742F5F" w:rsidRPr="00953F7D" w:rsidRDefault="00742F5F" w:rsidP="00E9482F">
            <w:pPr>
              <w:numPr>
                <w:ilvl w:val="0"/>
                <w:numId w:val="13"/>
              </w:numPr>
              <w:autoSpaceDE w:val="0"/>
              <w:autoSpaceDN w:val="0"/>
              <w:adjustRightInd w:val="0"/>
              <w:spacing w:before="60" w:after="60"/>
              <w:jc w:val="both"/>
              <w:rPr>
                <w:color w:val="000000"/>
              </w:rPr>
            </w:pPr>
            <w:r w:rsidRPr="00953F7D">
              <w:rPr>
                <w:color w:val="000000"/>
              </w:rPr>
              <w:t>disclosures as outlined above on a pool basis (i.e. same as for non-retail portfolios); or</w:t>
            </w:r>
          </w:p>
          <w:p w14:paraId="49D04B04" w14:textId="77777777" w:rsidR="00742F5F" w:rsidRPr="00953F7D" w:rsidRDefault="00742F5F" w:rsidP="00E9482F">
            <w:pPr>
              <w:numPr>
                <w:ilvl w:val="0"/>
                <w:numId w:val="13"/>
              </w:numPr>
              <w:autoSpaceDE w:val="0"/>
              <w:autoSpaceDN w:val="0"/>
              <w:adjustRightInd w:val="0"/>
              <w:spacing w:before="60" w:after="60"/>
              <w:jc w:val="both"/>
              <w:rPr>
                <w:color w:val="000000"/>
              </w:rPr>
            </w:pPr>
            <w:r w:rsidRPr="00953F7D">
              <w:rPr>
                <w:color w:val="000000"/>
              </w:rPr>
              <w:t>analysis of exposures on a pool basis (outstanding loans and EAD on commitments) against a sufficient number of expected loss (EL) grades to allow for a meaningful differentiation of credit risk.</w:t>
            </w:r>
          </w:p>
        </w:tc>
      </w:tr>
      <w:tr w:rsidR="00742F5F" w:rsidRPr="00953F7D" w14:paraId="49D04B09" w14:textId="77777777" w:rsidTr="009C3F64">
        <w:trPr>
          <w:trHeight w:val="1069"/>
          <w:jc w:val="center"/>
        </w:trPr>
        <w:tc>
          <w:tcPr>
            <w:tcW w:w="1532" w:type="dxa"/>
            <w:tcBorders>
              <w:top w:val="single" w:sz="4" w:space="0" w:color="000000"/>
              <w:left w:val="single" w:sz="4" w:space="0" w:color="000000"/>
              <w:bottom w:val="nil"/>
              <w:right w:val="single" w:sz="4" w:space="0" w:color="000000"/>
            </w:tcBorders>
          </w:tcPr>
          <w:p w14:paraId="49D04B06" w14:textId="77777777" w:rsidR="00742F5F" w:rsidRPr="00953F7D" w:rsidRDefault="00742F5F" w:rsidP="005E09FA">
            <w:pPr>
              <w:autoSpaceDE w:val="0"/>
              <w:autoSpaceDN w:val="0"/>
              <w:adjustRightInd w:val="0"/>
              <w:spacing w:before="60" w:after="60"/>
              <w:ind w:left="0" w:firstLine="0"/>
              <w:jc w:val="both"/>
              <w:rPr>
                <w:color w:val="000000"/>
              </w:rPr>
            </w:pPr>
            <w:r w:rsidRPr="00953F7D">
              <w:rPr>
                <w:b/>
                <w:bCs/>
                <w:color w:val="000000"/>
              </w:rPr>
              <w:t>Quantitative disclosures: historical results</w:t>
            </w:r>
          </w:p>
        </w:tc>
        <w:tc>
          <w:tcPr>
            <w:tcW w:w="567" w:type="dxa"/>
            <w:tcBorders>
              <w:top w:val="single" w:sz="4" w:space="0" w:color="000000"/>
              <w:left w:val="single" w:sz="4" w:space="0" w:color="000000"/>
              <w:bottom w:val="single" w:sz="4" w:space="0" w:color="000000"/>
              <w:right w:val="single" w:sz="4" w:space="0" w:color="000000"/>
            </w:tcBorders>
          </w:tcPr>
          <w:p w14:paraId="49D04B07" w14:textId="77777777" w:rsidR="00742F5F" w:rsidRPr="00953F7D" w:rsidRDefault="00742F5F" w:rsidP="009164E6">
            <w:pPr>
              <w:autoSpaceDE w:val="0"/>
              <w:autoSpaceDN w:val="0"/>
              <w:adjustRightInd w:val="0"/>
              <w:spacing w:before="60" w:after="60"/>
              <w:jc w:val="both"/>
              <w:rPr>
                <w:color w:val="000000"/>
              </w:rPr>
            </w:pPr>
            <w:r w:rsidRPr="00953F7D">
              <w:rPr>
                <w:color w:val="000000"/>
              </w:rPr>
              <w:t>(e)</w:t>
            </w:r>
          </w:p>
        </w:tc>
        <w:tc>
          <w:tcPr>
            <w:tcW w:w="6157" w:type="dxa"/>
            <w:tcBorders>
              <w:top w:val="single" w:sz="4" w:space="0" w:color="000000"/>
              <w:left w:val="single" w:sz="4" w:space="0" w:color="000000"/>
              <w:bottom w:val="single" w:sz="4" w:space="0" w:color="000000"/>
              <w:right w:val="single" w:sz="4" w:space="0" w:color="000000"/>
            </w:tcBorders>
          </w:tcPr>
          <w:p w14:paraId="49D04B08" w14:textId="77777777" w:rsidR="00742F5F" w:rsidRPr="00953F7D" w:rsidRDefault="00742F5F" w:rsidP="005E09FA">
            <w:pPr>
              <w:autoSpaceDE w:val="0"/>
              <w:autoSpaceDN w:val="0"/>
              <w:adjustRightInd w:val="0"/>
              <w:spacing w:before="60" w:after="60"/>
              <w:ind w:left="0" w:firstLine="0"/>
              <w:jc w:val="both"/>
              <w:rPr>
                <w:color w:val="000000"/>
              </w:rPr>
            </w:pPr>
            <w:r w:rsidRPr="00953F7D">
              <w:rPr>
                <w:color w:val="000000"/>
              </w:rPr>
              <w:t>Actual losses (e.g. write-offs and specific provisions) in the preceding period for each portfolio (as defined above) and how this differs from past experience. A discussion of the factors that impacted on the loss experience in the preceding period. For example, has the ADI experienced higher than average default rates, or higher than average LGDs and EADs?</w:t>
            </w:r>
          </w:p>
        </w:tc>
      </w:tr>
      <w:tr w:rsidR="00742F5F" w:rsidRPr="00953F7D" w14:paraId="49D04B0D" w14:textId="77777777" w:rsidTr="009C3F64">
        <w:trPr>
          <w:trHeight w:val="1069"/>
          <w:jc w:val="center"/>
        </w:trPr>
        <w:tc>
          <w:tcPr>
            <w:tcW w:w="1532" w:type="dxa"/>
            <w:tcBorders>
              <w:top w:val="nil"/>
              <w:left w:val="single" w:sz="4" w:space="0" w:color="000000"/>
              <w:bottom w:val="single" w:sz="4" w:space="0" w:color="000000"/>
              <w:right w:val="single" w:sz="4" w:space="0" w:color="000000"/>
            </w:tcBorders>
          </w:tcPr>
          <w:p w14:paraId="49D04B0A" w14:textId="77777777" w:rsidR="00742F5F" w:rsidRPr="00953F7D" w:rsidRDefault="00742F5F" w:rsidP="009164E6">
            <w:pPr>
              <w:autoSpaceDE w:val="0"/>
              <w:autoSpaceDN w:val="0"/>
              <w:adjustRightInd w:val="0"/>
              <w:spacing w:before="60" w:after="60"/>
              <w:jc w:val="both"/>
              <w:rPr>
                <w:b/>
                <w:bCs/>
                <w:color w:val="000000"/>
              </w:rPr>
            </w:pPr>
          </w:p>
        </w:tc>
        <w:tc>
          <w:tcPr>
            <w:tcW w:w="567" w:type="dxa"/>
            <w:tcBorders>
              <w:top w:val="single" w:sz="4" w:space="0" w:color="000000"/>
              <w:left w:val="single" w:sz="4" w:space="0" w:color="000000"/>
              <w:bottom w:val="single" w:sz="4" w:space="0" w:color="000000"/>
              <w:right w:val="single" w:sz="4" w:space="0" w:color="000000"/>
            </w:tcBorders>
          </w:tcPr>
          <w:p w14:paraId="49D04B0B" w14:textId="77777777" w:rsidR="00742F5F" w:rsidRPr="00953F7D" w:rsidRDefault="00742F5F" w:rsidP="009164E6">
            <w:pPr>
              <w:autoSpaceDE w:val="0"/>
              <w:autoSpaceDN w:val="0"/>
              <w:adjustRightInd w:val="0"/>
              <w:spacing w:before="60" w:after="60"/>
              <w:jc w:val="both"/>
              <w:rPr>
                <w:color w:val="000000"/>
              </w:rPr>
            </w:pPr>
            <w:r w:rsidRPr="00953F7D">
              <w:rPr>
                <w:color w:val="000000"/>
              </w:rPr>
              <w:t>(f)</w:t>
            </w:r>
          </w:p>
        </w:tc>
        <w:tc>
          <w:tcPr>
            <w:tcW w:w="6157" w:type="dxa"/>
            <w:tcBorders>
              <w:top w:val="single" w:sz="4" w:space="0" w:color="000000"/>
              <w:left w:val="single" w:sz="4" w:space="0" w:color="000000"/>
              <w:bottom w:val="single" w:sz="4" w:space="0" w:color="000000"/>
              <w:right w:val="single" w:sz="4" w:space="0" w:color="000000"/>
            </w:tcBorders>
          </w:tcPr>
          <w:p w14:paraId="49D04B0C" w14:textId="77777777" w:rsidR="00742F5F" w:rsidRPr="00953F7D" w:rsidRDefault="00742F5F" w:rsidP="00CD6C85">
            <w:pPr>
              <w:autoSpaceDE w:val="0"/>
              <w:autoSpaceDN w:val="0"/>
              <w:adjustRightInd w:val="0"/>
              <w:spacing w:before="60" w:after="60"/>
              <w:ind w:left="0" w:firstLine="0"/>
              <w:jc w:val="both"/>
              <w:rPr>
                <w:color w:val="000000"/>
              </w:rPr>
            </w:pPr>
            <w:r w:rsidRPr="00953F7D">
              <w:rPr>
                <w:color w:val="000000"/>
              </w:rPr>
              <w:t>The ADIs’ estimates against actual outcomes over a longer period</w:t>
            </w:r>
            <w:r w:rsidRPr="00953F7D">
              <w:rPr>
                <w:rStyle w:val="FootnoteReference"/>
                <w:color w:val="000000"/>
              </w:rPr>
              <w:footnoteReference w:id="35"/>
            </w:r>
            <w:r w:rsidR="00CD6C85" w:rsidRPr="00953F7D">
              <w:rPr>
                <w:color w:val="000000"/>
              </w:rPr>
              <w:t>.</w:t>
            </w:r>
            <w:r w:rsidRPr="00953F7D">
              <w:rPr>
                <w:color w:val="000000"/>
                <w:position w:val="6"/>
                <w:vertAlign w:val="superscript"/>
              </w:rPr>
              <w:t xml:space="preserve"> </w:t>
            </w:r>
            <w:r w:rsidRPr="00953F7D">
              <w:rPr>
                <w:color w:val="000000"/>
              </w:rPr>
              <w:t>At a minimum, this must include information on estimates of losses against actual losses in each portfolio (as defined above) over a period sufficient to allow for a meaningful assessment of the performance of the internal rating processes for each portfolio</w:t>
            </w:r>
            <w:r w:rsidRPr="00953F7D">
              <w:rPr>
                <w:rStyle w:val="FootnoteReference"/>
                <w:color w:val="000000"/>
              </w:rPr>
              <w:footnoteReference w:id="36"/>
            </w:r>
            <w:r w:rsidR="00CD6C85" w:rsidRPr="00953F7D">
              <w:rPr>
                <w:color w:val="000000"/>
              </w:rPr>
              <w:t xml:space="preserve">. </w:t>
            </w:r>
            <w:r w:rsidRPr="00953F7D">
              <w:rPr>
                <w:color w:val="000000"/>
              </w:rPr>
              <w:t>Where appropriate, an ADI must further decompose this to provide analysis of PDs and, for an ADI on the advanced IRB approach, LGD and EAD outcomes against estimates provided in the quantitative risk assessment disclosures above</w:t>
            </w:r>
            <w:r w:rsidRPr="00953F7D">
              <w:rPr>
                <w:rStyle w:val="FootnoteReference"/>
                <w:color w:val="000000"/>
              </w:rPr>
              <w:footnoteReference w:id="37"/>
            </w:r>
            <w:r w:rsidR="00CD6C85" w:rsidRPr="00953F7D">
              <w:rPr>
                <w:color w:val="000000"/>
              </w:rPr>
              <w:t>.</w:t>
            </w:r>
          </w:p>
        </w:tc>
      </w:tr>
    </w:tbl>
    <w:p w14:paraId="49D04B0E" w14:textId="77777777" w:rsidR="00742F5F" w:rsidRPr="00953F7D" w:rsidRDefault="00742F5F" w:rsidP="00830D13">
      <w:pPr>
        <w:keepNext/>
        <w:autoSpaceDE w:val="0"/>
        <w:autoSpaceDN w:val="0"/>
        <w:adjustRightInd w:val="0"/>
        <w:spacing w:before="240" w:after="240"/>
        <w:ind w:firstLine="0"/>
        <w:jc w:val="both"/>
        <w:rPr>
          <w:bCs/>
          <w:color w:val="000000"/>
        </w:rPr>
      </w:pPr>
      <w:r w:rsidRPr="00953F7D">
        <w:rPr>
          <w:bCs/>
          <w:color w:val="000000"/>
        </w:rPr>
        <w:t>Table 10: Credit risk mitigation disclosures</w:t>
      </w:r>
      <w:r w:rsidRPr="00953F7D">
        <w:rPr>
          <w:vertAlign w:val="superscript"/>
        </w:rPr>
        <w:footnoteReference w:id="38"/>
      </w:r>
      <w:r w:rsidRPr="00953F7D">
        <w:rPr>
          <w:bCs/>
          <w:color w:val="000000"/>
          <w:vertAlign w:val="superscript"/>
        </w:rPr>
        <w:t xml:space="preserve"> </w:t>
      </w:r>
      <w:r w:rsidRPr="00953F7D">
        <w:rPr>
          <w:bCs/>
          <w:color w:val="000000"/>
        </w:rPr>
        <w:t xml:space="preserve"> </w:t>
      </w:r>
    </w:p>
    <w:tbl>
      <w:tblPr>
        <w:tblW w:w="8291" w:type="dxa"/>
        <w:jc w:val="center"/>
        <w:tblBorders>
          <w:top w:val="nil"/>
          <w:left w:val="nil"/>
          <w:bottom w:val="nil"/>
          <w:right w:val="nil"/>
        </w:tblBorders>
        <w:tblLayout w:type="fixed"/>
        <w:tblLook w:val="0000" w:firstRow="0" w:lastRow="0" w:firstColumn="0" w:lastColumn="0" w:noHBand="0" w:noVBand="0"/>
      </w:tblPr>
      <w:tblGrid>
        <w:gridCol w:w="1550"/>
        <w:gridCol w:w="567"/>
        <w:gridCol w:w="6174"/>
      </w:tblGrid>
      <w:tr w:rsidR="00742F5F" w:rsidRPr="00953F7D" w14:paraId="49D04B17" w14:textId="77777777" w:rsidTr="004E7639">
        <w:trPr>
          <w:trHeight w:val="4293"/>
          <w:jc w:val="center"/>
        </w:trPr>
        <w:tc>
          <w:tcPr>
            <w:tcW w:w="1550" w:type="dxa"/>
            <w:tcBorders>
              <w:top w:val="single" w:sz="4" w:space="0" w:color="000000"/>
              <w:left w:val="single" w:sz="4" w:space="0" w:color="000000"/>
              <w:bottom w:val="single" w:sz="4" w:space="0" w:color="000000"/>
              <w:right w:val="single" w:sz="4" w:space="0" w:color="000000"/>
            </w:tcBorders>
          </w:tcPr>
          <w:p w14:paraId="49D04B0F" w14:textId="77777777" w:rsidR="00742F5F" w:rsidRPr="00953F7D" w:rsidRDefault="00742F5F" w:rsidP="005E09FA">
            <w:pPr>
              <w:autoSpaceDE w:val="0"/>
              <w:autoSpaceDN w:val="0"/>
              <w:adjustRightInd w:val="0"/>
              <w:spacing w:before="60" w:after="60"/>
              <w:ind w:left="0" w:firstLine="0"/>
              <w:jc w:val="both"/>
              <w:rPr>
                <w:b/>
                <w:bCs/>
                <w:color w:val="000000"/>
              </w:rPr>
            </w:pPr>
            <w:r w:rsidRPr="00953F7D">
              <w:rPr>
                <w:b/>
                <w:bCs/>
                <w:color w:val="000000"/>
              </w:rPr>
              <w:t>Qualitative disclosures</w:t>
            </w:r>
          </w:p>
        </w:tc>
        <w:tc>
          <w:tcPr>
            <w:tcW w:w="567" w:type="dxa"/>
            <w:tcBorders>
              <w:top w:val="single" w:sz="4" w:space="0" w:color="000000"/>
              <w:left w:val="single" w:sz="4" w:space="0" w:color="000000"/>
              <w:bottom w:val="single" w:sz="4" w:space="0" w:color="000000"/>
              <w:right w:val="single" w:sz="4" w:space="0" w:color="000000"/>
            </w:tcBorders>
          </w:tcPr>
          <w:p w14:paraId="49D04B10" w14:textId="77777777" w:rsidR="00742F5F" w:rsidRPr="00953F7D" w:rsidRDefault="00742F5F" w:rsidP="009164E6">
            <w:pPr>
              <w:autoSpaceDE w:val="0"/>
              <w:autoSpaceDN w:val="0"/>
              <w:adjustRightInd w:val="0"/>
              <w:spacing w:before="60" w:after="60"/>
              <w:jc w:val="both"/>
              <w:rPr>
                <w:color w:val="000000"/>
              </w:rPr>
            </w:pPr>
            <w:r w:rsidRPr="00953F7D">
              <w:rPr>
                <w:color w:val="000000"/>
              </w:rPr>
              <w:t>(a)</w:t>
            </w:r>
          </w:p>
        </w:tc>
        <w:tc>
          <w:tcPr>
            <w:tcW w:w="6174" w:type="dxa"/>
            <w:tcBorders>
              <w:top w:val="single" w:sz="4" w:space="0" w:color="000000"/>
              <w:left w:val="single" w:sz="4" w:space="0" w:color="000000"/>
              <w:bottom w:val="single" w:sz="4" w:space="0" w:color="000000"/>
              <w:right w:val="single" w:sz="4" w:space="0" w:color="000000"/>
            </w:tcBorders>
          </w:tcPr>
          <w:p w14:paraId="49D04B11" w14:textId="77777777" w:rsidR="00742F5F" w:rsidRPr="00953F7D" w:rsidRDefault="00742F5F" w:rsidP="005E09FA">
            <w:pPr>
              <w:autoSpaceDE w:val="0"/>
              <w:autoSpaceDN w:val="0"/>
              <w:adjustRightInd w:val="0"/>
              <w:spacing w:before="60" w:after="60"/>
              <w:ind w:left="0" w:firstLine="0"/>
              <w:jc w:val="both"/>
              <w:rPr>
                <w:color w:val="000000"/>
              </w:rPr>
            </w:pPr>
            <w:r w:rsidRPr="00953F7D">
              <w:rPr>
                <w:color w:val="000000"/>
              </w:rPr>
              <w:t xml:space="preserve">The general qualitative disclosure requirement (refer to paragraph </w:t>
            </w:r>
            <w:r w:rsidR="00CD6CE4" w:rsidRPr="00953F7D">
              <w:rPr>
                <w:color w:val="000000"/>
              </w:rPr>
              <w:fldChar w:fldCharType="begin"/>
            </w:r>
            <w:r w:rsidR="00CD6CE4" w:rsidRPr="00953F7D">
              <w:rPr>
                <w:color w:val="000000"/>
              </w:rPr>
              <w:instrText xml:space="preserve"> REF _Ref412477308 \r \h </w:instrText>
            </w:r>
            <w:r w:rsidR="00953F7D">
              <w:rPr>
                <w:color w:val="000000"/>
              </w:rPr>
              <w:instrText xml:space="preserve"> \* MERGEFORMAT </w:instrText>
            </w:r>
            <w:r w:rsidR="00CD6CE4" w:rsidRPr="00953F7D">
              <w:rPr>
                <w:color w:val="000000"/>
              </w:rPr>
            </w:r>
            <w:r w:rsidR="00CD6CE4" w:rsidRPr="00953F7D">
              <w:rPr>
                <w:color w:val="000000"/>
              </w:rPr>
              <w:fldChar w:fldCharType="separate"/>
            </w:r>
            <w:r w:rsidR="007D232B">
              <w:rPr>
                <w:color w:val="000000"/>
              </w:rPr>
              <w:t>3</w:t>
            </w:r>
            <w:r w:rsidR="00CD6CE4" w:rsidRPr="00953F7D">
              <w:rPr>
                <w:color w:val="000000"/>
              </w:rPr>
              <w:fldChar w:fldCharType="end"/>
            </w:r>
            <w:r w:rsidRPr="00953F7D">
              <w:t xml:space="preserve"> </w:t>
            </w:r>
            <w:r w:rsidRPr="00953F7D">
              <w:rPr>
                <w:color w:val="000000"/>
              </w:rPr>
              <w:t>of this Attachment) with respect to credit risk mitigation, including:</w:t>
            </w:r>
          </w:p>
          <w:p w14:paraId="49D04B12" w14:textId="77777777" w:rsidR="00742F5F" w:rsidRPr="00953F7D" w:rsidRDefault="00742F5F" w:rsidP="00E9482F">
            <w:pPr>
              <w:numPr>
                <w:ilvl w:val="0"/>
                <w:numId w:val="13"/>
              </w:numPr>
              <w:autoSpaceDE w:val="0"/>
              <w:autoSpaceDN w:val="0"/>
              <w:adjustRightInd w:val="0"/>
              <w:spacing w:before="60" w:after="60"/>
              <w:jc w:val="both"/>
              <w:rPr>
                <w:color w:val="000000"/>
              </w:rPr>
            </w:pPr>
            <w:r w:rsidRPr="00953F7D">
              <w:rPr>
                <w:color w:val="000000"/>
              </w:rPr>
              <w:t xml:space="preserve">policies and processes for, and an indication of the extent to which the ADI makes use of, on-balance sheet and off-balance sheet </w:t>
            </w:r>
            <w:r w:rsidRPr="004B19DF">
              <w:rPr>
                <w:b/>
                <w:color w:val="000000"/>
              </w:rPr>
              <w:t>netting</w:t>
            </w:r>
            <w:r w:rsidRPr="00953F7D">
              <w:rPr>
                <w:color w:val="000000"/>
              </w:rPr>
              <w:t>;</w:t>
            </w:r>
          </w:p>
          <w:p w14:paraId="49D04B13" w14:textId="77777777" w:rsidR="00742F5F" w:rsidRPr="00953F7D" w:rsidRDefault="00742F5F" w:rsidP="00E9482F">
            <w:pPr>
              <w:numPr>
                <w:ilvl w:val="0"/>
                <w:numId w:val="13"/>
              </w:numPr>
              <w:autoSpaceDE w:val="0"/>
              <w:autoSpaceDN w:val="0"/>
              <w:adjustRightInd w:val="0"/>
              <w:spacing w:before="60" w:after="60"/>
              <w:jc w:val="both"/>
              <w:rPr>
                <w:color w:val="000000"/>
              </w:rPr>
            </w:pPr>
            <w:r w:rsidRPr="00953F7D">
              <w:rPr>
                <w:color w:val="000000"/>
              </w:rPr>
              <w:t>policies and processes for collateral valuation and management;</w:t>
            </w:r>
          </w:p>
          <w:p w14:paraId="49D04B14" w14:textId="77777777" w:rsidR="00742F5F" w:rsidRPr="00953F7D" w:rsidRDefault="00742F5F" w:rsidP="00E9482F">
            <w:pPr>
              <w:numPr>
                <w:ilvl w:val="0"/>
                <w:numId w:val="13"/>
              </w:numPr>
              <w:autoSpaceDE w:val="0"/>
              <w:autoSpaceDN w:val="0"/>
              <w:adjustRightInd w:val="0"/>
              <w:spacing w:before="60" w:after="60"/>
              <w:jc w:val="both"/>
              <w:rPr>
                <w:color w:val="000000"/>
              </w:rPr>
            </w:pPr>
            <w:r w:rsidRPr="00953F7D">
              <w:rPr>
                <w:color w:val="000000"/>
              </w:rPr>
              <w:t>a description of the main types of collateral taken by the ADI;</w:t>
            </w:r>
          </w:p>
          <w:p w14:paraId="49D04B15" w14:textId="77777777" w:rsidR="00742F5F" w:rsidRPr="00953F7D" w:rsidRDefault="00742F5F" w:rsidP="00E9482F">
            <w:pPr>
              <w:numPr>
                <w:ilvl w:val="0"/>
                <w:numId w:val="13"/>
              </w:numPr>
              <w:autoSpaceDE w:val="0"/>
              <w:autoSpaceDN w:val="0"/>
              <w:adjustRightInd w:val="0"/>
              <w:spacing w:before="60" w:after="60"/>
              <w:jc w:val="both"/>
              <w:rPr>
                <w:color w:val="000000"/>
              </w:rPr>
            </w:pPr>
            <w:r w:rsidRPr="00953F7D">
              <w:rPr>
                <w:color w:val="000000"/>
              </w:rPr>
              <w:t>the main types of guarantor/credit derivative counterparty and their creditworthiness; and</w:t>
            </w:r>
          </w:p>
          <w:p w14:paraId="49D04B16" w14:textId="77777777" w:rsidR="00742F5F" w:rsidRPr="00953F7D" w:rsidRDefault="00742F5F" w:rsidP="00E9482F">
            <w:pPr>
              <w:numPr>
                <w:ilvl w:val="0"/>
                <w:numId w:val="13"/>
              </w:numPr>
              <w:autoSpaceDE w:val="0"/>
              <w:autoSpaceDN w:val="0"/>
              <w:adjustRightInd w:val="0"/>
              <w:spacing w:before="60" w:after="60"/>
              <w:jc w:val="both"/>
              <w:rPr>
                <w:color w:val="000000"/>
              </w:rPr>
            </w:pPr>
            <w:r w:rsidRPr="00953F7D">
              <w:rPr>
                <w:color w:val="000000"/>
              </w:rPr>
              <w:t>information about (market or credit) risk concentrations within the mitigation taken.</w:t>
            </w:r>
          </w:p>
        </w:tc>
      </w:tr>
      <w:tr w:rsidR="00742F5F" w:rsidRPr="00953F7D" w14:paraId="49D04B1E" w14:textId="77777777" w:rsidTr="009C3F64">
        <w:trPr>
          <w:trHeight w:val="1248"/>
          <w:jc w:val="center"/>
        </w:trPr>
        <w:tc>
          <w:tcPr>
            <w:tcW w:w="1550" w:type="dxa"/>
            <w:tcBorders>
              <w:top w:val="single" w:sz="4" w:space="0" w:color="000000"/>
              <w:left w:val="single" w:sz="4" w:space="0" w:color="000000"/>
              <w:bottom w:val="nil"/>
              <w:right w:val="single" w:sz="4" w:space="0" w:color="000000"/>
            </w:tcBorders>
          </w:tcPr>
          <w:p w14:paraId="49D04B18" w14:textId="77777777" w:rsidR="00742F5F" w:rsidRPr="00953F7D" w:rsidRDefault="00742F5F" w:rsidP="005E09FA">
            <w:pPr>
              <w:autoSpaceDE w:val="0"/>
              <w:autoSpaceDN w:val="0"/>
              <w:adjustRightInd w:val="0"/>
              <w:spacing w:before="60" w:after="60"/>
              <w:ind w:left="0" w:firstLine="0"/>
              <w:jc w:val="both"/>
              <w:rPr>
                <w:color w:val="000000"/>
              </w:rPr>
            </w:pPr>
            <w:r w:rsidRPr="00953F7D">
              <w:rPr>
                <w:b/>
                <w:bCs/>
                <w:color w:val="000000"/>
              </w:rPr>
              <w:t>Quantitative disclosures</w:t>
            </w:r>
          </w:p>
        </w:tc>
        <w:tc>
          <w:tcPr>
            <w:tcW w:w="567" w:type="dxa"/>
            <w:tcBorders>
              <w:top w:val="single" w:sz="4" w:space="0" w:color="000000"/>
              <w:left w:val="single" w:sz="4" w:space="0" w:color="000000"/>
              <w:bottom w:val="single" w:sz="4" w:space="0" w:color="000000"/>
              <w:right w:val="single" w:sz="4" w:space="0" w:color="000000"/>
            </w:tcBorders>
          </w:tcPr>
          <w:p w14:paraId="49D04B19" w14:textId="77777777" w:rsidR="00742F5F" w:rsidRPr="00953F7D" w:rsidRDefault="00742F5F" w:rsidP="009164E6">
            <w:pPr>
              <w:keepNext/>
              <w:keepLines/>
              <w:autoSpaceDE w:val="0"/>
              <w:autoSpaceDN w:val="0"/>
              <w:adjustRightInd w:val="0"/>
              <w:spacing w:before="60" w:after="60"/>
              <w:jc w:val="both"/>
              <w:rPr>
                <w:color w:val="000000"/>
              </w:rPr>
            </w:pPr>
            <w:r w:rsidRPr="00953F7D">
              <w:rPr>
                <w:color w:val="000000"/>
              </w:rPr>
              <w:t>(b)</w:t>
            </w:r>
          </w:p>
        </w:tc>
        <w:tc>
          <w:tcPr>
            <w:tcW w:w="6174" w:type="dxa"/>
            <w:tcBorders>
              <w:top w:val="single" w:sz="4" w:space="0" w:color="000000"/>
              <w:left w:val="single" w:sz="4" w:space="0" w:color="000000"/>
              <w:bottom w:val="single" w:sz="4" w:space="0" w:color="000000"/>
              <w:right w:val="single" w:sz="4" w:space="0" w:color="000000"/>
            </w:tcBorders>
          </w:tcPr>
          <w:p w14:paraId="49D04B1A" w14:textId="77777777" w:rsidR="00742F5F" w:rsidRPr="00953F7D" w:rsidRDefault="00742F5F" w:rsidP="005E09FA">
            <w:pPr>
              <w:keepNext/>
              <w:keepLines/>
              <w:autoSpaceDE w:val="0"/>
              <w:autoSpaceDN w:val="0"/>
              <w:adjustRightInd w:val="0"/>
              <w:spacing w:before="60" w:after="60"/>
              <w:ind w:left="0" w:firstLine="0"/>
              <w:jc w:val="both"/>
              <w:rPr>
                <w:color w:val="000000"/>
              </w:rPr>
            </w:pPr>
            <w:r w:rsidRPr="00953F7D">
              <w:rPr>
                <w:color w:val="000000"/>
              </w:rPr>
              <w:t>For each separately disclosed credit risk portfolio under the standardised and/or foundation IRB approach, the total exposure (after, where applicable, on-balance sheet or off-balance sheet netting) that is covered by:</w:t>
            </w:r>
          </w:p>
          <w:p w14:paraId="49D04B1B" w14:textId="77777777" w:rsidR="00742F5F" w:rsidRPr="00953F7D" w:rsidRDefault="00742F5F" w:rsidP="00E9482F">
            <w:pPr>
              <w:keepNext/>
              <w:keepLines/>
              <w:numPr>
                <w:ilvl w:val="0"/>
                <w:numId w:val="6"/>
              </w:numPr>
              <w:autoSpaceDE w:val="0"/>
              <w:autoSpaceDN w:val="0"/>
              <w:adjustRightInd w:val="0"/>
              <w:spacing w:before="60" w:after="60"/>
              <w:jc w:val="both"/>
              <w:rPr>
                <w:color w:val="000000"/>
              </w:rPr>
            </w:pPr>
            <w:r w:rsidRPr="00953F7D">
              <w:rPr>
                <w:color w:val="000000"/>
              </w:rPr>
              <w:t>eligible financial collateral; and</w:t>
            </w:r>
          </w:p>
          <w:p w14:paraId="49D04B1C" w14:textId="77777777" w:rsidR="00742F5F" w:rsidRPr="00953F7D" w:rsidRDefault="00742F5F" w:rsidP="00E9482F">
            <w:pPr>
              <w:keepNext/>
              <w:keepLines/>
              <w:numPr>
                <w:ilvl w:val="0"/>
                <w:numId w:val="6"/>
              </w:numPr>
              <w:autoSpaceDE w:val="0"/>
              <w:autoSpaceDN w:val="0"/>
              <w:adjustRightInd w:val="0"/>
              <w:spacing w:before="60" w:after="60"/>
              <w:jc w:val="both"/>
              <w:rPr>
                <w:color w:val="000000"/>
              </w:rPr>
            </w:pPr>
            <w:r w:rsidRPr="00953F7D">
              <w:rPr>
                <w:color w:val="000000"/>
              </w:rPr>
              <w:t>other eligible IRB collateral</w:t>
            </w:r>
          </w:p>
          <w:p w14:paraId="49D04B1D" w14:textId="77777777" w:rsidR="00742F5F" w:rsidRPr="00953F7D" w:rsidRDefault="00742F5F" w:rsidP="00CD6C85">
            <w:pPr>
              <w:keepNext/>
              <w:keepLines/>
              <w:autoSpaceDE w:val="0"/>
              <w:autoSpaceDN w:val="0"/>
              <w:adjustRightInd w:val="0"/>
              <w:spacing w:before="60" w:after="60"/>
              <w:jc w:val="both"/>
              <w:rPr>
                <w:color w:val="000000"/>
              </w:rPr>
            </w:pPr>
            <w:r w:rsidRPr="00953F7D">
              <w:rPr>
                <w:color w:val="000000"/>
              </w:rPr>
              <w:t>after the application of haircuts</w:t>
            </w:r>
            <w:r w:rsidRPr="00953F7D">
              <w:rPr>
                <w:rStyle w:val="FootnoteReference"/>
                <w:color w:val="000000"/>
              </w:rPr>
              <w:footnoteReference w:id="39"/>
            </w:r>
            <w:r w:rsidR="00CD6C85" w:rsidRPr="00953F7D">
              <w:rPr>
                <w:color w:val="000000"/>
              </w:rPr>
              <w:t>.</w:t>
            </w:r>
          </w:p>
        </w:tc>
      </w:tr>
      <w:tr w:rsidR="00742F5F" w:rsidRPr="00953F7D" w14:paraId="49D04B22" w14:textId="77777777" w:rsidTr="009C3F64">
        <w:trPr>
          <w:trHeight w:val="1422"/>
          <w:jc w:val="center"/>
        </w:trPr>
        <w:tc>
          <w:tcPr>
            <w:tcW w:w="1550" w:type="dxa"/>
            <w:tcBorders>
              <w:top w:val="nil"/>
              <w:left w:val="single" w:sz="4" w:space="0" w:color="000000"/>
              <w:bottom w:val="single" w:sz="4" w:space="0" w:color="000000"/>
              <w:right w:val="single" w:sz="4" w:space="0" w:color="000000"/>
            </w:tcBorders>
          </w:tcPr>
          <w:p w14:paraId="49D04B1F" w14:textId="77777777" w:rsidR="00742F5F" w:rsidRPr="00953F7D" w:rsidRDefault="00742F5F" w:rsidP="009164E6">
            <w:pPr>
              <w:autoSpaceDE w:val="0"/>
              <w:autoSpaceDN w:val="0"/>
              <w:adjustRightInd w:val="0"/>
              <w:spacing w:before="60" w:after="60"/>
              <w:jc w:val="both"/>
              <w:rPr>
                <w:b/>
                <w:bCs/>
                <w:color w:val="000000"/>
              </w:rPr>
            </w:pPr>
          </w:p>
        </w:tc>
        <w:tc>
          <w:tcPr>
            <w:tcW w:w="567" w:type="dxa"/>
            <w:tcBorders>
              <w:top w:val="single" w:sz="4" w:space="0" w:color="000000"/>
              <w:left w:val="single" w:sz="4" w:space="0" w:color="000000"/>
              <w:bottom w:val="single" w:sz="4" w:space="0" w:color="000000"/>
              <w:right w:val="single" w:sz="4" w:space="0" w:color="000000"/>
            </w:tcBorders>
          </w:tcPr>
          <w:p w14:paraId="49D04B20" w14:textId="77777777" w:rsidR="00742F5F" w:rsidRPr="00953F7D" w:rsidRDefault="00742F5F" w:rsidP="009164E6">
            <w:pPr>
              <w:autoSpaceDE w:val="0"/>
              <w:autoSpaceDN w:val="0"/>
              <w:adjustRightInd w:val="0"/>
              <w:spacing w:before="60" w:after="60"/>
              <w:jc w:val="both"/>
              <w:rPr>
                <w:color w:val="000000"/>
              </w:rPr>
            </w:pPr>
            <w:r w:rsidRPr="00953F7D">
              <w:rPr>
                <w:color w:val="000000"/>
              </w:rPr>
              <w:t>(c)</w:t>
            </w:r>
          </w:p>
        </w:tc>
        <w:tc>
          <w:tcPr>
            <w:tcW w:w="6174" w:type="dxa"/>
            <w:tcBorders>
              <w:top w:val="single" w:sz="4" w:space="0" w:color="000000"/>
              <w:left w:val="single" w:sz="4" w:space="0" w:color="000000"/>
              <w:bottom w:val="single" w:sz="4" w:space="0" w:color="000000"/>
              <w:right w:val="single" w:sz="4" w:space="0" w:color="000000"/>
            </w:tcBorders>
          </w:tcPr>
          <w:p w14:paraId="49D04B21" w14:textId="77777777" w:rsidR="00742F5F" w:rsidRPr="00953F7D" w:rsidRDefault="00742F5F" w:rsidP="005E09FA">
            <w:pPr>
              <w:autoSpaceDE w:val="0"/>
              <w:autoSpaceDN w:val="0"/>
              <w:adjustRightInd w:val="0"/>
              <w:spacing w:before="60" w:after="60"/>
              <w:ind w:left="0" w:firstLine="0"/>
              <w:jc w:val="both"/>
              <w:rPr>
                <w:color w:val="000000"/>
              </w:rPr>
            </w:pPr>
            <w:r w:rsidRPr="00953F7D">
              <w:rPr>
                <w:color w:val="000000"/>
              </w:rPr>
              <w:t>For each separately disclosed portfolio under the standardised and/or IRB approach, the total exposure (after, where applicable, on-balance sheet or off-balance sheet netting) that is covered by guarantees/credit derivatives.</w:t>
            </w:r>
          </w:p>
        </w:tc>
      </w:tr>
    </w:tbl>
    <w:p w14:paraId="49D04B23" w14:textId="77777777" w:rsidR="00742F5F" w:rsidRPr="00953F7D" w:rsidRDefault="00742F5F" w:rsidP="00742F5F">
      <w:pPr>
        <w:jc w:val="both"/>
        <w:rPr>
          <w:bCs/>
          <w:color w:val="000000"/>
        </w:rPr>
      </w:pPr>
      <w:r w:rsidRPr="00953F7D">
        <w:rPr>
          <w:bCs/>
          <w:color w:val="000000"/>
        </w:rPr>
        <w:br w:type="page"/>
      </w:r>
    </w:p>
    <w:p w14:paraId="49D04B24" w14:textId="77777777" w:rsidR="00742F5F" w:rsidRPr="00953F7D" w:rsidRDefault="00742F5F" w:rsidP="00830D13">
      <w:pPr>
        <w:autoSpaceDE w:val="0"/>
        <w:autoSpaceDN w:val="0"/>
        <w:adjustRightInd w:val="0"/>
        <w:spacing w:before="240" w:after="240"/>
        <w:ind w:firstLine="0"/>
        <w:jc w:val="both"/>
      </w:pPr>
      <w:r w:rsidRPr="00953F7D">
        <w:rPr>
          <w:bCs/>
          <w:color w:val="000000"/>
        </w:rPr>
        <w:t xml:space="preserve">Table 11: General disclosure for exposures related to counterparty credit risk </w:t>
      </w:r>
    </w:p>
    <w:tbl>
      <w:tblPr>
        <w:tblW w:w="8312" w:type="dxa"/>
        <w:jc w:val="center"/>
        <w:tblBorders>
          <w:top w:val="single" w:sz="4" w:space="0" w:color="000000"/>
          <w:left w:val="single" w:sz="4" w:space="0" w:color="000000"/>
          <w:bottom w:val="single" w:sz="4" w:space="0" w:color="000000"/>
          <w:right w:val="single" w:sz="4" w:space="0" w:color="000000"/>
          <w:insideV w:val="single" w:sz="4" w:space="0" w:color="000000"/>
        </w:tblBorders>
        <w:tblLook w:val="0000" w:firstRow="0" w:lastRow="0" w:firstColumn="0" w:lastColumn="0" w:noHBand="0" w:noVBand="0"/>
      </w:tblPr>
      <w:tblGrid>
        <w:gridCol w:w="1793"/>
        <w:gridCol w:w="583"/>
        <w:gridCol w:w="5936"/>
      </w:tblGrid>
      <w:tr w:rsidR="00052BE8" w:rsidRPr="00953F7D" w14:paraId="49D04B2C" w14:textId="77777777" w:rsidTr="004E7639">
        <w:trPr>
          <w:trHeight w:val="3726"/>
          <w:jc w:val="center"/>
        </w:trPr>
        <w:tc>
          <w:tcPr>
            <w:tcW w:w="1793" w:type="dxa"/>
            <w:tcBorders>
              <w:top w:val="single" w:sz="4" w:space="0" w:color="000000"/>
              <w:bottom w:val="single" w:sz="4" w:space="0" w:color="auto"/>
            </w:tcBorders>
          </w:tcPr>
          <w:p w14:paraId="49D04B25" w14:textId="77777777" w:rsidR="00052BE8" w:rsidRPr="00953F7D" w:rsidRDefault="00052BE8" w:rsidP="005E09FA">
            <w:pPr>
              <w:autoSpaceDE w:val="0"/>
              <w:autoSpaceDN w:val="0"/>
              <w:adjustRightInd w:val="0"/>
              <w:spacing w:before="60" w:after="60"/>
              <w:ind w:left="0" w:firstLine="0"/>
              <w:jc w:val="both"/>
              <w:rPr>
                <w:color w:val="000000"/>
              </w:rPr>
            </w:pPr>
            <w:r w:rsidRPr="00953F7D">
              <w:rPr>
                <w:b/>
                <w:bCs/>
                <w:color w:val="000000"/>
              </w:rPr>
              <w:t>Qualitative disclosures</w:t>
            </w:r>
          </w:p>
        </w:tc>
        <w:tc>
          <w:tcPr>
            <w:tcW w:w="583" w:type="dxa"/>
            <w:tcBorders>
              <w:top w:val="single" w:sz="4" w:space="0" w:color="000000"/>
              <w:bottom w:val="single" w:sz="4" w:space="0" w:color="auto"/>
            </w:tcBorders>
          </w:tcPr>
          <w:p w14:paraId="49D04B26" w14:textId="77777777" w:rsidR="00052BE8" w:rsidRPr="00953F7D" w:rsidRDefault="00052BE8" w:rsidP="009164E6">
            <w:pPr>
              <w:autoSpaceDE w:val="0"/>
              <w:autoSpaceDN w:val="0"/>
              <w:adjustRightInd w:val="0"/>
              <w:spacing w:before="60" w:after="60"/>
              <w:jc w:val="both"/>
              <w:rPr>
                <w:color w:val="000000"/>
              </w:rPr>
            </w:pPr>
            <w:r w:rsidRPr="00953F7D">
              <w:rPr>
                <w:color w:val="000000"/>
              </w:rPr>
              <w:t>(a)</w:t>
            </w:r>
          </w:p>
        </w:tc>
        <w:tc>
          <w:tcPr>
            <w:tcW w:w="5936" w:type="dxa"/>
            <w:tcBorders>
              <w:bottom w:val="single" w:sz="4" w:space="0" w:color="auto"/>
            </w:tcBorders>
          </w:tcPr>
          <w:p w14:paraId="49D04B27" w14:textId="77777777" w:rsidR="00052BE8" w:rsidRPr="00953F7D" w:rsidRDefault="00052BE8" w:rsidP="005E09FA">
            <w:pPr>
              <w:autoSpaceDE w:val="0"/>
              <w:autoSpaceDN w:val="0"/>
              <w:adjustRightInd w:val="0"/>
              <w:spacing w:before="60" w:after="60"/>
              <w:ind w:left="0" w:firstLine="0"/>
              <w:jc w:val="both"/>
              <w:rPr>
                <w:color w:val="000000"/>
              </w:rPr>
            </w:pPr>
            <w:r w:rsidRPr="00953F7D">
              <w:rPr>
                <w:color w:val="000000"/>
              </w:rPr>
              <w:t xml:space="preserve">The general qualitative disclosure requirement (refer to paragraph </w:t>
            </w:r>
            <w:r w:rsidR="00CD6CE4" w:rsidRPr="00953F7D">
              <w:rPr>
                <w:color w:val="000000"/>
              </w:rPr>
              <w:fldChar w:fldCharType="begin"/>
            </w:r>
            <w:r w:rsidR="00CD6CE4" w:rsidRPr="00953F7D">
              <w:rPr>
                <w:color w:val="000000"/>
              </w:rPr>
              <w:instrText xml:space="preserve"> REF _Ref412477308 \r \h </w:instrText>
            </w:r>
            <w:r w:rsidR="00953F7D">
              <w:rPr>
                <w:color w:val="000000"/>
              </w:rPr>
              <w:instrText xml:space="preserve"> \* MERGEFORMAT </w:instrText>
            </w:r>
            <w:r w:rsidR="00CD6CE4" w:rsidRPr="00953F7D">
              <w:rPr>
                <w:color w:val="000000"/>
              </w:rPr>
            </w:r>
            <w:r w:rsidR="00CD6CE4" w:rsidRPr="00953F7D">
              <w:rPr>
                <w:color w:val="000000"/>
              </w:rPr>
              <w:fldChar w:fldCharType="separate"/>
            </w:r>
            <w:r w:rsidR="007D232B">
              <w:rPr>
                <w:color w:val="000000"/>
              </w:rPr>
              <w:t>3</w:t>
            </w:r>
            <w:r w:rsidR="00CD6CE4" w:rsidRPr="00953F7D">
              <w:rPr>
                <w:color w:val="000000"/>
              </w:rPr>
              <w:fldChar w:fldCharType="end"/>
            </w:r>
            <w:r w:rsidRPr="00953F7D">
              <w:t xml:space="preserve"> </w:t>
            </w:r>
            <w:r w:rsidRPr="00953F7D">
              <w:rPr>
                <w:color w:val="000000"/>
              </w:rPr>
              <w:t>of this Attachment) with respect to derivatives and counterparty credit risk (</w:t>
            </w:r>
            <w:r w:rsidRPr="00953F7D">
              <w:rPr>
                <w:b/>
                <w:color w:val="000000"/>
              </w:rPr>
              <w:t>CCR</w:t>
            </w:r>
            <w:r w:rsidRPr="00953F7D">
              <w:rPr>
                <w:color w:val="000000"/>
              </w:rPr>
              <w:t>), including discussion of the:</w:t>
            </w:r>
          </w:p>
          <w:p w14:paraId="49D04B28" w14:textId="77777777" w:rsidR="00052BE8" w:rsidRPr="00953F7D" w:rsidRDefault="00052BE8" w:rsidP="00E9482F">
            <w:pPr>
              <w:numPr>
                <w:ilvl w:val="0"/>
                <w:numId w:val="7"/>
              </w:numPr>
              <w:autoSpaceDE w:val="0"/>
              <w:autoSpaceDN w:val="0"/>
              <w:adjustRightInd w:val="0"/>
              <w:spacing w:before="60" w:after="60"/>
              <w:jc w:val="both"/>
              <w:rPr>
                <w:color w:val="000000"/>
              </w:rPr>
            </w:pPr>
            <w:r w:rsidRPr="00953F7D">
              <w:rPr>
                <w:color w:val="000000"/>
              </w:rPr>
              <w:t>methodology used to assign economic capital and credit limits for CCR exposures;</w:t>
            </w:r>
          </w:p>
          <w:p w14:paraId="49D04B29" w14:textId="77777777" w:rsidR="00052BE8" w:rsidRPr="00953F7D" w:rsidRDefault="00052BE8" w:rsidP="00E9482F">
            <w:pPr>
              <w:numPr>
                <w:ilvl w:val="0"/>
                <w:numId w:val="7"/>
              </w:numPr>
              <w:autoSpaceDE w:val="0"/>
              <w:autoSpaceDN w:val="0"/>
              <w:adjustRightInd w:val="0"/>
              <w:spacing w:before="60" w:after="60"/>
              <w:jc w:val="both"/>
              <w:rPr>
                <w:color w:val="000000"/>
              </w:rPr>
            </w:pPr>
            <w:r w:rsidRPr="00953F7D">
              <w:rPr>
                <w:color w:val="000000"/>
              </w:rPr>
              <w:t>policies for securing collateral and establishing credit reserves;</w:t>
            </w:r>
          </w:p>
          <w:p w14:paraId="49D04B2A" w14:textId="77777777" w:rsidR="00052BE8" w:rsidRPr="00953F7D" w:rsidRDefault="00052BE8" w:rsidP="00E9482F">
            <w:pPr>
              <w:numPr>
                <w:ilvl w:val="0"/>
                <w:numId w:val="7"/>
              </w:numPr>
              <w:autoSpaceDE w:val="0"/>
              <w:autoSpaceDN w:val="0"/>
              <w:adjustRightInd w:val="0"/>
              <w:spacing w:before="60" w:after="60"/>
              <w:jc w:val="both"/>
              <w:rPr>
                <w:color w:val="000000"/>
              </w:rPr>
            </w:pPr>
            <w:r w:rsidRPr="00953F7D">
              <w:rPr>
                <w:color w:val="000000"/>
              </w:rPr>
              <w:t>policies for wrong-way risk exposures; and</w:t>
            </w:r>
          </w:p>
          <w:p w14:paraId="49D04B2B" w14:textId="77777777" w:rsidR="00052BE8" w:rsidRPr="00953F7D" w:rsidRDefault="00052BE8" w:rsidP="00E9482F">
            <w:pPr>
              <w:numPr>
                <w:ilvl w:val="0"/>
                <w:numId w:val="7"/>
              </w:numPr>
              <w:autoSpaceDE w:val="0"/>
              <w:autoSpaceDN w:val="0"/>
              <w:adjustRightInd w:val="0"/>
              <w:spacing w:before="60" w:after="60"/>
              <w:jc w:val="both"/>
              <w:rPr>
                <w:color w:val="000000"/>
              </w:rPr>
            </w:pPr>
            <w:r w:rsidRPr="00953F7D">
              <w:rPr>
                <w:color w:val="000000"/>
              </w:rPr>
              <w:t>the impact of the amount of collateral the ADI would have to provide given a credit rating downgrade.</w:t>
            </w:r>
          </w:p>
        </w:tc>
      </w:tr>
      <w:tr w:rsidR="00052BE8" w:rsidRPr="00953F7D" w14:paraId="49D04B32" w14:textId="77777777" w:rsidTr="009C3F64">
        <w:trPr>
          <w:trHeight w:val="289"/>
          <w:jc w:val="center"/>
        </w:trPr>
        <w:tc>
          <w:tcPr>
            <w:tcW w:w="1793" w:type="dxa"/>
            <w:vMerge w:val="restart"/>
            <w:tcBorders>
              <w:top w:val="single" w:sz="4" w:space="0" w:color="auto"/>
            </w:tcBorders>
          </w:tcPr>
          <w:p w14:paraId="49D04B2D" w14:textId="77777777" w:rsidR="00052BE8" w:rsidRPr="00953F7D" w:rsidRDefault="00052BE8" w:rsidP="005E09FA">
            <w:pPr>
              <w:autoSpaceDE w:val="0"/>
              <w:autoSpaceDN w:val="0"/>
              <w:adjustRightInd w:val="0"/>
              <w:spacing w:before="60" w:after="60"/>
              <w:ind w:left="0" w:firstLine="0"/>
              <w:rPr>
                <w:b/>
                <w:bCs/>
                <w:color w:val="000000"/>
              </w:rPr>
            </w:pPr>
            <w:r w:rsidRPr="00953F7D">
              <w:rPr>
                <w:b/>
                <w:bCs/>
                <w:color w:val="000000"/>
              </w:rPr>
              <w:t>Quantitative disclosures</w:t>
            </w:r>
          </w:p>
        </w:tc>
        <w:tc>
          <w:tcPr>
            <w:tcW w:w="583" w:type="dxa"/>
            <w:tcBorders>
              <w:top w:val="single" w:sz="4" w:space="0" w:color="auto"/>
              <w:bottom w:val="single" w:sz="4" w:space="0" w:color="auto"/>
            </w:tcBorders>
          </w:tcPr>
          <w:p w14:paraId="49D04B2E" w14:textId="77777777" w:rsidR="00052BE8" w:rsidRPr="00953F7D" w:rsidRDefault="00052BE8" w:rsidP="009164E6">
            <w:pPr>
              <w:autoSpaceDE w:val="0"/>
              <w:autoSpaceDN w:val="0"/>
              <w:adjustRightInd w:val="0"/>
              <w:spacing w:before="40" w:after="40"/>
              <w:jc w:val="both"/>
              <w:rPr>
                <w:color w:val="000000"/>
              </w:rPr>
            </w:pPr>
            <w:r w:rsidRPr="00953F7D">
              <w:rPr>
                <w:color w:val="000000"/>
              </w:rPr>
              <w:t>(b)</w:t>
            </w:r>
          </w:p>
        </w:tc>
        <w:tc>
          <w:tcPr>
            <w:tcW w:w="5936" w:type="dxa"/>
            <w:tcBorders>
              <w:top w:val="single" w:sz="4" w:space="0" w:color="auto"/>
              <w:bottom w:val="single" w:sz="4" w:space="0" w:color="auto"/>
            </w:tcBorders>
          </w:tcPr>
          <w:p w14:paraId="49D04B2F" w14:textId="77777777" w:rsidR="00052BE8" w:rsidRPr="00953F7D" w:rsidRDefault="00052BE8" w:rsidP="005E09FA">
            <w:pPr>
              <w:autoSpaceDE w:val="0"/>
              <w:autoSpaceDN w:val="0"/>
              <w:adjustRightInd w:val="0"/>
              <w:spacing w:before="40" w:after="40"/>
              <w:ind w:left="0" w:firstLine="0"/>
              <w:jc w:val="both"/>
              <w:rPr>
                <w:color w:val="000000"/>
              </w:rPr>
            </w:pPr>
            <w:r w:rsidRPr="00953F7D">
              <w:rPr>
                <w:color w:val="000000"/>
              </w:rPr>
              <w:t>Gross positive fair value of contracts, netting benefits, netted current credit exposure, collateral held (including type, e.g. cash, government securities, etc.), and net</w:t>
            </w:r>
            <w:r w:rsidR="00BB1EF5" w:rsidRPr="00953F7D">
              <w:rPr>
                <w:color w:val="000000"/>
              </w:rPr>
              <w:t xml:space="preserve"> derivatives credit exposure</w:t>
            </w:r>
            <w:r w:rsidR="00BB1EF5" w:rsidRPr="00953F7D">
              <w:rPr>
                <w:rStyle w:val="FootnoteReference"/>
                <w:color w:val="000000"/>
              </w:rPr>
              <w:footnoteReference w:id="40"/>
            </w:r>
            <w:r w:rsidR="00BB1EF5" w:rsidRPr="00953F7D">
              <w:rPr>
                <w:color w:val="000000"/>
              </w:rPr>
              <w:t>.</w:t>
            </w:r>
            <w:r w:rsidRPr="00953F7D">
              <w:rPr>
                <w:color w:val="000000"/>
              </w:rPr>
              <w:t xml:space="preserve"> </w:t>
            </w:r>
          </w:p>
          <w:p w14:paraId="49D04B30" w14:textId="77777777" w:rsidR="00052BE8" w:rsidRPr="00953F7D" w:rsidRDefault="00052BE8" w:rsidP="005E09FA">
            <w:pPr>
              <w:autoSpaceDE w:val="0"/>
              <w:autoSpaceDN w:val="0"/>
              <w:adjustRightInd w:val="0"/>
              <w:spacing w:before="40" w:after="40"/>
              <w:ind w:left="0" w:firstLine="0"/>
              <w:jc w:val="both"/>
              <w:rPr>
                <w:color w:val="000000"/>
              </w:rPr>
            </w:pPr>
            <w:r w:rsidRPr="00953F7D">
              <w:rPr>
                <w:color w:val="000000"/>
              </w:rPr>
              <w:t xml:space="preserve">Also report measures for exposure at default, or exposure amount, under the </w:t>
            </w:r>
            <w:r w:rsidR="00F24A5A" w:rsidRPr="00953F7D">
              <w:rPr>
                <w:color w:val="000000"/>
              </w:rPr>
              <w:t>current exposure method</w:t>
            </w:r>
            <w:r w:rsidRPr="00953F7D">
              <w:rPr>
                <w:color w:val="000000"/>
              </w:rPr>
              <w:t>.</w:t>
            </w:r>
          </w:p>
          <w:p w14:paraId="49D04B31" w14:textId="77777777" w:rsidR="00052BE8" w:rsidRPr="00953F7D" w:rsidRDefault="00052BE8" w:rsidP="00CD6C85">
            <w:pPr>
              <w:autoSpaceDE w:val="0"/>
              <w:autoSpaceDN w:val="0"/>
              <w:adjustRightInd w:val="0"/>
              <w:spacing w:before="40" w:after="40"/>
              <w:ind w:left="0" w:firstLine="0"/>
              <w:jc w:val="both"/>
              <w:rPr>
                <w:color w:val="000000"/>
              </w:rPr>
            </w:pPr>
            <w:r w:rsidRPr="00953F7D">
              <w:rPr>
                <w:color w:val="000000"/>
              </w:rPr>
              <w:t>The notional value of credit derivative hedges, and the distribution of current credit exposure by types of credit exposure</w:t>
            </w:r>
            <w:r w:rsidR="00BB1EF5" w:rsidRPr="00953F7D">
              <w:rPr>
                <w:rStyle w:val="FootnoteReference"/>
                <w:color w:val="000000"/>
              </w:rPr>
              <w:footnoteReference w:id="41"/>
            </w:r>
            <w:r w:rsidR="00CD6C85" w:rsidRPr="00953F7D">
              <w:rPr>
                <w:color w:val="000000"/>
              </w:rPr>
              <w:t>.</w:t>
            </w:r>
          </w:p>
        </w:tc>
      </w:tr>
      <w:tr w:rsidR="00052BE8" w:rsidRPr="00953F7D" w14:paraId="49D04B36" w14:textId="77777777" w:rsidTr="009C3F64">
        <w:trPr>
          <w:trHeight w:val="289"/>
          <w:jc w:val="center"/>
        </w:trPr>
        <w:tc>
          <w:tcPr>
            <w:tcW w:w="1793" w:type="dxa"/>
            <w:vMerge/>
            <w:vAlign w:val="center"/>
          </w:tcPr>
          <w:p w14:paraId="49D04B33" w14:textId="77777777" w:rsidR="00052BE8" w:rsidRPr="00953F7D" w:rsidRDefault="00052BE8" w:rsidP="009164E6">
            <w:pPr>
              <w:autoSpaceDE w:val="0"/>
              <w:autoSpaceDN w:val="0"/>
              <w:adjustRightInd w:val="0"/>
              <w:jc w:val="both"/>
              <w:rPr>
                <w:b/>
                <w:bCs/>
                <w:color w:val="000000"/>
              </w:rPr>
            </w:pPr>
          </w:p>
        </w:tc>
        <w:tc>
          <w:tcPr>
            <w:tcW w:w="583" w:type="dxa"/>
            <w:tcBorders>
              <w:top w:val="single" w:sz="4" w:space="0" w:color="auto"/>
              <w:bottom w:val="single" w:sz="4" w:space="0" w:color="auto"/>
            </w:tcBorders>
          </w:tcPr>
          <w:p w14:paraId="49D04B34" w14:textId="77777777" w:rsidR="00052BE8" w:rsidRPr="00953F7D" w:rsidRDefault="00052BE8" w:rsidP="009164E6">
            <w:pPr>
              <w:autoSpaceDE w:val="0"/>
              <w:autoSpaceDN w:val="0"/>
              <w:adjustRightInd w:val="0"/>
              <w:spacing w:before="40" w:after="40"/>
              <w:jc w:val="both"/>
              <w:rPr>
                <w:color w:val="000000"/>
              </w:rPr>
            </w:pPr>
            <w:r w:rsidRPr="00953F7D">
              <w:rPr>
                <w:color w:val="000000"/>
              </w:rPr>
              <w:t>(c)</w:t>
            </w:r>
          </w:p>
        </w:tc>
        <w:tc>
          <w:tcPr>
            <w:tcW w:w="5936" w:type="dxa"/>
            <w:tcBorders>
              <w:top w:val="single" w:sz="4" w:space="0" w:color="auto"/>
              <w:bottom w:val="single" w:sz="4" w:space="0" w:color="auto"/>
            </w:tcBorders>
          </w:tcPr>
          <w:p w14:paraId="49D04B35" w14:textId="77777777" w:rsidR="00052BE8" w:rsidRPr="00953F7D" w:rsidRDefault="00BB1EF5" w:rsidP="005E09FA">
            <w:pPr>
              <w:autoSpaceDE w:val="0"/>
              <w:autoSpaceDN w:val="0"/>
              <w:adjustRightInd w:val="0"/>
              <w:spacing w:before="40" w:after="40"/>
              <w:ind w:left="0" w:firstLine="0"/>
              <w:jc w:val="both"/>
              <w:rPr>
                <w:color w:val="000000"/>
              </w:rPr>
            </w:pPr>
            <w:r w:rsidRPr="00953F7D">
              <w:rPr>
                <w:color w:val="000000"/>
              </w:rPr>
              <w:t xml:space="preserve">Credit derivative transactions that create exposures to CCR (notional value), segregated between use for the </w:t>
            </w:r>
            <w:r w:rsidR="00F24A5A" w:rsidRPr="00953F7D">
              <w:rPr>
                <w:color w:val="000000"/>
              </w:rPr>
              <w:t>ADI’s</w:t>
            </w:r>
            <w:r w:rsidRPr="00953F7D">
              <w:rPr>
                <w:color w:val="000000"/>
              </w:rPr>
              <w:t xml:space="preserve"> own credit portfolio, as well as in its intermediation activities, including the distribution of the credit derivatives products </w:t>
            </w:r>
            <w:r w:rsidR="00F24A5A" w:rsidRPr="00953F7D">
              <w:rPr>
                <w:color w:val="000000"/>
              </w:rPr>
              <w:t>used</w:t>
            </w:r>
            <w:r w:rsidR="00F24A5A" w:rsidRPr="00953F7D">
              <w:rPr>
                <w:rStyle w:val="FootnoteReference"/>
                <w:color w:val="000000"/>
              </w:rPr>
              <w:footnoteReference w:id="42"/>
            </w:r>
            <w:r w:rsidRPr="00953F7D">
              <w:rPr>
                <w:color w:val="000000"/>
              </w:rPr>
              <w:t>, broken down further by protection bought and sold within each product group.</w:t>
            </w:r>
          </w:p>
        </w:tc>
      </w:tr>
    </w:tbl>
    <w:p w14:paraId="49D04B37" w14:textId="77777777" w:rsidR="00742F5F" w:rsidRPr="00953F7D" w:rsidRDefault="00742F5F" w:rsidP="00830D13">
      <w:pPr>
        <w:keepNext/>
        <w:autoSpaceDE w:val="0"/>
        <w:autoSpaceDN w:val="0"/>
        <w:adjustRightInd w:val="0"/>
        <w:spacing w:before="240" w:after="240"/>
        <w:ind w:firstLine="0"/>
        <w:jc w:val="both"/>
      </w:pPr>
      <w:r w:rsidRPr="00953F7D">
        <w:rPr>
          <w:color w:val="000000"/>
        </w:rPr>
        <w:t xml:space="preserve">Table 12: </w:t>
      </w:r>
      <w:r w:rsidRPr="00953F7D">
        <w:rPr>
          <w:bCs/>
          <w:color w:val="000000"/>
        </w:rPr>
        <w:t>Securitisation exposures</w:t>
      </w:r>
      <w:r w:rsidRPr="00953F7D">
        <w:rPr>
          <w:rStyle w:val="FootnoteReference"/>
          <w:bCs/>
          <w:color w:val="000000"/>
        </w:rPr>
        <w:footnoteReference w:id="43"/>
      </w:r>
      <w:r w:rsidRPr="00953F7D">
        <w:rPr>
          <w:bCs/>
          <w:color w:val="000000"/>
        </w:rPr>
        <w:t xml:space="preserve"> </w:t>
      </w:r>
    </w:p>
    <w:tbl>
      <w:tblPr>
        <w:tblW w:w="8312" w:type="dxa"/>
        <w:jc w:val="center"/>
        <w:tblBorders>
          <w:top w:val="nil"/>
          <w:left w:val="nil"/>
          <w:bottom w:val="nil"/>
          <w:right w:val="nil"/>
        </w:tblBorders>
        <w:tblLook w:val="0000" w:firstRow="0" w:lastRow="0" w:firstColumn="0" w:lastColumn="0" w:noHBand="0" w:noVBand="0"/>
      </w:tblPr>
      <w:tblGrid>
        <w:gridCol w:w="1726"/>
        <w:gridCol w:w="650"/>
        <w:gridCol w:w="5936"/>
      </w:tblGrid>
      <w:tr w:rsidR="00742F5F" w:rsidRPr="00953F7D" w14:paraId="49D04B41" w14:textId="77777777" w:rsidTr="002D5606">
        <w:trPr>
          <w:cantSplit/>
          <w:trHeight w:val="1068"/>
          <w:jc w:val="center"/>
        </w:trPr>
        <w:tc>
          <w:tcPr>
            <w:tcW w:w="1726" w:type="dxa"/>
            <w:tcBorders>
              <w:top w:val="single" w:sz="4" w:space="0" w:color="000000"/>
              <w:left w:val="single" w:sz="4" w:space="0" w:color="000000"/>
              <w:bottom w:val="single" w:sz="4" w:space="0" w:color="auto"/>
              <w:right w:val="single" w:sz="4" w:space="0" w:color="000000"/>
            </w:tcBorders>
          </w:tcPr>
          <w:p w14:paraId="49D04B38" w14:textId="77777777" w:rsidR="00742F5F" w:rsidRPr="00953F7D" w:rsidRDefault="00742F5F" w:rsidP="005E09FA">
            <w:pPr>
              <w:autoSpaceDE w:val="0"/>
              <w:autoSpaceDN w:val="0"/>
              <w:adjustRightInd w:val="0"/>
              <w:spacing w:before="60" w:after="60"/>
              <w:ind w:left="0" w:firstLine="0"/>
              <w:rPr>
                <w:color w:val="000000"/>
              </w:rPr>
            </w:pPr>
            <w:r w:rsidRPr="00953F7D">
              <w:rPr>
                <w:b/>
                <w:bCs/>
                <w:color w:val="000000"/>
              </w:rPr>
              <w:t>Qualitative disclosures</w:t>
            </w:r>
            <w:r w:rsidRPr="00953F7D">
              <w:rPr>
                <w:rStyle w:val="FootnoteReference"/>
                <w:b/>
                <w:bCs/>
                <w:color w:val="000000"/>
              </w:rPr>
              <w:footnoteReference w:id="44"/>
            </w:r>
          </w:p>
        </w:tc>
        <w:tc>
          <w:tcPr>
            <w:tcW w:w="650" w:type="dxa"/>
            <w:tcBorders>
              <w:top w:val="single" w:sz="4" w:space="0" w:color="000000"/>
              <w:left w:val="single" w:sz="4" w:space="0" w:color="000000"/>
              <w:bottom w:val="single" w:sz="4" w:space="0" w:color="000000"/>
              <w:right w:val="single" w:sz="4" w:space="0" w:color="000000"/>
            </w:tcBorders>
          </w:tcPr>
          <w:p w14:paraId="49D04B39" w14:textId="77777777" w:rsidR="00742F5F" w:rsidRPr="00953F7D" w:rsidRDefault="00742F5F" w:rsidP="009164E6">
            <w:pPr>
              <w:autoSpaceDE w:val="0"/>
              <w:autoSpaceDN w:val="0"/>
              <w:adjustRightInd w:val="0"/>
              <w:spacing w:before="60" w:after="60"/>
              <w:jc w:val="both"/>
              <w:rPr>
                <w:color w:val="000000"/>
              </w:rPr>
            </w:pPr>
            <w:r w:rsidRPr="00953F7D">
              <w:rPr>
                <w:color w:val="000000"/>
              </w:rPr>
              <w:t>(a)</w:t>
            </w:r>
          </w:p>
        </w:tc>
        <w:tc>
          <w:tcPr>
            <w:tcW w:w="5936" w:type="dxa"/>
            <w:tcBorders>
              <w:top w:val="single" w:sz="4" w:space="0" w:color="000000"/>
              <w:left w:val="single" w:sz="4" w:space="0" w:color="000000"/>
              <w:bottom w:val="single" w:sz="4" w:space="0" w:color="000000"/>
              <w:right w:val="single" w:sz="4" w:space="0" w:color="000000"/>
            </w:tcBorders>
          </w:tcPr>
          <w:p w14:paraId="49D04B3A" w14:textId="77777777" w:rsidR="00742F5F" w:rsidRPr="00953F7D" w:rsidRDefault="00742F5F" w:rsidP="005E09FA">
            <w:pPr>
              <w:autoSpaceDE w:val="0"/>
              <w:autoSpaceDN w:val="0"/>
              <w:adjustRightInd w:val="0"/>
              <w:spacing w:before="40" w:after="40"/>
              <w:ind w:left="0" w:firstLine="0"/>
              <w:jc w:val="both"/>
              <w:rPr>
                <w:color w:val="000000"/>
              </w:rPr>
            </w:pPr>
            <w:r w:rsidRPr="00953F7D">
              <w:rPr>
                <w:color w:val="000000"/>
              </w:rPr>
              <w:t xml:space="preserve">The general qualitative disclosure requirement (refer to paragraph </w:t>
            </w:r>
            <w:r w:rsidR="00CD6CE4" w:rsidRPr="00953F7D">
              <w:rPr>
                <w:color w:val="000000"/>
              </w:rPr>
              <w:fldChar w:fldCharType="begin"/>
            </w:r>
            <w:r w:rsidR="00CD6CE4" w:rsidRPr="00953F7D">
              <w:rPr>
                <w:color w:val="000000"/>
              </w:rPr>
              <w:instrText xml:space="preserve"> REF _Ref412477308 \r \h </w:instrText>
            </w:r>
            <w:r w:rsidR="00953F7D">
              <w:rPr>
                <w:color w:val="000000"/>
              </w:rPr>
              <w:instrText xml:space="preserve"> \* MERGEFORMAT </w:instrText>
            </w:r>
            <w:r w:rsidR="00CD6CE4" w:rsidRPr="00953F7D">
              <w:rPr>
                <w:color w:val="000000"/>
              </w:rPr>
            </w:r>
            <w:r w:rsidR="00CD6CE4" w:rsidRPr="00953F7D">
              <w:rPr>
                <w:color w:val="000000"/>
              </w:rPr>
              <w:fldChar w:fldCharType="separate"/>
            </w:r>
            <w:r w:rsidR="007D232B">
              <w:rPr>
                <w:color w:val="000000"/>
              </w:rPr>
              <w:t>3</w:t>
            </w:r>
            <w:r w:rsidR="00CD6CE4" w:rsidRPr="00953F7D">
              <w:rPr>
                <w:color w:val="000000"/>
              </w:rPr>
              <w:fldChar w:fldCharType="end"/>
            </w:r>
            <w:r w:rsidRPr="00953F7D">
              <w:rPr>
                <w:color w:val="000000"/>
              </w:rPr>
              <w:t xml:space="preserve"> of this Attachment) with respect to all securitisation (including synthetics) transactions, whether an originating ADI or not in relation to a scheme, including a discussion of:</w:t>
            </w:r>
          </w:p>
          <w:p w14:paraId="49D04B3B" w14:textId="77777777" w:rsidR="00742F5F" w:rsidRPr="00953F7D" w:rsidRDefault="00742F5F" w:rsidP="00E9482F">
            <w:pPr>
              <w:numPr>
                <w:ilvl w:val="0"/>
                <w:numId w:val="7"/>
              </w:numPr>
              <w:autoSpaceDE w:val="0"/>
              <w:autoSpaceDN w:val="0"/>
              <w:adjustRightInd w:val="0"/>
              <w:spacing w:before="60" w:after="60"/>
              <w:jc w:val="both"/>
              <w:rPr>
                <w:color w:val="000000"/>
              </w:rPr>
            </w:pPr>
            <w:r w:rsidRPr="00953F7D">
              <w:rPr>
                <w:color w:val="000000"/>
              </w:rPr>
              <w:t>the ADI’s objectives in relation to securitisation activity, including the extent to which these activities transfer credit risk of the underlying securitised exposures away from the ADI to other entities and including the types of risks assumed and retained with resecuritisation activity</w:t>
            </w:r>
            <w:r w:rsidRPr="00953F7D">
              <w:rPr>
                <w:rStyle w:val="FootnoteReference"/>
                <w:color w:val="000000"/>
              </w:rPr>
              <w:footnoteReference w:id="45"/>
            </w:r>
            <w:r w:rsidR="00CD6C85" w:rsidRPr="00953F7D">
              <w:rPr>
                <w:color w:val="000000"/>
              </w:rPr>
              <w:t>;</w:t>
            </w:r>
          </w:p>
          <w:p w14:paraId="49D04B3C" w14:textId="77777777" w:rsidR="00742F5F" w:rsidRPr="00953F7D" w:rsidRDefault="00742F5F" w:rsidP="00E9482F">
            <w:pPr>
              <w:numPr>
                <w:ilvl w:val="0"/>
                <w:numId w:val="7"/>
              </w:numPr>
              <w:autoSpaceDE w:val="0"/>
              <w:autoSpaceDN w:val="0"/>
              <w:adjustRightInd w:val="0"/>
              <w:spacing w:before="60" w:after="60"/>
              <w:jc w:val="both"/>
              <w:rPr>
                <w:color w:val="000000"/>
              </w:rPr>
            </w:pPr>
            <w:r w:rsidRPr="00953F7D">
              <w:rPr>
                <w:color w:val="000000"/>
              </w:rPr>
              <w:t xml:space="preserve">the nature of other risks (e.g. liquidity risk) inherent in securitised assets; </w:t>
            </w:r>
          </w:p>
          <w:p w14:paraId="49D04B3D" w14:textId="77777777" w:rsidR="00742F5F" w:rsidRPr="00953F7D" w:rsidRDefault="00742F5F" w:rsidP="00E9482F">
            <w:pPr>
              <w:numPr>
                <w:ilvl w:val="0"/>
                <w:numId w:val="8"/>
              </w:numPr>
              <w:autoSpaceDE w:val="0"/>
              <w:autoSpaceDN w:val="0"/>
              <w:adjustRightInd w:val="0"/>
              <w:spacing w:before="60" w:after="60"/>
              <w:jc w:val="both"/>
              <w:rPr>
                <w:color w:val="000000"/>
              </w:rPr>
            </w:pPr>
            <w:r w:rsidRPr="00953F7D">
              <w:rPr>
                <w:color w:val="000000"/>
              </w:rPr>
              <w:t>the various roles played by the ADI in the securitisation process</w:t>
            </w:r>
            <w:r w:rsidRPr="00953F7D">
              <w:rPr>
                <w:rStyle w:val="FootnoteReference"/>
                <w:color w:val="000000"/>
              </w:rPr>
              <w:footnoteReference w:id="46"/>
            </w:r>
            <w:r w:rsidRPr="00953F7D">
              <w:rPr>
                <w:color w:val="000000"/>
                <w:position w:val="6"/>
                <w:vertAlign w:val="superscript"/>
              </w:rPr>
              <w:t xml:space="preserve"> </w:t>
            </w:r>
            <w:r w:rsidRPr="00953F7D">
              <w:rPr>
                <w:color w:val="000000"/>
              </w:rPr>
              <w:t>and an indication of the extent of the ADI’s involvement in each of them;</w:t>
            </w:r>
          </w:p>
          <w:p w14:paraId="49D04B3E" w14:textId="77777777" w:rsidR="00742F5F" w:rsidRPr="00953F7D" w:rsidRDefault="00742F5F" w:rsidP="00E9482F">
            <w:pPr>
              <w:numPr>
                <w:ilvl w:val="0"/>
                <w:numId w:val="8"/>
              </w:numPr>
              <w:autoSpaceDE w:val="0"/>
              <w:autoSpaceDN w:val="0"/>
              <w:adjustRightInd w:val="0"/>
              <w:spacing w:before="60" w:after="60"/>
              <w:jc w:val="both"/>
              <w:rPr>
                <w:color w:val="000000"/>
              </w:rPr>
            </w:pPr>
            <w:r w:rsidRPr="00953F7D">
              <w:rPr>
                <w:color w:val="000000"/>
              </w:rPr>
              <w:t>a description of the processes in place to monitor changes in the credit and market risk of securitisation exposures</w:t>
            </w:r>
            <w:r w:rsidRPr="00953F7D">
              <w:rPr>
                <w:rStyle w:val="FootnoteReference"/>
                <w:color w:val="000000"/>
              </w:rPr>
              <w:footnoteReference w:id="47"/>
            </w:r>
            <w:r w:rsidRPr="00953F7D">
              <w:rPr>
                <w:color w:val="000000"/>
              </w:rPr>
              <w:t xml:space="preserve"> (for example, how the behaviour of the underlying assets impacts securitisation exposures) including how those processes differ for resecuritisation exposures;</w:t>
            </w:r>
          </w:p>
          <w:p w14:paraId="49D04B3F" w14:textId="77777777" w:rsidR="00742F5F" w:rsidRPr="00953F7D" w:rsidRDefault="00742F5F" w:rsidP="00E9482F">
            <w:pPr>
              <w:numPr>
                <w:ilvl w:val="0"/>
                <w:numId w:val="8"/>
              </w:numPr>
              <w:autoSpaceDE w:val="0"/>
              <w:autoSpaceDN w:val="0"/>
              <w:adjustRightInd w:val="0"/>
              <w:spacing w:before="60" w:after="60"/>
              <w:jc w:val="both"/>
              <w:rPr>
                <w:color w:val="000000"/>
              </w:rPr>
            </w:pPr>
            <w:r w:rsidRPr="00953F7D">
              <w:rPr>
                <w:color w:val="000000"/>
              </w:rPr>
              <w:t xml:space="preserve">a description of the ADI’s policy governing the use of credit risk mitigation to mitigate the risks retained through securitisation and resecuritisation exposures; and </w:t>
            </w:r>
          </w:p>
          <w:p w14:paraId="49D04B40" w14:textId="77777777" w:rsidR="00742F5F" w:rsidRPr="00953F7D" w:rsidRDefault="00742F5F" w:rsidP="00E9482F">
            <w:pPr>
              <w:numPr>
                <w:ilvl w:val="0"/>
                <w:numId w:val="8"/>
              </w:numPr>
              <w:autoSpaceDE w:val="0"/>
              <w:autoSpaceDN w:val="0"/>
              <w:adjustRightInd w:val="0"/>
              <w:spacing w:before="60" w:after="60"/>
              <w:jc w:val="both"/>
              <w:rPr>
                <w:color w:val="000000"/>
              </w:rPr>
            </w:pPr>
            <w:r w:rsidRPr="00953F7D">
              <w:rPr>
                <w:color w:val="000000"/>
              </w:rPr>
              <w:t>the Regulatory Capital approaches that are applicable to the ADI’s securitisation activities.</w:t>
            </w:r>
          </w:p>
        </w:tc>
      </w:tr>
      <w:tr w:rsidR="002D5606" w:rsidRPr="00953F7D" w14:paraId="49D04B47" w14:textId="77777777" w:rsidTr="00945F1D">
        <w:trPr>
          <w:cantSplit/>
          <w:trHeight w:val="1068"/>
          <w:jc w:val="center"/>
        </w:trPr>
        <w:tc>
          <w:tcPr>
            <w:tcW w:w="1726" w:type="dxa"/>
            <w:vMerge w:val="restart"/>
            <w:tcBorders>
              <w:top w:val="single" w:sz="4" w:space="0" w:color="000000"/>
              <w:left w:val="single" w:sz="4" w:space="0" w:color="000000"/>
              <w:right w:val="single" w:sz="4" w:space="0" w:color="000000"/>
            </w:tcBorders>
          </w:tcPr>
          <w:p w14:paraId="49D04B42" w14:textId="77777777" w:rsidR="002D5606" w:rsidRPr="00953F7D" w:rsidRDefault="002D5606" w:rsidP="009164E6">
            <w:pPr>
              <w:autoSpaceDE w:val="0"/>
              <w:autoSpaceDN w:val="0"/>
              <w:adjustRightInd w:val="0"/>
              <w:spacing w:before="60" w:after="60"/>
              <w:jc w:val="both"/>
              <w:rPr>
                <w:b/>
                <w:bCs/>
                <w:color w:val="000000"/>
              </w:rPr>
            </w:pPr>
          </w:p>
        </w:tc>
        <w:tc>
          <w:tcPr>
            <w:tcW w:w="650" w:type="dxa"/>
            <w:tcBorders>
              <w:top w:val="single" w:sz="4" w:space="0" w:color="000000"/>
              <w:left w:val="single" w:sz="4" w:space="0" w:color="000000"/>
              <w:bottom w:val="single" w:sz="4" w:space="0" w:color="000000"/>
              <w:right w:val="single" w:sz="4" w:space="0" w:color="000000"/>
            </w:tcBorders>
          </w:tcPr>
          <w:p w14:paraId="49D04B43" w14:textId="77777777" w:rsidR="002D5606" w:rsidRPr="00953F7D" w:rsidRDefault="002D5606" w:rsidP="009164E6">
            <w:pPr>
              <w:autoSpaceDE w:val="0"/>
              <w:autoSpaceDN w:val="0"/>
              <w:adjustRightInd w:val="0"/>
              <w:spacing w:before="60" w:after="60"/>
              <w:jc w:val="both"/>
              <w:rPr>
                <w:color w:val="000000"/>
              </w:rPr>
            </w:pPr>
            <w:r w:rsidRPr="00953F7D">
              <w:rPr>
                <w:color w:val="000000"/>
              </w:rPr>
              <w:t xml:space="preserve">(b) </w:t>
            </w:r>
          </w:p>
        </w:tc>
        <w:tc>
          <w:tcPr>
            <w:tcW w:w="5936" w:type="dxa"/>
            <w:tcBorders>
              <w:top w:val="single" w:sz="4" w:space="0" w:color="000000"/>
              <w:left w:val="single" w:sz="4" w:space="0" w:color="000000"/>
              <w:bottom w:val="single" w:sz="4" w:space="0" w:color="000000"/>
              <w:right w:val="single" w:sz="4" w:space="0" w:color="000000"/>
            </w:tcBorders>
          </w:tcPr>
          <w:p w14:paraId="49D04B44" w14:textId="77777777" w:rsidR="002D5606" w:rsidRPr="00953F7D" w:rsidRDefault="002D5606" w:rsidP="009164E6">
            <w:pPr>
              <w:autoSpaceDE w:val="0"/>
              <w:autoSpaceDN w:val="0"/>
              <w:adjustRightInd w:val="0"/>
              <w:spacing w:before="60" w:after="60"/>
              <w:jc w:val="both"/>
              <w:rPr>
                <w:color w:val="000000"/>
              </w:rPr>
            </w:pPr>
            <w:r w:rsidRPr="00953F7D">
              <w:rPr>
                <w:color w:val="000000"/>
              </w:rPr>
              <w:t>A list of:</w:t>
            </w:r>
          </w:p>
          <w:p w14:paraId="49D04B45" w14:textId="77777777" w:rsidR="002D5606" w:rsidRPr="00953F7D" w:rsidRDefault="002D5606" w:rsidP="00E9482F">
            <w:pPr>
              <w:numPr>
                <w:ilvl w:val="0"/>
                <w:numId w:val="17"/>
              </w:numPr>
              <w:autoSpaceDE w:val="0"/>
              <w:autoSpaceDN w:val="0"/>
              <w:adjustRightInd w:val="0"/>
              <w:spacing w:before="60" w:after="60"/>
              <w:jc w:val="both"/>
              <w:rPr>
                <w:color w:val="000000"/>
              </w:rPr>
            </w:pPr>
            <w:r w:rsidRPr="00953F7D">
              <w:rPr>
                <w:color w:val="000000"/>
              </w:rPr>
              <w:t>the types of Special Purpose Vehicles (SPVs) that the ADI, as sponsor</w:t>
            </w:r>
            <w:r w:rsidRPr="00953F7D">
              <w:rPr>
                <w:rStyle w:val="FootnoteReference"/>
                <w:color w:val="000000"/>
              </w:rPr>
              <w:footnoteReference w:id="48"/>
            </w:r>
            <w:r w:rsidRPr="00953F7D">
              <w:rPr>
                <w:color w:val="000000"/>
              </w:rPr>
              <w:t xml:space="preserve"> uses to securitise third-party exposures. Indicate whether the ADI has exposure to these SPVs, either on- or off-balance sheet; and</w:t>
            </w:r>
          </w:p>
          <w:p w14:paraId="49D04B46" w14:textId="77777777" w:rsidR="002D5606" w:rsidRPr="00953F7D" w:rsidRDefault="002D5606" w:rsidP="00E9482F">
            <w:pPr>
              <w:numPr>
                <w:ilvl w:val="0"/>
                <w:numId w:val="17"/>
              </w:numPr>
              <w:autoSpaceDE w:val="0"/>
              <w:autoSpaceDN w:val="0"/>
              <w:adjustRightInd w:val="0"/>
              <w:spacing w:before="60" w:after="60"/>
              <w:jc w:val="both"/>
            </w:pPr>
            <w:r w:rsidRPr="00953F7D">
              <w:t>affiliated entities i) that the ADI manages or advises; and ii) that invest either in the securitisation exposures that the ADI has securitised or in SPVs that the ADI sponsors.</w:t>
            </w:r>
          </w:p>
        </w:tc>
      </w:tr>
      <w:tr w:rsidR="002D5606" w:rsidRPr="00953F7D" w14:paraId="49D04B52" w14:textId="77777777" w:rsidTr="00945F1D">
        <w:trPr>
          <w:trHeight w:val="50"/>
          <w:jc w:val="center"/>
        </w:trPr>
        <w:tc>
          <w:tcPr>
            <w:tcW w:w="1726" w:type="dxa"/>
            <w:vMerge/>
            <w:tcBorders>
              <w:left w:val="single" w:sz="4" w:space="0" w:color="000000"/>
              <w:right w:val="single" w:sz="4" w:space="0" w:color="000000"/>
            </w:tcBorders>
          </w:tcPr>
          <w:p w14:paraId="49D04B48" w14:textId="77777777" w:rsidR="002D5606" w:rsidRPr="00953F7D" w:rsidRDefault="002D5606" w:rsidP="009164E6">
            <w:pPr>
              <w:autoSpaceDE w:val="0"/>
              <w:autoSpaceDN w:val="0"/>
              <w:adjustRightInd w:val="0"/>
              <w:spacing w:before="60" w:after="60"/>
              <w:jc w:val="both"/>
            </w:pPr>
          </w:p>
        </w:tc>
        <w:tc>
          <w:tcPr>
            <w:tcW w:w="650" w:type="dxa"/>
            <w:tcBorders>
              <w:top w:val="single" w:sz="4" w:space="0" w:color="000000"/>
              <w:left w:val="single" w:sz="4" w:space="0" w:color="000000"/>
              <w:bottom w:val="single" w:sz="4" w:space="0" w:color="000000"/>
              <w:right w:val="single" w:sz="4" w:space="0" w:color="000000"/>
            </w:tcBorders>
          </w:tcPr>
          <w:p w14:paraId="49D04B49" w14:textId="77777777" w:rsidR="002D5606" w:rsidRPr="00953F7D" w:rsidRDefault="002D5606" w:rsidP="009164E6">
            <w:pPr>
              <w:autoSpaceDE w:val="0"/>
              <w:autoSpaceDN w:val="0"/>
              <w:adjustRightInd w:val="0"/>
              <w:spacing w:before="60" w:after="60"/>
              <w:jc w:val="both"/>
              <w:rPr>
                <w:color w:val="000000"/>
              </w:rPr>
            </w:pPr>
            <w:r w:rsidRPr="00953F7D">
              <w:rPr>
                <w:color w:val="000000"/>
              </w:rPr>
              <w:t>(c)</w:t>
            </w:r>
          </w:p>
        </w:tc>
        <w:tc>
          <w:tcPr>
            <w:tcW w:w="5936" w:type="dxa"/>
            <w:tcBorders>
              <w:top w:val="single" w:sz="4" w:space="0" w:color="000000"/>
              <w:left w:val="single" w:sz="4" w:space="0" w:color="000000"/>
              <w:bottom w:val="single" w:sz="4" w:space="0" w:color="000000"/>
              <w:right w:val="single" w:sz="4" w:space="0" w:color="000000"/>
            </w:tcBorders>
          </w:tcPr>
          <w:p w14:paraId="49D04B4A" w14:textId="77777777" w:rsidR="002D5606" w:rsidRPr="00953F7D" w:rsidRDefault="002D5606" w:rsidP="005E09FA">
            <w:pPr>
              <w:autoSpaceDE w:val="0"/>
              <w:autoSpaceDN w:val="0"/>
              <w:adjustRightInd w:val="0"/>
              <w:spacing w:before="60" w:after="60"/>
              <w:ind w:left="0" w:firstLine="0"/>
              <w:jc w:val="both"/>
              <w:rPr>
                <w:color w:val="000000"/>
              </w:rPr>
            </w:pPr>
            <w:r w:rsidRPr="00953F7D">
              <w:rPr>
                <w:color w:val="000000"/>
              </w:rPr>
              <w:t>A summary of the ADI's accounting policies for securitisation activities, including:</w:t>
            </w:r>
          </w:p>
          <w:p w14:paraId="49D04B4B" w14:textId="77777777" w:rsidR="002D5606" w:rsidRPr="00953F7D" w:rsidRDefault="002D5606" w:rsidP="00E9482F">
            <w:pPr>
              <w:numPr>
                <w:ilvl w:val="0"/>
                <w:numId w:val="8"/>
              </w:numPr>
              <w:autoSpaceDE w:val="0"/>
              <w:autoSpaceDN w:val="0"/>
              <w:adjustRightInd w:val="0"/>
              <w:spacing w:before="60" w:after="60"/>
              <w:jc w:val="both"/>
              <w:rPr>
                <w:color w:val="000000"/>
              </w:rPr>
            </w:pPr>
            <w:r w:rsidRPr="00953F7D">
              <w:rPr>
                <w:color w:val="000000"/>
              </w:rPr>
              <w:t>whether the transactions are treated as sales or financings;</w:t>
            </w:r>
          </w:p>
          <w:p w14:paraId="49D04B4C" w14:textId="77777777" w:rsidR="002D5606" w:rsidRPr="00953F7D" w:rsidRDefault="002D5606" w:rsidP="00E9482F">
            <w:pPr>
              <w:numPr>
                <w:ilvl w:val="0"/>
                <w:numId w:val="8"/>
              </w:numPr>
              <w:autoSpaceDE w:val="0"/>
              <w:autoSpaceDN w:val="0"/>
              <w:adjustRightInd w:val="0"/>
              <w:spacing w:before="60" w:after="60"/>
              <w:jc w:val="both"/>
              <w:rPr>
                <w:color w:val="000000"/>
              </w:rPr>
            </w:pPr>
            <w:r w:rsidRPr="00953F7D">
              <w:rPr>
                <w:color w:val="000000"/>
              </w:rPr>
              <w:t>recognition of gain on sale;</w:t>
            </w:r>
          </w:p>
          <w:p w14:paraId="49D04B4D" w14:textId="77777777" w:rsidR="002D5606" w:rsidRPr="00953F7D" w:rsidRDefault="002D5606" w:rsidP="00E9482F">
            <w:pPr>
              <w:numPr>
                <w:ilvl w:val="0"/>
                <w:numId w:val="8"/>
              </w:numPr>
              <w:autoSpaceDE w:val="0"/>
              <w:autoSpaceDN w:val="0"/>
              <w:adjustRightInd w:val="0"/>
              <w:spacing w:before="60" w:after="60"/>
              <w:jc w:val="both"/>
              <w:rPr>
                <w:color w:val="000000"/>
              </w:rPr>
            </w:pPr>
            <w:r w:rsidRPr="00953F7D">
              <w:rPr>
                <w:color w:val="000000"/>
              </w:rPr>
              <w:t>methods and key assumptions (including inputs) applied in valuing positions retained or purchased</w:t>
            </w:r>
            <w:r w:rsidRPr="00953F7D">
              <w:rPr>
                <w:rStyle w:val="FootnoteReference"/>
                <w:color w:val="000000"/>
              </w:rPr>
              <w:footnoteReference w:id="49"/>
            </w:r>
            <w:r w:rsidRPr="00953F7D">
              <w:rPr>
                <w:color w:val="000000"/>
              </w:rPr>
              <w:t>;</w:t>
            </w:r>
          </w:p>
          <w:p w14:paraId="49D04B4E" w14:textId="77777777" w:rsidR="002D5606" w:rsidRPr="00953F7D" w:rsidRDefault="002D5606" w:rsidP="00E9482F">
            <w:pPr>
              <w:numPr>
                <w:ilvl w:val="0"/>
                <w:numId w:val="8"/>
              </w:numPr>
              <w:autoSpaceDE w:val="0"/>
              <w:autoSpaceDN w:val="0"/>
              <w:adjustRightInd w:val="0"/>
              <w:spacing w:before="60" w:after="60"/>
              <w:jc w:val="both"/>
              <w:rPr>
                <w:color w:val="000000"/>
              </w:rPr>
            </w:pPr>
            <w:r w:rsidRPr="00953F7D">
              <w:rPr>
                <w:color w:val="000000"/>
              </w:rPr>
              <w:t xml:space="preserve">changes in methods and key assumptions from the previous period and impact of the changes; </w:t>
            </w:r>
          </w:p>
          <w:p w14:paraId="49D04B4F" w14:textId="77777777" w:rsidR="002D5606" w:rsidRPr="00953F7D" w:rsidRDefault="002D5606" w:rsidP="00E9482F">
            <w:pPr>
              <w:numPr>
                <w:ilvl w:val="0"/>
                <w:numId w:val="8"/>
              </w:numPr>
              <w:autoSpaceDE w:val="0"/>
              <w:autoSpaceDN w:val="0"/>
              <w:adjustRightInd w:val="0"/>
              <w:spacing w:before="60" w:after="60"/>
              <w:jc w:val="both"/>
              <w:rPr>
                <w:color w:val="000000"/>
              </w:rPr>
            </w:pPr>
            <w:r w:rsidRPr="00953F7D">
              <w:rPr>
                <w:color w:val="000000"/>
              </w:rPr>
              <w:t>treatment of synthetic securitisations if this is not covered by other accounting policies (e.g. on derivatives);</w:t>
            </w:r>
          </w:p>
          <w:p w14:paraId="49D04B50" w14:textId="77777777" w:rsidR="002D5606" w:rsidRPr="00953F7D" w:rsidRDefault="002D5606" w:rsidP="00E9482F">
            <w:pPr>
              <w:numPr>
                <w:ilvl w:val="0"/>
                <w:numId w:val="8"/>
              </w:numPr>
              <w:autoSpaceDE w:val="0"/>
              <w:autoSpaceDN w:val="0"/>
              <w:adjustRightInd w:val="0"/>
              <w:spacing w:before="60" w:after="60"/>
              <w:jc w:val="both"/>
              <w:rPr>
                <w:color w:val="000000"/>
              </w:rPr>
            </w:pPr>
            <w:r w:rsidRPr="00953F7D">
              <w:rPr>
                <w:color w:val="000000"/>
              </w:rPr>
              <w:t>how exposures intended to be securitised (e.g. in a pipeline or warehouse) are valued and whether they are recorded in the banking book or the trading book; and</w:t>
            </w:r>
          </w:p>
          <w:p w14:paraId="49D04B51" w14:textId="77777777" w:rsidR="002D5606" w:rsidRPr="00953F7D" w:rsidRDefault="002D5606" w:rsidP="00E9482F">
            <w:pPr>
              <w:numPr>
                <w:ilvl w:val="0"/>
                <w:numId w:val="8"/>
              </w:numPr>
              <w:autoSpaceDE w:val="0"/>
              <w:autoSpaceDN w:val="0"/>
              <w:adjustRightInd w:val="0"/>
              <w:spacing w:before="60" w:after="60"/>
              <w:jc w:val="both"/>
              <w:rPr>
                <w:color w:val="000000"/>
              </w:rPr>
            </w:pPr>
            <w:r w:rsidRPr="00953F7D">
              <w:rPr>
                <w:color w:val="000000"/>
              </w:rPr>
              <w:t>policies for recognising liabilities on the balance sheet for arrangements that could require the ADI to provide financial support for securitised assets.</w:t>
            </w:r>
          </w:p>
        </w:tc>
      </w:tr>
      <w:tr w:rsidR="002D5606" w:rsidRPr="00953F7D" w14:paraId="49D04B56" w14:textId="77777777" w:rsidTr="00945F1D">
        <w:trPr>
          <w:trHeight w:val="446"/>
          <w:jc w:val="center"/>
        </w:trPr>
        <w:tc>
          <w:tcPr>
            <w:tcW w:w="1726" w:type="dxa"/>
            <w:vMerge/>
            <w:tcBorders>
              <w:left w:val="single" w:sz="4" w:space="0" w:color="000000"/>
              <w:bottom w:val="single" w:sz="4" w:space="0" w:color="auto"/>
              <w:right w:val="single" w:sz="4" w:space="0" w:color="000000"/>
            </w:tcBorders>
          </w:tcPr>
          <w:p w14:paraId="49D04B53" w14:textId="77777777" w:rsidR="002D5606" w:rsidRPr="00953F7D" w:rsidRDefault="002D5606" w:rsidP="009164E6">
            <w:pPr>
              <w:autoSpaceDE w:val="0"/>
              <w:autoSpaceDN w:val="0"/>
              <w:adjustRightInd w:val="0"/>
              <w:spacing w:before="60" w:after="60"/>
              <w:jc w:val="both"/>
            </w:pPr>
          </w:p>
        </w:tc>
        <w:tc>
          <w:tcPr>
            <w:tcW w:w="650" w:type="dxa"/>
            <w:tcBorders>
              <w:top w:val="single" w:sz="4" w:space="0" w:color="000000"/>
              <w:left w:val="single" w:sz="4" w:space="0" w:color="000000"/>
              <w:bottom w:val="single" w:sz="4" w:space="0" w:color="000000"/>
              <w:right w:val="single" w:sz="4" w:space="0" w:color="000000"/>
            </w:tcBorders>
          </w:tcPr>
          <w:p w14:paraId="49D04B54" w14:textId="77777777" w:rsidR="002D5606" w:rsidRPr="00953F7D" w:rsidRDefault="002D5606" w:rsidP="009164E6">
            <w:pPr>
              <w:autoSpaceDE w:val="0"/>
              <w:autoSpaceDN w:val="0"/>
              <w:adjustRightInd w:val="0"/>
              <w:spacing w:before="60" w:after="60"/>
              <w:jc w:val="both"/>
              <w:rPr>
                <w:color w:val="000000"/>
              </w:rPr>
            </w:pPr>
            <w:r w:rsidRPr="00953F7D">
              <w:rPr>
                <w:color w:val="000000"/>
              </w:rPr>
              <w:t>(d)</w:t>
            </w:r>
          </w:p>
        </w:tc>
        <w:tc>
          <w:tcPr>
            <w:tcW w:w="5936" w:type="dxa"/>
            <w:tcBorders>
              <w:top w:val="single" w:sz="4" w:space="0" w:color="000000"/>
              <w:left w:val="single" w:sz="4" w:space="0" w:color="000000"/>
              <w:bottom w:val="single" w:sz="4" w:space="0" w:color="000000"/>
              <w:right w:val="single" w:sz="4" w:space="0" w:color="000000"/>
            </w:tcBorders>
          </w:tcPr>
          <w:p w14:paraId="49D04B55" w14:textId="77777777" w:rsidR="002D5606" w:rsidRPr="00953F7D" w:rsidRDefault="002D5606" w:rsidP="005E09FA">
            <w:pPr>
              <w:autoSpaceDE w:val="0"/>
              <w:autoSpaceDN w:val="0"/>
              <w:adjustRightInd w:val="0"/>
              <w:spacing w:before="60" w:after="60"/>
              <w:ind w:left="0" w:firstLine="0"/>
              <w:jc w:val="both"/>
              <w:rPr>
                <w:color w:val="000000"/>
              </w:rPr>
            </w:pPr>
            <w:r w:rsidRPr="00953F7D">
              <w:rPr>
                <w:color w:val="000000"/>
              </w:rPr>
              <w:t>In the banking book, the names of ECAIs used for securitisations and the types of securitisation exposure for which each agency is used.</w:t>
            </w:r>
          </w:p>
        </w:tc>
      </w:tr>
      <w:tr w:rsidR="00BE4479" w:rsidRPr="00953F7D" w14:paraId="49D04B5F" w14:textId="77777777" w:rsidTr="00945F1D">
        <w:trPr>
          <w:cantSplit/>
          <w:trHeight w:val="446"/>
          <w:jc w:val="center"/>
        </w:trPr>
        <w:tc>
          <w:tcPr>
            <w:tcW w:w="1726" w:type="dxa"/>
            <w:vMerge w:val="restart"/>
            <w:tcBorders>
              <w:top w:val="single" w:sz="4" w:space="0" w:color="auto"/>
              <w:left w:val="single" w:sz="4" w:space="0" w:color="auto"/>
              <w:right w:val="single" w:sz="4" w:space="0" w:color="auto"/>
            </w:tcBorders>
          </w:tcPr>
          <w:p w14:paraId="49D04B57" w14:textId="77777777" w:rsidR="00BE4479" w:rsidRPr="00953F7D" w:rsidRDefault="00BE4479" w:rsidP="009164E6">
            <w:pPr>
              <w:autoSpaceDE w:val="0"/>
              <w:autoSpaceDN w:val="0"/>
              <w:adjustRightInd w:val="0"/>
              <w:spacing w:before="60" w:after="60"/>
              <w:jc w:val="both"/>
            </w:pPr>
          </w:p>
        </w:tc>
        <w:tc>
          <w:tcPr>
            <w:tcW w:w="650" w:type="dxa"/>
            <w:tcBorders>
              <w:top w:val="single" w:sz="4" w:space="0" w:color="000000"/>
              <w:left w:val="single" w:sz="4" w:space="0" w:color="auto"/>
              <w:bottom w:val="single" w:sz="4" w:space="0" w:color="000000"/>
              <w:right w:val="single" w:sz="4" w:space="0" w:color="000000"/>
            </w:tcBorders>
          </w:tcPr>
          <w:p w14:paraId="49D04B58" w14:textId="77777777" w:rsidR="00BE4479" w:rsidRPr="00953F7D" w:rsidRDefault="00BE4479" w:rsidP="009164E6">
            <w:pPr>
              <w:autoSpaceDE w:val="0"/>
              <w:autoSpaceDN w:val="0"/>
              <w:adjustRightInd w:val="0"/>
              <w:spacing w:before="60" w:after="60"/>
              <w:jc w:val="both"/>
              <w:rPr>
                <w:color w:val="000000"/>
              </w:rPr>
            </w:pPr>
            <w:r w:rsidRPr="00953F7D">
              <w:rPr>
                <w:color w:val="000000"/>
              </w:rPr>
              <w:t xml:space="preserve">(e) </w:t>
            </w:r>
          </w:p>
        </w:tc>
        <w:tc>
          <w:tcPr>
            <w:tcW w:w="5936" w:type="dxa"/>
            <w:tcBorders>
              <w:top w:val="single" w:sz="4" w:space="0" w:color="000000"/>
              <w:left w:val="single" w:sz="4" w:space="0" w:color="000000"/>
              <w:bottom w:val="single" w:sz="4" w:space="0" w:color="000000"/>
              <w:right w:val="single" w:sz="4" w:space="0" w:color="000000"/>
            </w:tcBorders>
          </w:tcPr>
          <w:p w14:paraId="49D04B59" w14:textId="77777777" w:rsidR="00BE4479" w:rsidRPr="00953F7D" w:rsidRDefault="00BE4479" w:rsidP="005E09FA">
            <w:pPr>
              <w:autoSpaceDE w:val="0"/>
              <w:autoSpaceDN w:val="0"/>
              <w:adjustRightInd w:val="0"/>
              <w:spacing w:before="60" w:after="60"/>
              <w:ind w:left="0" w:firstLine="0"/>
              <w:jc w:val="both"/>
              <w:rPr>
                <w:color w:val="000000"/>
              </w:rPr>
            </w:pPr>
            <w:r w:rsidRPr="00953F7D">
              <w:rPr>
                <w:color w:val="000000"/>
              </w:rPr>
              <w:t>Description of the Internal Assessment Approach (IAA) process. The description must include:</w:t>
            </w:r>
          </w:p>
          <w:p w14:paraId="49D04B5A" w14:textId="77777777" w:rsidR="00BE4479" w:rsidRPr="00953F7D" w:rsidRDefault="00BE4479" w:rsidP="00E9482F">
            <w:pPr>
              <w:numPr>
                <w:ilvl w:val="0"/>
                <w:numId w:val="14"/>
              </w:numPr>
              <w:autoSpaceDE w:val="0"/>
              <w:autoSpaceDN w:val="0"/>
              <w:adjustRightInd w:val="0"/>
              <w:spacing w:before="60" w:after="60"/>
              <w:jc w:val="both"/>
              <w:rPr>
                <w:color w:val="000000"/>
              </w:rPr>
            </w:pPr>
            <w:r w:rsidRPr="00953F7D">
              <w:rPr>
                <w:color w:val="000000"/>
              </w:rPr>
              <w:t>structure of the internal assessment process and relation between internal assessment and external ratings, including information on ECAIs as referenced in 10(d);</w:t>
            </w:r>
          </w:p>
          <w:p w14:paraId="49D04B5B" w14:textId="77777777" w:rsidR="00BE4479" w:rsidRPr="00953F7D" w:rsidRDefault="00BE4479" w:rsidP="00E9482F">
            <w:pPr>
              <w:numPr>
                <w:ilvl w:val="0"/>
                <w:numId w:val="14"/>
              </w:numPr>
              <w:autoSpaceDE w:val="0"/>
              <w:autoSpaceDN w:val="0"/>
              <w:adjustRightInd w:val="0"/>
              <w:spacing w:before="60" w:after="60"/>
              <w:jc w:val="both"/>
              <w:rPr>
                <w:color w:val="000000"/>
              </w:rPr>
            </w:pPr>
            <w:r w:rsidRPr="00953F7D">
              <w:rPr>
                <w:color w:val="000000"/>
              </w:rPr>
              <w:t>use of internal assessment other than for IAA capital purposes;</w:t>
            </w:r>
          </w:p>
          <w:p w14:paraId="49D04B5C" w14:textId="77777777" w:rsidR="00BE4479" w:rsidRPr="00953F7D" w:rsidRDefault="00BE4479" w:rsidP="00E9482F">
            <w:pPr>
              <w:numPr>
                <w:ilvl w:val="0"/>
                <w:numId w:val="14"/>
              </w:numPr>
              <w:autoSpaceDE w:val="0"/>
              <w:autoSpaceDN w:val="0"/>
              <w:adjustRightInd w:val="0"/>
              <w:spacing w:before="60" w:after="60"/>
              <w:jc w:val="both"/>
              <w:rPr>
                <w:color w:val="000000"/>
              </w:rPr>
            </w:pPr>
            <w:r w:rsidRPr="00953F7D">
              <w:rPr>
                <w:color w:val="000000"/>
              </w:rPr>
              <w:t>control mechanisms for the internal assessment process including discussion of independence, accountability, and internal assessment process review;</w:t>
            </w:r>
          </w:p>
          <w:p w14:paraId="49D04B5D" w14:textId="77777777" w:rsidR="00BE4479" w:rsidRPr="00953F7D" w:rsidRDefault="00BE4479" w:rsidP="00E9482F">
            <w:pPr>
              <w:numPr>
                <w:ilvl w:val="0"/>
                <w:numId w:val="14"/>
              </w:numPr>
              <w:autoSpaceDE w:val="0"/>
              <w:autoSpaceDN w:val="0"/>
              <w:adjustRightInd w:val="0"/>
              <w:spacing w:before="60" w:after="60"/>
              <w:jc w:val="both"/>
              <w:rPr>
                <w:color w:val="000000"/>
              </w:rPr>
            </w:pPr>
            <w:r w:rsidRPr="00953F7D">
              <w:rPr>
                <w:color w:val="000000"/>
              </w:rPr>
              <w:t>the exposure type</w:t>
            </w:r>
            <w:r w:rsidRPr="00953F7D">
              <w:rPr>
                <w:rStyle w:val="FootnoteReference"/>
                <w:color w:val="000000"/>
              </w:rPr>
              <w:footnoteReference w:id="50"/>
            </w:r>
            <w:r w:rsidRPr="00953F7D">
              <w:rPr>
                <w:color w:val="000000"/>
              </w:rPr>
              <w:t xml:space="preserve"> to which the internal assessment process is applied; and</w:t>
            </w:r>
          </w:p>
          <w:p w14:paraId="49D04B5E" w14:textId="77777777" w:rsidR="00BE4479" w:rsidRPr="00953F7D" w:rsidRDefault="00BE4479" w:rsidP="00E9482F">
            <w:pPr>
              <w:numPr>
                <w:ilvl w:val="0"/>
                <w:numId w:val="14"/>
              </w:numPr>
              <w:autoSpaceDE w:val="0"/>
              <w:autoSpaceDN w:val="0"/>
              <w:adjustRightInd w:val="0"/>
              <w:spacing w:before="60" w:after="60"/>
              <w:jc w:val="both"/>
              <w:rPr>
                <w:color w:val="000000"/>
              </w:rPr>
            </w:pPr>
            <w:r w:rsidRPr="00953F7D">
              <w:rPr>
                <w:color w:val="000000"/>
              </w:rPr>
              <w:t>stress factors used for determining credit enhancement levels, by exposure type.</w:t>
            </w:r>
          </w:p>
        </w:tc>
      </w:tr>
      <w:tr w:rsidR="00BE4479" w:rsidRPr="00953F7D" w14:paraId="49D04B63" w14:textId="77777777" w:rsidTr="00945F1D">
        <w:trPr>
          <w:trHeight w:val="446"/>
          <w:jc w:val="center"/>
        </w:trPr>
        <w:tc>
          <w:tcPr>
            <w:tcW w:w="1726" w:type="dxa"/>
            <w:vMerge/>
            <w:tcBorders>
              <w:left w:val="single" w:sz="4" w:space="0" w:color="auto"/>
              <w:bottom w:val="single" w:sz="4" w:space="0" w:color="auto"/>
              <w:right w:val="single" w:sz="4" w:space="0" w:color="auto"/>
            </w:tcBorders>
          </w:tcPr>
          <w:p w14:paraId="49D04B60" w14:textId="77777777" w:rsidR="00BE4479" w:rsidRPr="00953F7D" w:rsidRDefault="00BE4479" w:rsidP="009164E6">
            <w:pPr>
              <w:autoSpaceDE w:val="0"/>
              <w:autoSpaceDN w:val="0"/>
              <w:adjustRightInd w:val="0"/>
              <w:spacing w:before="60" w:after="60"/>
              <w:jc w:val="both"/>
            </w:pPr>
          </w:p>
        </w:tc>
        <w:tc>
          <w:tcPr>
            <w:tcW w:w="650" w:type="dxa"/>
            <w:tcBorders>
              <w:top w:val="single" w:sz="4" w:space="0" w:color="000000"/>
              <w:left w:val="single" w:sz="4" w:space="0" w:color="auto"/>
              <w:bottom w:val="single" w:sz="4" w:space="0" w:color="000000"/>
              <w:right w:val="single" w:sz="4" w:space="0" w:color="000000"/>
            </w:tcBorders>
          </w:tcPr>
          <w:p w14:paraId="49D04B61" w14:textId="77777777" w:rsidR="00BE4479" w:rsidRPr="00953F7D" w:rsidRDefault="00BE4479" w:rsidP="009164E6">
            <w:pPr>
              <w:autoSpaceDE w:val="0"/>
              <w:autoSpaceDN w:val="0"/>
              <w:adjustRightInd w:val="0"/>
              <w:spacing w:before="60" w:after="60"/>
              <w:jc w:val="both"/>
              <w:rPr>
                <w:color w:val="000000"/>
              </w:rPr>
            </w:pPr>
            <w:r w:rsidRPr="00953F7D">
              <w:rPr>
                <w:color w:val="000000"/>
              </w:rPr>
              <w:t>(f)</w:t>
            </w:r>
          </w:p>
        </w:tc>
        <w:tc>
          <w:tcPr>
            <w:tcW w:w="5936" w:type="dxa"/>
            <w:tcBorders>
              <w:top w:val="single" w:sz="4" w:space="0" w:color="000000"/>
              <w:left w:val="single" w:sz="4" w:space="0" w:color="000000"/>
              <w:bottom w:val="single" w:sz="4" w:space="0" w:color="000000"/>
              <w:right w:val="single" w:sz="4" w:space="0" w:color="000000"/>
            </w:tcBorders>
          </w:tcPr>
          <w:p w14:paraId="49D04B62" w14:textId="77777777" w:rsidR="00BE4479" w:rsidRPr="00953F7D" w:rsidRDefault="00BE4479" w:rsidP="005E09FA">
            <w:pPr>
              <w:autoSpaceDE w:val="0"/>
              <w:autoSpaceDN w:val="0"/>
              <w:adjustRightInd w:val="0"/>
              <w:spacing w:before="60" w:after="60"/>
              <w:ind w:left="0" w:firstLine="0"/>
              <w:jc w:val="both"/>
              <w:rPr>
                <w:color w:val="000000"/>
              </w:rPr>
            </w:pPr>
            <w:r w:rsidRPr="00953F7D">
              <w:rPr>
                <w:color w:val="000000"/>
              </w:rPr>
              <w:t>An explanation of significant changes to any of the quantitative information (e.g. amounts of assets intended to be securitised, movement of assets between banking book and trading book) since the last reporting period.</w:t>
            </w:r>
          </w:p>
        </w:tc>
      </w:tr>
      <w:tr w:rsidR="00BE4479" w:rsidRPr="00953F7D" w14:paraId="49D04B67" w14:textId="77777777" w:rsidTr="00945F1D">
        <w:trPr>
          <w:trHeight w:val="656"/>
          <w:jc w:val="center"/>
        </w:trPr>
        <w:tc>
          <w:tcPr>
            <w:tcW w:w="1726" w:type="dxa"/>
            <w:vMerge w:val="restart"/>
            <w:tcBorders>
              <w:top w:val="single" w:sz="4" w:space="0" w:color="auto"/>
              <w:left w:val="single" w:sz="4" w:space="0" w:color="auto"/>
              <w:right w:val="single" w:sz="4" w:space="0" w:color="auto"/>
            </w:tcBorders>
          </w:tcPr>
          <w:p w14:paraId="49D04B64" w14:textId="77777777" w:rsidR="00BE4479" w:rsidRPr="00953F7D" w:rsidRDefault="00BE4479" w:rsidP="005E09FA">
            <w:pPr>
              <w:autoSpaceDE w:val="0"/>
              <w:autoSpaceDN w:val="0"/>
              <w:adjustRightInd w:val="0"/>
              <w:spacing w:before="60" w:after="60"/>
              <w:ind w:left="68" w:firstLine="0"/>
              <w:jc w:val="both"/>
              <w:rPr>
                <w:color w:val="000000"/>
              </w:rPr>
            </w:pPr>
            <w:r w:rsidRPr="00953F7D">
              <w:rPr>
                <w:b/>
                <w:bCs/>
                <w:color w:val="000000"/>
              </w:rPr>
              <w:t>Quantitative disclosures: Banking book</w:t>
            </w:r>
          </w:p>
        </w:tc>
        <w:tc>
          <w:tcPr>
            <w:tcW w:w="650" w:type="dxa"/>
            <w:tcBorders>
              <w:top w:val="single" w:sz="4" w:space="0" w:color="000000"/>
              <w:left w:val="single" w:sz="4" w:space="0" w:color="auto"/>
              <w:bottom w:val="single" w:sz="4" w:space="0" w:color="000000"/>
              <w:right w:val="single" w:sz="4" w:space="0" w:color="000000"/>
            </w:tcBorders>
          </w:tcPr>
          <w:p w14:paraId="49D04B65" w14:textId="77777777" w:rsidR="00BE4479" w:rsidRPr="00953F7D" w:rsidRDefault="00BE4479" w:rsidP="009164E6">
            <w:pPr>
              <w:keepNext/>
              <w:keepLines/>
              <w:autoSpaceDE w:val="0"/>
              <w:autoSpaceDN w:val="0"/>
              <w:adjustRightInd w:val="0"/>
              <w:spacing w:before="60" w:after="60"/>
              <w:jc w:val="both"/>
              <w:rPr>
                <w:color w:val="000000"/>
              </w:rPr>
            </w:pPr>
            <w:r w:rsidRPr="00953F7D">
              <w:rPr>
                <w:color w:val="000000"/>
              </w:rPr>
              <w:t>(g)</w:t>
            </w:r>
          </w:p>
        </w:tc>
        <w:tc>
          <w:tcPr>
            <w:tcW w:w="5936" w:type="dxa"/>
            <w:tcBorders>
              <w:top w:val="single" w:sz="4" w:space="0" w:color="000000"/>
              <w:left w:val="single" w:sz="4" w:space="0" w:color="000000"/>
              <w:bottom w:val="single" w:sz="4" w:space="0" w:color="000000"/>
              <w:right w:val="single" w:sz="4" w:space="0" w:color="000000"/>
            </w:tcBorders>
          </w:tcPr>
          <w:p w14:paraId="49D04B66" w14:textId="77777777" w:rsidR="00BE4479" w:rsidRPr="00953F7D" w:rsidRDefault="00BE4479" w:rsidP="005E09FA">
            <w:pPr>
              <w:autoSpaceDE w:val="0"/>
              <w:autoSpaceDN w:val="0"/>
              <w:adjustRightInd w:val="0"/>
              <w:spacing w:before="60" w:after="60"/>
              <w:ind w:left="0" w:firstLine="0"/>
              <w:jc w:val="both"/>
              <w:rPr>
                <w:color w:val="000000"/>
              </w:rPr>
            </w:pPr>
            <w:r w:rsidRPr="00953F7D">
              <w:rPr>
                <w:color w:val="000000"/>
              </w:rPr>
              <w:t>The total amount of exposures securitised</w:t>
            </w:r>
            <w:r w:rsidRPr="00953F7D">
              <w:rPr>
                <w:rStyle w:val="FootnoteReference"/>
                <w:color w:val="000000"/>
              </w:rPr>
              <w:footnoteReference w:id="51"/>
            </w:r>
            <w:r w:rsidRPr="00953F7D">
              <w:rPr>
                <w:color w:val="000000"/>
              </w:rPr>
              <w:t xml:space="preserve"> by the ADI and (broken down into traditional/synthetic) by exposure type, separately for securitisations of third-party exposures for which the ADI acts only as sponsor.</w:t>
            </w:r>
          </w:p>
        </w:tc>
      </w:tr>
      <w:tr w:rsidR="00BE4479" w:rsidRPr="00953F7D" w14:paraId="49D04B6D" w14:textId="77777777" w:rsidTr="00945F1D">
        <w:trPr>
          <w:trHeight w:val="656"/>
          <w:jc w:val="center"/>
        </w:trPr>
        <w:tc>
          <w:tcPr>
            <w:tcW w:w="1726" w:type="dxa"/>
            <w:vMerge/>
            <w:tcBorders>
              <w:left w:val="single" w:sz="4" w:space="0" w:color="auto"/>
              <w:right w:val="single" w:sz="4" w:space="0" w:color="auto"/>
            </w:tcBorders>
          </w:tcPr>
          <w:p w14:paraId="49D04B68" w14:textId="77777777" w:rsidR="00BE4479" w:rsidRPr="00953F7D" w:rsidRDefault="00BE4479" w:rsidP="005E09FA">
            <w:pPr>
              <w:autoSpaceDE w:val="0"/>
              <w:autoSpaceDN w:val="0"/>
              <w:adjustRightInd w:val="0"/>
              <w:spacing w:before="60" w:after="60"/>
              <w:ind w:left="68" w:firstLine="0"/>
              <w:jc w:val="both"/>
              <w:rPr>
                <w:b/>
                <w:bCs/>
                <w:color w:val="000000"/>
              </w:rPr>
            </w:pPr>
          </w:p>
        </w:tc>
        <w:tc>
          <w:tcPr>
            <w:tcW w:w="650" w:type="dxa"/>
            <w:tcBorders>
              <w:top w:val="single" w:sz="4" w:space="0" w:color="000000"/>
              <w:left w:val="single" w:sz="4" w:space="0" w:color="auto"/>
              <w:bottom w:val="single" w:sz="4" w:space="0" w:color="000000"/>
              <w:right w:val="single" w:sz="4" w:space="0" w:color="000000"/>
            </w:tcBorders>
          </w:tcPr>
          <w:p w14:paraId="49D04B69" w14:textId="77777777" w:rsidR="00BE4479" w:rsidRPr="00953F7D" w:rsidRDefault="00BE4479" w:rsidP="009164E6">
            <w:pPr>
              <w:keepNext/>
              <w:keepLines/>
              <w:autoSpaceDE w:val="0"/>
              <w:autoSpaceDN w:val="0"/>
              <w:adjustRightInd w:val="0"/>
              <w:spacing w:before="60" w:after="60"/>
              <w:jc w:val="both"/>
              <w:rPr>
                <w:color w:val="000000"/>
              </w:rPr>
            </w:pPr>
            <w:r w:rsidRPr="00953F7D">
              <w:rPr>
                <w:color w:val="000000"/>
              </w:rPr>
              <w:t>(h)</w:t>
            </w:r>
          </w:p>
        </w:tc>
        <w:tc>
          <w:tcPr>
            <w:tcW w:w="5936" w:type="dxa"/>
            <w:tcBorders>
              <w:top w:val="single" w:sz="4" w:space="0" w:color="000000"/>
              <w:left w:val="single" w:sz="4" w:space="0" w:color="000000"/>
              <w:bottom w:val="single" w:sz="4" w:space="0" w:color="000000"/>
              <w:right w:val="single" w:sz="4" w:space="0" w:color="000000"/>
            </w:tcBorders>
          </w:tcPr>
          <w:p w14:paraId="49D04B6A" w14:textId="77777777" w:rsidR="00BE4479" w:rsidRPr="00953F7D" w:rsidRDefault="00BE4479" w:rsidP="00410391">
            <w:pPr>
              <w:autoSpaceDE w:val="0"/>
              <w:autoSpaceDN w:val="0"/>
              <w:adjustRightInd w:val="0"/>
              <w:spacing w:before="60" w:after="60"/>
              <w:jc w:val="both"/>
              <w:rPr>
                <w:color w:val="000000"/>
              </w:rPr>
            </w:pPr>
            <w:r w:rsidRPr="00953F7D">
              <w:rPr>
                <w:color w:val="000000"/>
              </w:rPr>
              <w:t>For exposures securitised by the ADI</w:t>
            </w:r>
            <w:r w:rsidRPr="00953F7D">
              <w:rPr>
                <w:rStyle w:val="FootnoteReference"/>
                <w:color w:val="000000"/>
              </w:rPr>
              <w:footnoteReference w:id="52"/>
            </w:r>
            <w:r w:rsidRPr="00953F7D">
              <w:rPr>
                <w:color w:val="000000"/>
              </w:rPr>
              <w:t>:</w:t>
            </w:r>
          </w:p>
          <w:p w14:paraId="49D04B6B" w14:textId="77777777" w:rsidR="00BE4479" w:rsidRPr="00953F7D" w:rsidRDefault="00BE4479" w:rsidP="00E9482F">
            <w:pPr>
              <w:keepNext/>
              <w:keepLines/>
              <w:numPr>
                <w:ilvl w:val="0"/>
                <w:numId w:val="8"/>
              </w:numPr>
              <w:autoSpaceDE w:val="0"/>
              <w:autoSpaceDN w:val="0"/>
              <w:adjustRightInd w:val="0"/>
              <w:spacing w:before="60" w:after="60"/>
              <w:jc w:val="both"/>
              <w:rPr>
                <w:color w:val="000000"/>
              </w:rPr>
            </w:pPr>
            <w:r w:rsidRPr="00953F7D">
              <w:rPr>
                <w:color w:val="000000"/>
              </w:rPr>
              <w:t>amount of impaired/past due assets securitised broken down by exposure type; and</w:t>
            </w:r>
          </w:p>
          <w:p w14:paraId="49D04B6C" w14:textId="77777777" w:rsidR="00BE4479" w:rsidRPr="00953F7D" w:rsidRDefault="00BE4479" w:rsidP="00662B58">
            <w:pPr>
              <w:keepNext/>
              <w:keepLines/>
              <w:numPr>
                <w:ilvl w:val="0"/>
                <w:numId w:val="8"/>
              </w:numPr>
              <w:autoSpaceDE w:val="0"/>
              <w:autoSpaceDN w:val="0"/>
              <w:adjustRightInd w:val="0"/>
              <w:spacing w:before="60" w:after="60"/>
              <w:jc w:val="both"/>
              <w:rPr>
                <w:color w:val="000000"/>
              </w:rPr>
            </w:pPr>
            <w:r w:rsidRPr="00953F7D">
              <w:rPr>
                <w:color w:val="000000"/>
              </w:rPr>
              <w:t>losses recognised by the ADI during the current period broken down by exposure type</w:t>
            </w:r>
            <w:r w:rsidRPr="00953F7D">
              <w:rPr>
                <w:rStyle w:val="FootnoteReference"/>
                <w:color w:val="000000"/>
              </w:rPr>
              <w:footnoteReference w:id="53"/>
            </w:r>
            <w:r w:rsidRPr="00953F7D">
              <w:rPr>
                <w:color w:val="000000"/>
              </w:rPr>
              <w:t>.</w:t>
            </w:r>
          </w:p>
        </w:tc>
      </w:tr>
      <w:tr w:rsidR="00BE4479" w:rsidRPr="00953F7D" w14:paraId="49D04B71" w14:textId="77777777" w:rsidTr="00945F1D">
        <w:trPr>
          <w:trHeight w:val="656"/>
          <w:jc w:val="center"/>
        </w:trPr>
        <w:tc>
          <w:tcPr>
            <w:tcW w:w="1726" w:type="dxa"/>
            <w:vMerge/>
            <w:tcBorders>
              <w:left w:val="single" w:sz="4" w:space="0" w:color="auto"/>
              <w:bottom w:val="single" w:sz="4" w:space="0" w:color="auto"/>
              <w:right w:val="single" w:sz="4" w:space="0" w:color="auto"/>
            </w:tcBorders>
          </w:tcPr>
          <w:p w14:paraId="49D04B6E" w14:textId="77777777" w:rsidR="00BE4479" w:rsidRPr="00953F7D" w:rsidRDefault="00BE4479" w:rsidP="005E09FA">
            <w:pPr>
              <w:autoSpaceDE w:val="0"/>
              <w:autoSpaceDN w:val="0"/>
              <w:adjustRightInd w:val="0"/>
              <w:spacing w:before="60" w:after="60"/>
              <w:ind w:left="68" w:firstLine="0"/>
              <w:jc w:val="both"/>
              <w:rPr>
                <w:b/>
                <w:bCs/>
                <w:color w:val="000000"/>
              </w:rPr>
            </w:pPr>
          </w:p>
        </w:tc>
        <w:tc>
          <w:tcPr>
            <w:tcW w:w="650" w:type="dxa"/>
            <w:tcBorders>
              <w:top w:val="single" w:sz="4" w:space="0" w:color="000000"/>
              <w:left w:val="single" w:sz="4" w:space="0" w:color="auto"/>
              <w:bottom w:val="single" w:sz="4" w:space="0" w:color="000000"/>
              <w:right w:val="single" w:sz="4" w:space="0" w:color="000000"/>
            </w:tcBorders>
          </w:tcPr>
          <w:p w14:paraId="49D04B6F" w14:textId="77777777" w:rsidR="00BE4479" w:rsidRPr="00953F7D" w:rsidRDefault="00BE4479" w:rsidP="009164E6">
            <w:pPr>
              <w:keepNext/>
              <w:keepLines/>
              <w:autoSpaceDE w:val="0"/>
              <w:autoSpaceDN w:val="0"/>
              <w:adjustRightInd w:val="0"/>
              <w:spacing w:before="60" w:after="60"/>
              <w:jc w:val="both"/>
              <w:rPr>
                <w:color w:val="000000"/>
              </w:rPr>
            </w:pPr>
            <w:r w:rsidRPr="00953F7D">
              <w:rPr>
                <w:color w:val="000000"/>
              </w:rPr>
              <w:t>(i)</w:t>
            </w:r>
          </w:p>
        </w:tc>
        <w:tc>
          <w:tcPr>
            <w:tcW w:w="5936" w:type="dxa"/>
            <w:tcBorders>
              <w:top w:val="single" w:sz="4" w:space="0" w:color="000000"/>
              <w:left w:val="single" w:sz="4" w:space="0" w:color="000000"/>
              <w:bottom w:val="single" w:sz="4" w:space="0" w:color="000000"/>
              <w:right w:val="single" w:sz="4" w:space="0" w:color="000000"/>
            </w:tcBorders>
          </w:tcPr>
          <w:p w14:paraId="49D04B70" w14:textId="77777777" w:rsidR="00BE4479" w:rsidRPr="00953F7D" w:rsidRDefault="00BE4479" w:rsidP="00662B58">
            <w:pPr>
              <w:autoSpaceDE w:val="0"/>
              <w:autoSpaceDN w:val="0"/>
              <w:adjustRightInd w:val="0"/>
              <w:spacing w:before="60" w:after="60"/>
              <w:ind w:left="0" w:firstLine="0"/>
              <w:jc w:val="both"/>
              <w:rPr>
                <w:color w:val="000000"/>
              </w:rPr>
            </w:pPr>
            <w:r w:rsidRPr="00953F7D">
              <w:rPr>
                <w:color w:val="000000"/>
              </w:rPr>
              <w:t>The total amount of outstanding exposures intended to be securitised broken down by exposure type</w:t>
            </w:r>
            <w:r w:rsidRPr="00953F7D">
              <w:rPr>
                <w:rStyle w:val="FootnoteReference"/>
                <w:color w:val="000000"/>
              </w:rPr>
              <w:footnoteReference w:id="54"/>
            </w:r>
            <w:r w:rsidRPr="00953F7D">
              <w:rPr>
                <w:color w:val="000000"/>
              </w:rPr>
              <w:t>.</w:t>
            </w:r>
          </w:p>
        </w:tc>
      </w:tr>
      <w:tr w:rsidR="00BE4479" w:rsidRPr="00953F7D" w14:paraId="49D04B75" w14:textId="77777777" w:rsidTr="00945F1D">
        <w:trPr>
          <w:trHeight w:val="656"/>
          <w:jc w:val="center"/>
        </w:trPr>
        <w:tc>
          <w:tcPr>
            <w:tcW w:w="1726" w:type="dxa"/>
            <w:vMerge w:val="restart"/>
            <w:tcBorders>
              <w:top w:val="single" w:sz="4" w:space="0" w:color="auto"/>
              <w:left w:val="single" w:sz="4" w:space="0" w:color="auto"/>
              <w:right w:val="single" w:sz="4" w:space="0" w:color="auto"/>
            </w:tcBorders>
          </w:tcPr>
          <w:p w14:paraId="49D04B72" w14:textId="77777777" w:rsidR="00BE4479" w:rsidRPr="00953F7D" w:rsidRDefault="00BE4479" w:rsidP="005E09FA">
            <w:pPr>
              <w:autoSpaceDE w:val="0"/>
              <w:autoSpaceDN w:val="0"/>
              <w:adjustRightInd w:val="0"/>
              <w:spacing w:before="60" w:after="60"/>
              <w:ind w:left="68" w:firstLine="0"/>
              <w:jc w:val="both"/>
              <w:rPr>
                <w:b/>
                <w:bCs/>
                <w:color w:val="000000"/>
              </w:rPr>
            </w:pPr>
          </w:p>
        </w:tc>
        <w:tc>
          <w:tcPr>
            <w:tcW w:w="650" w:type="dxa"/>
            <w:tcBorders>
              <w:top w:val="single" w:sz="4" w:space="0" w:color="000000"/>
              <w:left w:val="single" w:sz="4" w:space="0" w:color="auto"/>
              <w:bottom w:val="single" w:sz="4" w:space="0" w:color="000000"/>
              <w:right w:val="single" w:sz="4" w:space="0" w:color="000000"/>
            </w:tcBorders>
          </w:tcPr>
          <w:p w14:paraId="49D04B73" w14:textId="77777777" w:rsidR="00BE4479" w:rsidRPr="00953F7D" w:rsidRDefault="00BE4479" w:rsidP="009164E6">
            <w:pPr>
              <w:keepNext/>
              <w:keepLines/>
              <w:autoSpaceDE w:val="0"/>
              <w:autoSpaceDN w:val="0"/>
              <w:adjustRightInd w:val="0"/>
              <w:spacing w:before="60" w:after="60"/>
              <w:jc w:val="both"/>
              <w:rPr>
                <w:color w:val="000000"/>
              </w:rPr>
            </w:pPr>
            <w:r w:rsidRPr="00953F7D">
              <w:rPr>
                <w:color w:val="000000"/>
              </w:rPr>
              <w:t>(j)</w:t>
            </w:r>
          </w:p>
        </w:tc>
        <w:tc>
          <w:tcPr>
            <w:tcW w:w="5936" w:type="dxa"/>
            <w:tcBorders>
              <w:top w:val="single" w:sz="4" w:space="0" w:color="000000"/>
              <w:left w:val="single" w:sz="4" w:space="0" w:color="000000"/>
              <w:bottom w:val="single" w:sz="4" w:space="0" w:color="000000"/>
              <w:right w:val="single" w:sz="4" w:space="0" w:color="000000"/>
            </w:tcBorders>
          </w:tcPr>
          <w:p w14:paraId="49D04B74" w14:textId="77777777" w:rsidR="00BE4479" w:rsidRPr="00953F7D" w:rsidRDefault="00BE4479" w:rsidP="00410391">
            <w:pPr>
              <w:autoSpaceDE w:val="0"/>
              <w:autoSpaceDN w:val="0"/>
              <w:adjustRightInd w:val="0"/>
              <w:spacing w:before="60" w:after="60"/>
              <w:ind w:left="0" w:firstLine="0"/>
              <w:jc w:val="both"/>
              <w:rPr>
                <w:color w:val="000000"/>
              </w:rPr>
            </w:pPr>
            <w:r w:rsidRPr="00953F7D">
              <w:rPr>
                <w:color w:val="000000"/>
              </w:rPr>
              <w:t>Summary of current period’s securitisation activity, including the total amount of exposures securitised (by exposure type) and recognised gain or loss on sale by exposure type</w:t>
            </w:r>
          </w:p>
        </w:tc>
      </w:tr>
      <w:tr w:rsidR="00BE4479" w:rsidRPr="00953F7D" w14:paraId="49D04B7B" w14:textId="77777777" w:rsidTr="00945F1D">
        <w:trPr>
          <w:trHeight w:val="889"/>
          <w:jc w:val="center"/>
        </w:trPr>
        <w:tc>
          <w:tcPr>
            <w:tcW w:w="1726" w:type="dxa"/>
            <w:vMerge/>
            <w:tcBorders>
              <w:left w:val="single" w:sz="4" w:space="0" w:color="auto"/>
              <w:right w:val="single" w:sz="4" w:space="0" w:color="auto"/>
            </w:tcBorders>
          </w:tcPr>
          <w:p w14:paraId="49D04B76" w14:textId="77777777" w:rsidR="00BE4479" w:rsidRPr="00953F7D" w:rsidRDefault="00BE4479" w:rsidP="009164E6">
            <w:pPr>
              <w:keepNext/>
              <w:keepLines/>
              <w:autoSpaceDE w:val="0"/>
              <w:autoSpaceDN w:val="0"/>
              <w:adjustRightInd w:val="0"/>
              <w:spacing w:before="60" w:after="60"/>
              <w:jc w:val="both"/>
            </w:pPr>
          </w:p>
        </w:tc>
        <w:tc>
          <w:tcPr>
            <w:tcW w:w="650" w:type="dxa"/>
            <w:tcBorders>
              <w:top w:val="single" w:sz="4" w:space="0" w:color="000000"/>
              <w:left w:val="single" w:sz="4" w:space="0" w:color="auto"/>
              <w:bottom w:val="single" w:sz="4" w:space="0" w:color="000000"/>
              <w:right w:val="single" w:sz="4" w:space="0" w:color="000000"/>
            </w:tcBorders>
          </w:tcPr>
          <w:p w14:paraId="49D04B77" w14:textId="77777777" w:rsidR="00BE4479" w:rsidRPr="00953F7D" w:rsidRDefault="00BE4479" w:rsidP="009164E6">
            <w:pPr>
              <w:keepNext/>
              <w:keepLines/>
              <w:autoSpaceDE w:val="0"/>
              <w:autoSpaceDN w:val="0"/>
              <w:adjustRightInd w:val="0"/>
              <w:spacing w:before="60" w:after="60"/>
              <w:jc w:val="both"/>
              <w:rPr>
                <w:color w:val="000000"/>
              </w:rPr>
            </w:pPr>
            <w:r w:rsidRPr="00953F7D">
              <w:rPr>
                <w:color w:val="000000"/>
              </w:rPr>
              <w:t>(k)</w:t>
            </w:r>
          </w:p>
        </w:tc>
        <w:tc>
          <w:tcPr>
            <w:tcW w:w="5936" w:type="dxa"/>
            <w:tcBorders>
              <w:top w:val="single" w:sz="4" w:space="0" w:color="000000"/>
              <w:left w:val="single" w:sz="4" w:space="0" w:color="000000"/>
              <w:bottom w:val="single" w:sz="4" w:space="0" w:color="000000"/>
              <w:right w:val="single" w:sz="4" w:space="0" w:color="000000"/>
            </w:tcBorders>
          </w:tcPr>
          <w:p w14:paraId="49D04B78" w14:textId="77777777" w:rsidR="00BE4479" w:rsidRPr="00953F7D" w:rsidRDefault="00BE4479" w:rsidP="00410391">
            <w:pPr>
              <w:autoSpaceDE w:val="0"/>
              <w:autoSpaceDN w:val="0"/>
              <w:adjustRightInd w:val="0"/>
              <w:spacing w:before="60" w:after="60"/>
              <w:jc w:val="both"/>
              <w:rPr>
                <w:color w:val="000000"/>
              </w:rPr>
            </w:pPr>
            <w:r w:rsidRPr="00953F7D">
              <w:rPr>
                <w:color w:val="000000"/>
              </w:rPr>
              <w:t>Aggregate amount of:</w:t>
            </w:r>
          </w:p>
          <w:p w14:paraId="49D04B79" w14:textId="77777777" w:rsidR="00BE4479" w:rsidRPr="00953F7D" w:rsidRDefault="00BE4479" w:rsidP="00E9482F">
            <w:pPr>
              <w:numPr>
                <w:ilvl w:val="0"/>
                <w:numId w:val="18"/>
              </w:numPr>
              <w:autoSpaceDE w:val="0"/>
              <w:autoSpaceDN w:val="0"/>
              <w:adjustRightInd w:val="0"/>
              <w:spacing w:before="60" w:after="60"/>
              <w:jc w:val="both"/>
              <w:rPr>
                <w:color w:val="000000"/>
              </w:rPr>
            </w:pPr>
            <w:r w:rsidRPr="00953F7D">
              <w:rPr>
                <w:color w:val="000000"/>
              </w:rPr>
              <w:t>on-balance sheet securitisation exposures</w:t>
            </w:r>
            <w:r w:rsidRPr="00953F7D">
              <w:rPr>
                <w:rStyle w:val="FootnoteReference"/>
                <w:color w:val="000000"/>
              </w:rPr>
              <w:footnoteReference w:id="55"/>
            </w:r>
            <w:r w:rsidRPr="00953F7D">
              <w:rPr>
                <w:color w:val="000000"/>
              </w:rPr>
              <w:t xml:space="preserve"> retained or purchased broken down by exposure type; and</w:t>
            </w:r>
          </w:p>
          <w:p w14:paraId="49D04B7A" w14:textId="77777777" w:rsidR="00BE4479" w:rsidRPr="00953F7D" w:rsidRDefault="00BE4479" w:rsidP="00E9482F">
            <w:pPr>
              <w:numPr>
                <w:ilvl w:val="0"/>
                <w:numId w:val="18"/>
              </w:numPr>
              <w:autoSpaceDE w:val="0"/>
              <w:autoSpaceDN w:val="0"/>
              <w:adjustRightInd w:val="0"/>
              <w:spacing w:before="60" w:after="60"/>
              <w:jc w:val="both"/>
              <w:rPr>
                <w:color w:val="000000"/>
              </w:rPr>
            </w:pPr>
            <w:r w:rsidRPr="00953F7D">
              <w:rPr>
                <w:color w:val="000000"/>
              </w:rPr>
              <w:t>off-balance sheet securitisation exposures broken down by exposure type.</w:t>
            </w:r>
          </w:p>
        </w:tc>
      </w:tr>
      <w:tr w:rsidR="00BE4479" w:rsidRPr="00953F7D" w14:paraId="49D04B80" w14:textId="77777777" w:rsidTr="00945F1D">
        <w:trPr>
          <w:trHeight w:val="416"/>
          <w:jc w:val="center"/>
        </w:trPr>
        <w:tc>
          <w:tcPr>
            <w:tcW w:w="1726" w:type="dxa"/>
            <w:vMerge/>
            <w:tcBorders>
              <w:left w:val="single" w:sz="4" w:space="0" w:color="auto"/>
              <w:right w:val="single" w:sz="4" w:space="0" w:color="auto"/>
            </w:tcBorders>
            <w:shd w:val="clear" w:color="auto" w:fill="auto"/>
          </w:tcPr>
          <w:p w14:paraId="49D04B7C" w14:textId="77777777" w:rsidR="00BE4479" w:rsidRPr="00953F7D" w:rsidRDefault="00BE4479" w:rsidP="009164E6">
            <w:pPr>
              <w:autoSpaceDE w:val="0"/>
              <w:autoSpaceDN w:val="0"/>
              <w:adjustRightInd w:val="0"/>
              <w:spacing w:before="60" w:after="60"/>
              <w:jc w:val="both"/>
              <w:rPr>
                <w:color w:val="000000"/>
              </w:rPr>
            </w:pPr>
          </w:p>
        </w:tc>
        <w:tc>
          <w:tcPr>
            <w:tcW w:w="650" w:type="dxa"/>
            <w:tcBorders>
              <w:top w:val="single" w:sz="4" w:space="0" w:color="000000"/>
              <w:left w:val="single" w:sz="4" w:space="0" w:color="auto"/>
              <w:bottom w:val="single" w:sz="4" w:space="0" w:color="000000"/>
              <w:right w:val="single" w:sz="4" w:space="0" w:color="000000"/>
            </w:tcBorders>
            <w:shd w:val="clear" w:color="auto" w:fill="auto"/>
          </w:tcPr>
          <w:p w14:paraId="49D04B7D" w14:textId="77777777" w:rsidR="00BE4479" w:rsidRPr="00953F7D" w:rsidRDefault="00BE4479" w:rsidP="009164E6">
            <w:pPr>
              <w:autoSpaceDE w:val="0"/>
              <w:autoSpaceDN w:val="0"/>
              <w:adjustRightInd w:val="0"/>
              <w:spacing w:before="60" w:after="60"/>
              <w:jc w:val="both"/>
              <w:rPr>
                <w:color w:val="000000"/>
              </w:rPr>
            </w:pPr>
            <w:r w:rsidRPr="00953F7D">
              <w:rPr>
                <w:color w:val="000000"/>
              </w:rPr>
              <w:t>(l)</w:t>
            </w:r>
          </w:p>
        </w:tc>
        <w:tc>
          <w:tcPr>
            <w:tcW w:w="5936" w:type="dxa"/>
            <w:tcBorders>
              <w:top w:val="single" w:sz="4" w:space="0" w:color="000000"/>
              <w:left w:val="single" w:sz="4" w:space="0" w:color="000000"/>
              <w:bottom w:val="single" w:sz="4" w:space="0" w:color="000000"/>
              <w:right w:val="single" w:sz="4" w:space="0" w:color="000000"/>
            </w:tcBorders>
          </w:tcPr>
          <w:p w14:paraId="49D04B7E" w14:textId="77777777" w:rsidR="00BE4479" w:rsidRPr="00953F7D" w:rsidRDefault="00BE4479" w:rsidP="00E9482F">
            <w:pPr>
              <w:numPr>
                <w:ilvl w:val="0"/>
                <w:numId w:val="15"/>
              </w:numPr>
              <w:autoSpaceDE w:val="0"/>
              <w:autoSpaceDN w:val="0"/>
              <w:adjustRightInd w:val="0"/>
              <w:spacing w:before="60" w:after="60"/>
              <w:jc w:val="both"/>
              <w:rPr>
                <w:color w:val="000000"/>
              </w:rPr>
            </w:pPr>
            <w:r w:rsidRPr="00953F7D">
              <w:rPr>
                <w:color w:val="000000"/>
              </w:rPr>
              <w:t>Aggregate amount of securitisation exposures and the associated IRB capital charges, broken down between securitisation and resecuritisation exposures and further broken down into a meaningful number of risk-weight bands for the Regulatory Capital approach used;</w:t>
            </w:r>
          </w:p>
          <w:p w14:paraId="49D04B7F" w14:textId="77777777" w:rsidR="00BE4479" w:rsidRPr="00953F7D" w:rsidRDefault="00BE4479" w:rsidP="00662B58">
            <w:pPr>
              <w:numPr>
                <w:ilvl w:val="0"/>
                <w:numId w:val="15"/>
              </w:numPr>
              <w:autoSpaceDE w:val="0"/>
              <w:autoSpaceDN w:val="0"/>
              <w:adjustRightInd w:val="0"/>
              <w:spacing w:before="60" w:after="60"/>
              <w:jc w:val="both"/>
            </w:pPr>
            <w:r w:rsidRPr="00953F7D">
              <w:rPr>
                <w:color w:val="000000"/>
              </w:rPr>
              <w:t>Exposures and credit enhancements that have been deducted entirely from CET1 must be disclosed separately by exposure type</w:t>
            </w:r>
            <w:r w:rsidRPr="00953F7D">
              <w:rPr>
                <w:rStyle w:val="FootnoteReference"/>
                <w:color w:val="000000"/>
              </w:rPr>
              <w:footnoteReference w:id="56"/>
            </w:r>
            <w:r w:rsidRPr="00953F7D">
              <w:rPr>
                <w:color w:val="000000"/>
              </w:rPr>
              <w:t xml:space="preserve">. </w:t>
            </w:r>
          </w:p>
        </w:tc>
      </w:tr>
      <w:tr w:rsidR="00BE4479" w:rsidRPr="00953F7D" w14:paraId="49D04B87" w14:textId="77777777" w:rsidTr="00945F1D">
        <w:trPr>
          <w:trHeight w:val="1274"/>
          <w:jc w:val="center"/>
        </w:trPr>
        <w:tc>
          <w:tcPr>
            <w:tcW w:w="1726" w:type="dxa"/>
            <w:vMerge/>
            <w:tcBorders>
              <w:left w:val="single" w:sz="4" w:space="0" w:color="auto"/>
              <w:right w:val="single" w:sz="4" w:space="0" w:color="auto"/>
            </w:tcBorders>
            <w:shd w:val="clear" w:color="auto" w:fill="auto"/>
          </w:tcPr>
          <w:p w14:paraId="49D04B81" w14:textId="77777777" w:rsidR="00BE4479" w:rsidRPr="00953F7D" w:rsidRDefault="00BE4479" w:rsidP="009164E6">
            <w:pPr>
              <w:autoSpaceDE w:val="0"/>
              <w:autoSpaceDN w:val="0"/>
              <w:adjustRightInd w:val="0"/>
              <w:spacing w:before="60" w:after="60"/>
              <w:jc w:val="both"/>
              <w:rPr>
                <w:color w:val="000000"/>
              </w:rPr>
            </w:pPr>
          </w:p>
        </w:tc>
        <w:tc>
          <w:tcPr>
            <w:tcW w:w="650" w:type="dxa"/>
            <w:tcBorders>
              <w:top w:val="single" w:sz="4" w:space="0" w:color="000000"/>
              <w:left w:val="single" w:sz="4" w:space="0" w:color="auto"/>
              <w:bottom w:val="single" w:sz="4" w:space="0" w:color="000000"/>
              <w:right w:val="single" w:sz="4" w:space="0" w:color="000000"/>
            </w:tcBorders>
            <w:shd w:val="clear" w:color="auto" w:fill="auto"/>
          </w:tcPr>
          <w:p w14:paraId="49D04B82" w14:textId="77777777" w:rsidR="00BE4479" w:rsidRPr="00953F7D" w:rsidRDefault="00BE4479" w:rsidP="009164E6">
            <w:pPr>
              <w:autoSpaceDE w:val="0"/>
              <w:autoSpaceDN w:val="0"/>
              <w:adjustRightInd w:val="0"/>
              <w:spacing w:before="60" w:after="60"/>
              <w:jc w:val="both"/>
              <w:rPr>
                <w:color w:val="000000"/>
              </w:rPr>
            </w:pPr>
            <w:r w:rsidRPr="00953F7D">
              <w:rPr>
                <w:color w:val="000000"/>
              </w:rPr>
              <w:t>(m)</w:t>
            </w:r>
          </w:p>
        </w:tc>
        <w:tc>
          <w:tcPr>
            <w:tcW w:w="5936" w:type="dxa"/>
            <w:tcBorders>
              <w:top w:val="single" w:sz="4" w:space="0" w:color="000000"/>
              <w:left w:val="single" w:sz="4" w:space="0" w:color="000000"/>
              <w:bottom w:val="single" w:sz="4" w:space="0" w:color="000000"/>
              <w:right w:val="single" w:sz="4" w:space="0" w:color="000000"/>
            </w:tcBorders>
          </w:tcPr>
          <w:p w14:paraId="49D04B83" w14:textId="77777777" w:rsidR="00BE4479" w:rsidRPr="00953F7D" w:rsidRDefault="00BE4479" w:rsidP="00410391">
            <w:pPr>
              <w:autoSpaceDE w:val="0"/>
              <w:autoSpaceDN w:val="0"/>
              <w:adjustRightInd w:val="0"/>
              <w:spacing w:before="60" w:after="60"/>
              <w:ind w:left="0" w:firstLine="0"/>
              <w:jc w:val="both"/>
              <w:rPr>
                <w:color w:val="000000"/>
              </w:rPr>
            </w:pPr>
            <w:r w:rsidRPr="00953F7D">
              <w:rPr>
                <w:color w:val="000000"/>
              </w:rPr>
              <w:t>For securitisations subject to the early amortisation treatment, the following items by exposure type for securitised facilities:</w:t>
            </w:r>
          </w:p>
          <w:p w14:paraId="49D04B84" w14:textId="77777777" w:rsidR="00BE4479" w:rsidRPr="00953F7D" w:rsidRDefault="00BE4479" w:rsidP="00E9482F">
            <w:pPr>
              <w:numPr>
                <w:ilvl w:val="0"/>
                <w:numId w:val="8"/>
              </w:numPr>
              <w:autoSpaceDE w:val="0"/>
              <w:autoSpaceDN w:val="0"/>
              <w:adjustRightInd w:val="0"/>
              <w:spacing w:before="60" w:after="60"/>
              <w:jc w:val="both"/>
              <w:rPr>
                <w:color w:val="000000"/>
              </w:rPr>
            </w:pPr>
            <w:r w:rsidRPr="00953F7D">
              <w:rPr>
                <w:color w:val="000000"/>
              </w:rPr>
              <w:t>the aggregate drawn exposures attributed to the seller’s and investors’ interests;</w:t>
            </w:r>
          </w:p>
          <w:p w14:paraId="49D04B85" w14:textId="77777777" w:rsidR="00BE4479" w:rsidRPr="00953F7D" w:rsidRDefault="00BE4479" w:rsidP="00E9482F">
            <w:pPr>
              <w:numPr>
                <w:ilvl w:val="0"/>
                <w:numId w:val="8"/>
              </w:numPr>
              <w:autoSpaceDE w:val="0"/>
              <w:autoSpaceDN w:val="0"/>
              <w:adjustRightInd w:val="0"/>
              <w:spacing w:before="60" w:after="60"/>
              <w:jc w:val="both"/>
              <w:rPr>
                <w:color w:val="000000"/>
              </w:rPr>
            </w:pPr>
            <w:r w:rsidRPr="00953F7D">
              <w:rPr>
                <w:color w:val="000000"/>
              </w:rPr>
              <w:t>the aggregate IRB capital charges incurred by the ADI against its retained (i.e. the seller’s) shares of the drawn balances and undrawn lines; and</w:t>
            </w:r>
          </w:p>
          <w:p w14:paraId="49D04B86" w14:textId="77777777" w:rsidR="00BE4479" w:rsidRPr="00953F7D" w:rsidRDefault="00BE4479" w:rsidP="00E9482F">
            <w:pPr>
              <w:numPr>
                <w:ilvl w:val="0"/>
                <w:numId w:val="8"/>
              </w:numPr>
              <w:autoSpaceDE w:val="0"/>
              <w:autoSpaceDN w:val="0"/>
              <w:adjustRightInd w:val="0"/>
              <w:spacing w:before="60" w:after="60"/>
              <w:jc w:val="both"/>
              <w:rPr>
                <w:color w:val="000000"/>
              </w:rPr>
            </w:pPr>
            <w:r w:rsidRPr="00953F7D">
              <w:rPr>
                <w:color w:val="000000"/>
              </w:rPr>
              <w:t>the aggregate IRB capital charges incurred by the ADI against the investors’ shares of drawn balances and undrawn lines.</w:t>
            </w:r>
          </w:p>
        </w:tc>
      </w:tr>
      <w:tr w:rsidR="00BE4479" w:rsidRPr="00953F7D" w14:paraId="49D04B8D" w14:textId="77777777" w:rsidTr="009C3F64">
        <w:trPr>
          <w:trHeight w:val="307"/>
          <w:jc w:val="center"/>
        </w:trPr>
        <w:tc>
          <w:tcPr>
            <w:tcW w:w="1726" w:type="dxa"/>
            <w:vMerge/>
            <w:tcBorders>
              <w:left w:val="single" w:sz="4" w:space="0" w:color="auto"/>
              <w:bottom w:val="single" w:sz="4" w:space="0" w:color="auto"/>
              <w:right w:val="single" w:sz="4" w:space="0" w:color="auto"/>
            </w:tcBorders>
            <w:shd w:val="clear" w:color="auto" w:fill="auto"/>
          </w:tcPr>
          <w:p w14:paraId="49D04B88" w14:textId="77777777" w:rsidR="00BE4479" w:rsidRPr="00953F7D" w:rsidRDefault="00BE4479" w:rsidP="009164E6">
            <w:pPr>
              <w:autoSpaceDE w:val="0"/>
              <w:autoSpaceDN w:val="0"/>
              <w:adjustRightInd w:val="0"/>
              <w:spacing w:before="60" w:after="60"/>
              <w:jc w:val="both"/>
              <w:rPr>
                <w:color w:val="000000"/>
              </w:rPr>
            </w:pPr>
          </w:p>
        </w:tc>
        <w:tc>
          <w:tcPr>
            <w:tcW w:w="650" w:type="dxa"/>
            <w:tcBorders>
              <w:top w:val="single" w:sz="4" w:space="0" w:color="000000"/>
              <w:left w:val="single" w:sz="4" w:space="0" w:color="auto"/>
              <w:bottom w:val="single" w:sz="4" w:space="0" w:color="000000"/>
              <w:right w:val="single" w:sz="4" w:space="0" w:color="000000"/>
            </w:tcBorders>
            <w:shd w:val="clear" w:color="auto" w:fill="auto"/>
          </w:tcPr>
          <w:p w14:paraId="49D04B89" w14:textId="77777777" w:rsidR="00BE4479" w:rsidRPr="00953F7D" w:rsidRDefault="00BE4479" w:rsidP="009164E6">
            <w:pPr>
              <w:autoSpaceDE w:val="0"/>
              <w:autoSpaceDN w:val="0"/>
              <w:adjustRightInd w:val="0"/>
              <w:spacing w:before="60" w:after="60"/>
              <w:jc w:val="both"/>
              <w:rPr>
                <w:color w:val="000000"/>
              </w:rPr>
            </w:pPr>
            <w:r w:rsidRPr="00953F7D">
              <w:rPr>
                <w:color w:val="000000"/>
              </w:rPr>
              <w:t>(n)</w:t>
            </w:r>
          </w:p>
        </w:tc>
        <w:tc>
          <w:tcPr>
            <w:tcW w:w="5936" w:type="dxa"/>
            <w:tcBorders>
              <w:top w:val="single" w:sz="4" w:space="0" w:color="000000"/>
              <w:left w:val="single" w:sz="4" w:space="0" w:color="000000"/>
              <w:bottom w:val="single" w:sz="4" w:space="0" w:color="000000"/>
              <w:right w:val="single" w:sz="4" w:space="0" w:color="000000"/>
            </w:tcBorders>
          </w:tcPr>
          <w:p w14:paraId="49D04B8A" w14:textId="77777777" w:rsidR="00BE4479" w:rsidRPr="00953F7D" w:rsidRDefault="00BE4479" w:rsidP="001C4F6D">
            <w:pPr>
              <w:keepNext/>
              <w:keepLines/>
              <w:autoSpaceDE w:val="0"/>
              <w:autoSpaceDN w:val="0"/>
              <w:adjustRightInd w:val="0"/>
              <w:spacing w:before="60" w:after="60"/>
              <w:ind w:left="0" w:firstLine="0"/>
              <w:jc w:val="both"/>
              <w:rPr>
                <w:color w:val="000000"/>
              </w:rPr>
            </w:pPr>
            <w:r w:rsidRPr="00953F7D">
              <w:rPr>
                <w:color w:val="000000"/>
              </w:rPr>
              <w:t>Aggregate amount of resecuritisation exposures retained or purchased broken down according to:</w:t>
            </w:r>
          </w:p>
          <w:p w14:paraId="49D04B8B" w14:textId="77777777" w:rsidR="00BE4479" w:rsidRPr="00953F7D" w:rsidRDefault="00BE4479" w:rsidP="00E9482F">
            <w:pPr>
              <w:numPr>
                <w:ilvl w:val="0"/>
                <w:numId w:val="16"/>
              </w:numPr>
              <w:autoSpaceDE w:val="0"/>
              <w:autoSpaceDN w:val="0"/>
              <w:adjustRightInd w:val="0"/>
              <w:spacing w:before="60" w:after="60"/>
              <w:jc w:val="both"/>
              <w:rPr>
                <w:color w:val="000000"/>
              </w:rPr>
            </w:pPr>
            <w:r w:rsidRPr="00953F7D">
              <w:rPr>
                <w:color w:val="000000"/>
              </w:rPr>
              <w:t>exposures to which credit risk mitigation is applied and those not applied; and</w:t>
            </w:r>
          </w:p>
          <w:p w14:paraId="49D04B8C" w14:textId="77777777" w:rsidR="00BE4479" w:rsidRPr="00953F7D" w:rsidRDefault="00BE4479" w:rsidP="00E9482F">
            <w:pPr>
              <w:numPr>
                <w:ilvl w:val="0"/>
                <w:numId w:val="16"/>
              </w:numPr>
              <w:autoSpaceDE w:val="0"/>
              <w:autoSpaceDN w:val="0"/>
              <w:adjustRightInd w:val="0"/>
              <w:spacing w:before="60" w:after="60"/>
              <w:jc w:val="both"/>
              <w:rPr>
                <w:color w:val="000000"/>
              </w:rPr>
            </w:pPr>
            <w:r w:rsidRPr="00953F7D">
              <w:rPr>
                <w:color w:val="000000"/>
              </w:rPr>
              <w:t>exposures to guarantors broken down according to guarantor creditworthiness categories or guarantor name.</w:t>
            </w:r>
          </w:p>
        </w:tc>
      </w:tr>
      <w:tr w:rsidR="00BE4479" w:rsidRPr="00953F7D" w14:paraId="49D04B91" w14:textId="77777777" w:rsidTr="00945F1D">
        <w:trPr>
          <w:trHeight w:val="301"/>
          <w:jc w:val="center"/>
        </w:trPr>
        <w:tc>
          <w:tcPr>
            <w:tcW w:w="1726" w:type="dxa"/>
            <w:vMerge w:val="restart"/>
            <w:tcBorders>
              <w:top w:val="single" w:sz="4" w:space="0" w:color="auto"/>
              <w:left w:val="single" w:sz="4" w:space="0" w:color="auto"/>
              <w:right w:val="single" w:sz="4" w:space="0" w:color="auto"/>
            </w:tcBorders>
            <w:shd w:val="clear" w:color="auto" w:fill="auto"/>
          </w:tcPr>
          <w:p w14:paraId="49D04B8E" w14:textId="77777777" w:rsidR="00BE4479" w:rsidRPr="00953F7D" w:rsidRDefault="00BE4479" w:rsidP="005F4B4B">
            <w:pPr>
              <w:autoSpaceDE w:val="0"/>
              <w:autoSpaceDN w:val="0"/>
              <w:adjustRightInd w:val="0"/>
              <w:spacing w:before="60" w:after="60"/>
              <w:ind w:left="0" w:firstLine="0"/>
              <w:jc w:val="both"/>
              <w:rPr>
                <w:color w:val="000000"/>
              </w:rPr>
            </w:pPr>
            <w:r w:rsidRPr="00953F7D">
              <w:rPr>
                <w:b/>
                <w:bCs/>
                <w:color w:val="000000"/>
              </w:rPr>
              <w:t>Quantitative disclosures: Trading book</w:t>
            </w:r>
          </w:p>
        </w:tc>
        <w:tc>
          <w:tcPr>
            <w:tcW w:w="650" w:type="dxa"/>
            <w:tcBorders>
              <w:top w:val="single" w:sz="4" w:space="0" w:color="000000"/>
              <w:left w:val="single" w:sz="4" w:space="0" w:color="auto"/>
              <w:bottom w:val="single" w:sz="4" w:space="0" w:color="000000"/>
              <w:right w:val="single" w:sz="4" w:space="0" w:color="000000"/>
            </w:tcBorders>
            <w:shd w:val="clear" w:color="auto" w:fill="auto"/>
          </w:tcPr>
          <w:p w14:paraId="49D04B8F" w14:textId="77777777" w:rsidR="00BE4479" w:rsidRPr="00953F7D" w:rsidRDefault="00BE4479" w:rsidP="009164E6">
            <w:pPr>
              <w:autoSpaceDE w:val="0"/>
              <w:autoSpaceDN w:val="0"/>
              <w:adjustRightInd w:val="0"/>
              <w:spacing w:before="60" w:after="60"/>
              <w:jc w:val="both"/>
              <w:rPr>
                <w:color w:val="000000"/>
              </w:rPr>
            </w:pPr>
            <w:r w:rsidRPr="00953F7D">
              <w:rPr>
                <w:color w:val="000000"/>
              </w:rPr>
              <w:t>(o)</w:t>
            </w:r>
          </w:p>
        </w:tc>
        <w:tc>
          <w:tcPr>
            <w:tcW w:w="5936" w:type="dxa"/>
            <w:tcBorders>
              <w:top w:val="single" w:sz="4" w:space="0" w:color="000000"/>
              <w:left w:val="single" w:sz="4" w:space="0" w:color="000000"/>
              <w:bottom w:val="single" w:sz="4" w:space="0" w:color="000000"/>
              <w:right w:val="single" w:sz="4" w:space="0" w:color="000000"/>
            </w:tcBorders>
          </w:tcPr>
          <w:p w14:paraId="49D04B90" w14:textId="77777777" w:rsidR="00BE4479" w:rsidRPr="00953F7D" w:rsidRDefault="00BE4479" w:rsidP="001C4F6D">
            <w:pPr>
              <w:keepNext/>
              <w:keepLines/>
              <w:autoSpaceDE w:val="0"/>
              <w:autoSpaceDN w:val="0"/>
              <w:adjustRightInd w:val="0"/>
              <w:spacing w:before="60" w:after="60"/>
              <w:ind w:left="0" w:firstLine="0"/>
              <w:jc w:val="both"/>
              <w:rPr>
                <w:color w:val="000000"/>
              </w:rPr>
            </w:pPr>
            <w:r w:rsidRPr="00953F7D">
              <w:rPr>
                <w:color w:val="000000"/>
              </w:rPr>
              <w:t>The total amount of outstanding exposures securitised by the ADI (broken down into traditional/synthetic) by exposure type, separately for securitisations of third-party exposures for which the bank acts only as sponsor.</w:t>
            </w:r>
          </w:p>
        </w:tc>
      </w:tr>
      <w:tr w:rsidR="00BE4479" w:rsidRPr="00953F7D" w14:paraId="49D04B95" w14:textId="77777777" w:rsidTr="00945F1D">
        <w:trPr>
          <w:trHeight w:val="301"/>
          <w:jc w:val="center"/>
        </w:trPr>
        <w:tc>
          <w:tcPr>
            <w:tcW w:w="1726" w:type="dxa"/>
            <w:vMerge/>
            <w:tcBorders>
              <w:left w:val="single" w:sz="4" w:space="0" w:color="auto"/>
              <w:bottom w:val="single" w:sz="4" w:space="0" w:color="auto"/>
              <w:right w:val="single" w:sz="4" w:space="0" w:color="auto"/>
            </w:tcBorders>
            <w:shd w:val="clear" w:color="auto" w:fill="auto"/>
          </w:tcPr>
          <w:p w14:paraId="49D04B92" w14:textId="77777777" w:rsidR="00BE4479" w:rsidRPr="00953F7D" w:rsidRDefault="00BE4479" w:rsidP="009164E6">
            <w:pPr>
              <w:autoSpaceDE w:val="0"/>
              <w:autoSpaceDN w:val="0"/>
              <w:adjustRightInd w:val="0"/>
              <w:spacing w:before="60" w:after="60"/>
              <w:jc w:val="both"/>
              <w:rPr>
                <w:color w:val="000000"/>
              </w:rPr>
            </w:pPr>
          </w:p>
        </w:tc>
        <w:tc>
          <w:tcPr>
            <w:tcW w:w="650" w:type="dxa"/>
            <w:tcBorders>
              <w:top w:val="single" w:sz="4" w:space="0" w:color="000000"/>
              <w:left w:val="single" w:sz="4" w:space="0" w:color="auto"/>
              <w:bottom w:val="single" w:sz="4" w:space="0" w:color="000000"/>
              <w:right w:val="single" w:sz="4" w:space="0" w:color="000000"/>
            </w:tcBorders>
            <w:shd w:val="clear" w:color="auto" w:fill="auto"/>
          </w:tcPr>
          <w:p w14:paraId="49D04B93" w14:textId="77777777" w:rsidR="00BE4479" w:rsidRPr="00953F7D" w:rsidRDefault="00BE4479" w:rsidP="009164E6">
            <w:pPr>
              <w:autoSpaceDE w:val="0"/>
              <w:autoSpaceDN w:val="0"/>
              <w:adjustRightInd w:val="0"/>
              <w:spacing w:before="60" w:after="60"/>
              <w:jc w:val="both"/>
              <w:rPr>
                <w:color w:val="000000"/>
              </w:rPr>
            </w:pPr>
            <w:r w:rsidRPr="00953F7D">
              <w:rPr>
                <w:color w:val="000000"/>
              </w:rPr>
              <w:t>(p)</w:t>
            </w:r>
          </w:p>
        </w:tc>
        <w:tc>
          <w:tcPr>
            <w:tcW w:w="5936" w:type="dxa"/>
            <w:tcBorders>
              <w:top w:val="single" w:sz="4" w:space="0" w:color="000000"/>
              <w:left w:val="single" w:sz="4" w:space="0" w:color="000000"/>
              <w:bottom w:val="single" w:sz="4" w:space="0" w:color="000000"/>
              <w:right w:val="single" w:sz="4" w:space="0" w:color="000000"/>
            </w:tcBorders>
          </w:tcPr>
          <w:p w14:paraId="49D04B94" w14:textId="77777777" w:rsidR="00BE4479" w:rsidRPr="00953F7D" w:rsidRDefault="00BE4479" w:rsidP="001C4F6D">
            <w:pPr>
              <w:keepNext/>
              <w:keepLines/>
              <w:autoSpaceDE w:val="0"/>
              <w:autoSpaceDN w:val="0"/>
              <w:adjustRightInd w:val="0"/>
              <w:spacing w:before="60" w:after="60"/>
              <w:ind w:left="0" w:firstLine="0"/>
              <w:jc w:val="both"/>
              <w:rPr>
                <w:color w:val="000000"/>
              </w:rPr>
            </w:pPr>
            <w:r w:rsidRPr="00953F7D">
              <w:rPr>
                <w:color w:val="000000"/>
              </w:rPr>
              <w:t>The total amount of outstanding exposures intended to be securitised broken down by exposure type.</w:t>
            </w:r>
          </w:p>
        </w:tc>
      </w:tr>
      <w:tr w:rsidR="00A86BBE" w:rsidRPr="00953F7D" w14:paraId="49D04B99" w14:textId="77777777" w:rsidTr="00945F1D">
        <w:trPr>
          <w:trHeight w:val="301"/>
          <w:jc w:val="center"/>
        </w:trPr>
        <w:tc>
          <w:tcPr>
            <w:tcW w:w="1726" w:type="dxa"/>
            <w:vMerge w:val="restart"/>
            <w:tcBorders>
              <w:top w:val="single" w:sz="4" w:space="0" w:color="auto"/>
              <w:left w:val="single" w:sz="4" w:space="0" w:color="auto"/>
              <w:right w:val="single" w:sz="4" w:space="0" w:color="auto"/>
            </w:tcBorders>
            <w:shd w:val="clear" w:color="auto" w:fill="auto"/>
          </w:tcPr>
          <w:p w14:paraId="49D04B96" w14:textId="77777777" w:rsidR="00A86BBE" w:rsidRPr="00953F7D" w:rsidRDefault="00A86BBE" w:rsidP="009164E6">
            <w:pPr>
              <w:autoSpaceDE w:val="0"/>
              <w:autoSpaceDN w:val="0"/>
              <w:adjustRightInd w:val="0"/>
              <w:spacing w:before="60" w:after="60"/>
              <w:jc w:val="both"/>
              <w:rPr>
                <w:color w:val="000000"/>
              </w:rPr>
            </w:pPr>
          </w:p>
        </w:tc>
        <w:tc>
          <w:tcPr>
            <w:tcW w:w="650" w:type="dxa"/>
            <w:tcBorders>
              <w:top w:val="single" w:sz="4" w:space="0" w:color="000000"/>
              <w:left w:val="single" w:sz="4" w:space="0" w:color="auto"/>
              <w:bottom w:val="single" w:sz="4" w:space="0" w:color="000000"/>
              <w:right w:val="single" w:sz="4" w:space="0" w:color="000000"/>
            </w:tcBorders>
            <w:shd w:val="clear" w:color="auto" w:fill="auto"/>
          </w:tcPr>
          <w:p w14:paraId="49D04B97" w14:textId="77777777" w:rsidR="00A86BBE" w:rsidRPr="00953F7D" w:rsidRDefault="00A86BBE" w:rsidP="009164E6">
            <w:pPr>
              <w:autoSpaceDE w:val="0"/>
              <w:autoSpaceDN w:val="0"/>
              <w:adjustRightInd w:val="0"/>
              <w:spacing w:before="60" w:after="60"/>
              <w:jc w:val="both"/>
              <w:rPr>
                <w:color w:val="000000"/>
              </w:rPr>
            </w:pPr>
            <w:r w:rsidRPr="00953F7D">
              <w:rPr>
                <w:color w:val="000000"/>
              </w:rPr>
              <w:t>(q)</w:t>
            </w:r>
          </w:p>
        </w:tc>
        <w:tc>
          <w:tcPr>
            <w:tcW w:w="5936" w:type="dxa"/>
            <w:tcBorders>
              <w:top w:val="single" w:sz="4" w:space="0" w:color="000000"/>
              <w:left w:val="single" w:sz="4" w:space="0" w:color="000000"/>
              <w:bottom w:val="single" w:sz="4" w:space="0" w:color="000000"/>
              <w:right w:val="single" w:sz="4" w:space="0" w:color="000000"/>
            </w:tcBorders>
          </w:tcPr>
          <w:p w14:paraId="49D04B98" w14:textId="77777777" w:rsidR="00A86BBE" w:rsidRPr="00953F7D" w:rsidRDefault="00A86BBE" w:rsidP="001C4F6D">
            <w:pPr>
              <w:keepNext/>
              <w:keepLines/>
              <w:autoSpaceDE w:val="0"/>
              <w:autoSpaceDN w:val="0"/>
              <w:adjustRightInd w:val="0"/>
              <w:spacing w:before="60" w:after="60"/>
              <w:ind w:left="0" w:firstLine="0"/>
              <w:jc w:val="both"/>
              <w:rPr>
                <w:color w:val="000000"/>
              </w:rPr>
            </w:pPr>
            <w:r w:rsidRPr="00953F7D">
              <w:rPr>
                <w:color w:val="000000"/>
              </w:rPr>
              <w:t>Summary of current period’s securitisation activity, including the total amount of exposures securitised (by exposure type) and recognised gain or loss on sale by exposure type.</w:t>
            </w:r>
          </w:p>
        </w:tc>
      </w:tr>
      <w:tr w:rsidR="00A86BBE" w:rsidRPr="00953F7D" w14:paraId="49D04B9D" w14:textId="77777777" w:rsidTr="00945F1D">
        <w:trPr>
          <w:trHeight w:val="301"/>
          <w:jc w:val="center"/>
        </w:trPr>
        <w:tc>
          <w:tcPr>
            <w:tcW w:w="1726" w:type="dxa"/>
            <w:vMerge/>
            <w:tcBorders>
              <w:left w:val="single" w:sz="4" w:space="0" w:color="auto"/>
              <w:right w:val="single" w:sz="4" w:space="0" w:color="auto"/>
            </w:tcBorders>
            <w:shd w:val="clear" w:color="auto" w:fill="auto"/>
          </w:tcPr>
          <w:p w14:paraId="49D04B9A" w14:textId="77777777" w:rsidR="00A86BBE" w:rsidRPr="00953F7D" w:rsidRDefault="00A86BBE" w:rsidP="009164E6">
            <w:pPr>
              <w:autoSpaceDE w:val="0"/>
              <w:autoSpaceDN w:val="0"/>
              <w:adjustRightInd w:val="0"/>
              <w:spacing w:before="60" w:after="60"/>
              <w:jc w:val="both"/>
              <w:rPr>
                <w:color w:val="000000"/>
              </w:rPr>
            </w:pPr>
          </w:p>
        </w:tc>
        <w:tc>
          <w:tcPr>
            <w:tcW w:w="650" w:type="dxa"/>
            <w:tcBorders>
              <w:top w:val="single" w:sz="4" w:space="0" w:color="000000"/>
              <w:left w:val="single" w:sz="4" w:space="0" w:color="auto"/>
              <w:bottom w:val="single" w:sz="4" w:space="0" w:color="000000"/>
              <w:right w:val="single" w:sz="4" w:space="0" w:color="000000"/>
            </w:tcBorders>
            <w:shd w:val="clear" w:color="auto" w:fill="auto"/>
          </w:tcPr>
          <w:p w14:paraId="49D04B9B" w14:textId="77777777" w:rsidR="00A86BBE" w:rsidRPr="00953F7D" w:rsidRDefault="00A86BBE" w:rsidP="009164E6">
            <w:pPr>
              <w:autoSpaceDE w:val="0"/>
              <w:autoSpaceDN w:val="0"/>
              <w:adjustRightInd w:val="0"/>
              <w:spacing w:before="60" w:after="60"/>
              <w:jc w:val="both"/>
              <w:rPr>
                <w:color w:val="000000"/>
              </w:rPr>
            </w:pPr>
            <w:r w:rsidRPr="00953F7D">
              <w:rPr>
                <w:color w:val="000000"/>
              </w:rPr>
              <w:t>(r)</w:t>
            </w:r>
          </w:p>
        </w:tc>
        <w:tc>
          <w:tcPr>
            <w:tcW w:w="5936" w:type="dxa"/>
            <w:tcBorders>
              <w:top w:val="single" w:sz="4" w:space="0" w:color="000000"/>
              <w:left w:val="single" w:sz="4" w:space="0" w:color="000000"/>
              <w:bottom w:val="single" w:sz="4" w:space="0" w:color="000000"/>
              <w:right w:val="single" w:sz="4" w:space="0" w:color="000000"/>
            </w:tcBorders>
          </w:tcPr>
          <w:p w14:paraId="49D04B9C" w14:textId="77777777" w:rsidR="00A86BBE" w:rsidRPr="00953F7D" w:rsidRDefault="00A86BBE" w:rsidP="001C4F6D">
            <w:pPr>
              <w:autoSpaceDE w:val="0"/>
              <w:autoSpaceDN w:val="0"/>
              <w:adjustRightInd w:val="0"/>
              <w:spacing w:before="60" w:after="60"/>
              <w:ind w:left="0" w:firstLine="0"/>
              <w:jc w:val="both"/>
              <w:rPr>
                <w:color w:val="000000"/>
              </w:rPr>
            </w:pPr>
            <w:r w:rsidRPr="00953F7D">
              <w:rPr>
                <w:color w:val="000000"/>
              </w:rPr>
              <w:t xml:space="preserve">Aggregate amount of exposures securitised by the ADI and subject to </w:t>
            </w:r>
            <w:r w:rsidRPr="00953F7D">
              <w:rPr>
                <w:i/>
                <w:color w:val="000000"/>
              </w:rPr>
              <w:t>Prudential Standard APS 116 Capital Adequacy: Market Risk</w:t>
            </w:r>
            <w:r w:rsidRPr="00953F7D">
              <w:rPr>
                <w:color w:val="000000"/>
              </w:rPr>
              <w:t xml:space="preserve"> (APS 116) (standard method and IMA); (broken down into traditional/synthetic), by exposure type.</w:t>
            </w:r>
          </w:p>
        </w:tc>
      </w:tr>
      <w:tr w:rsidR="00A86BBE" w:rsidRPr="00953F7D" w14:paraId="49D04BA3" w14:textId="77777777" w:rsidTr="00945F1D">
        <w:trPr>
          <w:trHeight w:val="301"/>
          <w:jc w:val="center"/>
        </w:trPr>
        <w:tc>
          <w:tcPr>
            <w:tcW w:w="1726" w:type="dxa"/>
            <w:vMerge/>
            <w:tcBorders>
              <w:left w:val="single" w:sz="4" w:space="0" w:color="auto"/>
              <w:right w:val="single" w:sz="4" w:space="0" w:color="auto"/>
            </w:tcBorders>
            <w:shd w:val="clear" w:color="auto" w:fill="auto"/>
          </w:tcPr>
          <w:p w14:paraId="49D04B9E" w14:textId="77777777" w:rsidR="00A86BBE" w:rsidRPr="00953F7D" w:rsidRDefault="00A86BBE" w:rsidP="009C3F64">
            <w:pPr>
              <w:autoSpaceDE w:val="0"/>
              <w:autoSpaceDN w:val="0"/>
              <w:adjustRightInd w:val="0"/>
              <w:spacing w:before="60" w:after="60"/>
              <w:ind w:left="0" w:firstLine="0"/>
              <w:jc w:val="both"/>
              <w:rPr>
                <w:color w:val="000000"/>
              </w:rPr>
            </w:pPr>
          </w:p>
        </w:tc>
        <w:tc>
          <w:tcPr>
            <w:tcW w:w="650" w:type="dxa"/>
            <w:tcBorders>
              <w:top w:val="single" w:sz="4" w:space="0" w:color="000000"/>
              <w:left w:val="single" w:sz="4" w:space="0" w:color="auto"/>
              <w:bottom w:val="single" w:sz="4" w:space="0" w:color="000000"/>
              <w:right w:val="single" w:sz="4" w:space="0" w:color="000000"/>
            </w:tcBorders>
            <w:shd w:val="clear" w:color="auto" w:fill="auto"/>
          </w:tcPr>
          <w:p w14:paraId="49D04B9F" w14:textId="77777777" w:rsidR="00A86BBE" w:rsidRPr="00953F7D" w:rsidRDefault="00A86BBE" w:rsidP="009164E6">
            <w:pPr>
              <w:autoSpaceDE w:val="0"/>
              <w:autoSpaceDN w:val="0"/>
              <w:adjustRightInd w:val="0"/>
              <w:spacing w:before="60" w:after="60"/>
              <w:jc w:val="both"/>
              <w:rPr>
                <w:color w:val="000000"/>
              </w:rPr>
            </w:pPr>
            <w:r w:rsidRPr="00953F7D">
              <w:rPr>
                <w:color w:val="000000"/>
              </w:rPr>
              <w:t>(s)</w:t>
            </w:r>
          </w:p>
        </w:tc>
        <w:tc>
          <w:tcPr>
            <w:tcW w:w="5936" w:type="dxa"/>
            <w:tcBorders>
              <w:top w:val="single" w:sz="4" w:space="0" w:color="000000"/>
              <w:left w:val="single" w:sz="4" w:space="0" w:color="000000"/>
              <w:bottom w:val="single" w:sz="4" w:space="0" w:color="000000"/>
              <w:right w:val="single" w:sz="4" w:space="0" w:color="000000"/>
            </w:tcBorders>
          </w:tcPr>
          <w:p w14:paraId="49D04BA0" w14:textId="77777777" w:rsidR="00A86BBE" w:rsidRPr="00953F7D" w:rsidRDefault="00A86BBE" w:rsidP="009164E6">
            <w:pPr>
              <w:autoSpaceDE w:val="0"/>
              <w:autoSpaceDN w:val="0"/>
              <w:adjustRightInd w:val="0"/>
              <w:spacing w:before="60" w:after="60"/>
              <w:jc w:val="both"/>
              <w:rPr>
                <w:color w:val="000000"/>
              </w:rPr>
            </w:pPr>
            <w:r w:rsidRPr="00953F7D">
              <w:rPr>
                <w:color w:val="000000"/>
              </w:rPr>
              <w:t>Aggregate amount of:</w:t>
            </w:r>
          </w:p>
          <w:p w14:paraId="49D04BA1" w14:textId="77777777" w:rsidR="00A86BBE" w:rsidRPr="00953F7D" w:rsidRDefault="00A86BBE" w:rsidP="00E9482F">
            <w:pPr>
              <w:numPr>
                <w:ilvl w:val="0"/>
                <w:numId w:val="24"/>
              </w:numPr>
              <w:autoSpaceDE w:val="0"/>
              <w:autoSpaceDN w:val="0"/>
              <w:adjustRightInd w:val="0"/>
              <w:spacing w:before="60" w:after="60"/>
              <w:jc w:val="both"/>
              <w:rPr>
                <w:color w:val="000000"/>
              </w:rPr>
            </w:pPr>
            <w:r w:rsidRPr="00953F7D">
              <w:rPr>
                <w:color w:val="000000"/>
              </w:rPr>
              <w:t>on-balance sheet securitisation exposures retained or purchased broken down by exposure type; and</w:t>
            </w:r>
          </w:p>
          <w:p w14:paraId="49D04BA2" w14:textId="77777777" w:rsidR="00A86BBE" w:rsidRPr="00953F7D" w:rsidRDefault="00A86BBE" w:rsidP="00E9482F">
            <w:pPr>
              <w:numPr>
                <w:ilvl w:val="0"/>
                <w:numId w:val="24"/>
              </w:numPr>
              <w:autoSpaceDE w:val="0"/>
              <w:autoSpaceDN w:val="0"/>
              <w:adjustRightInd w:val="0"/>
              <w:spacing w:before="60" w:after="60"/>
              <w:jc w:val="both"/>
              <w:rPr>
                <w:color w:val="000000"/>
              </w:rPr>
            </w:pPr>
            <w:r w:rsidRPr="00953F7D">
              <w:rPr>
                <w:color w:val="000000"/>
              </w:rPr>
              <w:t>off-balance sheet securitisation exposures broken down by exposure type.</w:t>
            </w:r>
          </w:p>
        </w:tc>
      </w:tr>
      <w:tr w:rsidR="00A86BBE" w:rsidRPr="00953F7D" w14:paraId="49D04BA9" w14:textId="77777777" w:rsidTr="00945F1D">
        <w:trPr>
          <w:trHeight w:val="301"/>
          <w:jc w:val="center"/>
        </w:trPr>
        <w:tc>
          <w:tcPr>
            <w:tcW w:w="1726" w:type="dxa"/>
            <w:vMerge/>
            <w:tcBorders>
              <w:left w:val="single" w:sz="4" w:space="0" w:color="auto"/>
              <w:right w:val="single" w:sz="4" w:space="0" w:color="auto"/>
            </w:tcBorders>
            <w:shd w:val="clear" w:color="auto" w:fill="auto"/>
          </w:tcPr>
          <w:p w14:paraId="49D04BA4" w14:textId="77777777" w:rsidR="00A86BBE" w:rsidRPr="00953F7D" w:rsidRDefault="00A86BBE" w:rsidP="009164E6">
            <w:pPr>
              <w:autoSpaceDE w:val="0"/>
              <w:autoSpaceDN w:val="0"/>
              <w:adjustRightInd w:val="0"/>
              <w:spacing w:before="60" w:after="60"/>
              <w:jc w:val="both"/>
              <w:rPr>
                <w:color w:val="000000"/>
              </w:rPr>
            </w:pPr>
          </w:p>
        </w:tc>
        <w:tc>
          <w:tcPr>
            <w:tcW w:w="650" w:type="dxa"/>
            <w:tcBorders>
              <w:top w:val="single" w:sz="4" w:space="0" w:color="000000"/>
              <w:left w:val="single" w:sz="4" w:space="0" w:color="auto"/>
              <w:bottom w:val="single" w:sz="4" w:space="0" w:color="000000"/>
              <w:right w:val="single" w:sz="4" w:space="0" w:color="000000"/>
            </w:tcBorders>
            <w:shd w:val="clear" w:color="auto" w:fill="auto"/>
          </w:tcPr>
          <w:p w14:paraId="49D04BA5" w14:textId="77777777" w:rsidR="00A86BBE" w:rsidRPr="00953F7D" w:rsidRDefault="00A86BBE" w:rsidP="009164E6">
            <w:pPr>
              <w:autoSpaceDE w:val="0"/>
              <w:autoSpaceDN w:val="0"/>
              <w:adjustRightInd w:val="0"/>
              <w:spacing w:before="60" w:after="60"/>
              <w:jc w:val="both"/>
              <w:rPr>
                <w:color w:val="000000"/>
              </w:rPr>
            </w:pPr>
            <w:r w:rsidRPr="00953F7D">
              <w:rPr>
                <w:color w:val="000000"/>
              </w:rPr>
              <w:t>(t)</w:t>
            </w:r>
          </w:p>
        </w:tc>
        <w:tc>
          <w:tcPr>
            <w:tcW w:w="5936" w:type="dxa"/>
            <w:tcBorders>
              <w:top w:val="single" w:sz="4" w:space="0" w:color="000000"/>
              <w:left w:val="single" w:sz="4" w:space="0" w:color="000000"/>
              <w:bottom w:val="single" w:sz="4" w:space="0" w:color="000000"/>
              <w:right w:val="single" w:sz="4" w:space="0" w:color="000000"/>
            </w:tcBorders>
          </w:tcPr>
          <w:p w14:paraId="49D04BA6" w14:textId="77777777" w:rsidR="00A86BBE" w:rsidRPr="00953F7D" w:rsidRDefault="00A86BBE" w:rsidP="001C4F6D">
            <w:pPr>
              <w:autoSpaceDE w:val="0"/>
              <w:autoSpaceDN w:val="0"/>
              <w:adjustRightInd w:val="0"/>
              <w:spacing w:before="60" w:after="60"/>
              <w:ind w:left="0" w:firstLine="0"/>
              <w:jc w:val="both"/>
              <w:rPr>
                <w:color w:val="000000"/>
              </w:rPr>
            </w:pPr>
            <w:r w:rsidRPr="00953F7D">
              <w:rPr>
                <w:color w:val="000000"/>
              </w:rPr>
              <w:t>Aggregate amount of securitisation exposures retained or purchased separately for:</w:t>
            </w:r>
          </w:p>
          <w:p w14:paraId="49D04BA7" w14:textId="77777777" w:rsidR="00A86BBE" w:rsidRPr="00953F7D" w:rsidRDefault="00A86BBE" w:rsidP="00E9482F">
            <w:pPr>
              <w:numPr>
                <w:ilvl w:val="0"/>
                <w:numId w:val="21"/>
              </w:numPr>
              <w:autoSpaceDE w:val="0"/>
              <w:autoSpaceDN w:val="0"/>
              <w:adjustRightInd w:val="0"/>
              <w:spacing w:before="60" w:after="60"/>
              <w:jc w:val="both"/>
              <w:rPr>
                <w:color w:val="000000"/>
              </w:rPr>
            </w:pPr>
            <w:r w:rsidRPr="00953F7D">
              <w:rPr>
                <w:color w:val="000000"/>
              </w:rPr>
              <w:t xml:space="preserve">securitisation exposures retained or purchased subject to IMA for specific risk; and </w:t>
            </w:r>
          </w:p>
          <w:p w14:paraId="49D04BA8" w14:textId="77777777" w:rsidR="00A86BBE" w:rsidRPr="00953F7D" w:rsidRDefault="00A86BBE" w:rsidP="00E9482F">
            <w:pPr>
              <w:numPr>
                <w:ilvl w:val="0"/>
                <w:numId w:val="21"/>
              </w:numPr>
              <w:autoSpaceDE w:val="0"/>
              <w:autoSpaceDN w:val="0"/>
              <w:adjustRightInd w:val="0"/>
              <w:spacing w:before="60" w:after="60"/>
              <w:jc w:val="both"/>
              <w:rPr>
                <w:color w:val="000000"/>
              </w:rPr>
            </w:pPr>
            <w:r w:rsidRPr="00953F7D">
              <w:rPr>
                <w:color w:val="000000"/>
              </w:rPr>
              <w:t>securitisation exposures subject to APS 120 for specific risk broken down into a meaningful number of risk weight bands for each Regulatory Capital approach.</w:t>
            </w:r>
          </w:p>
        </w:tc>
      </w:tr>
      <w:tr w:rsidR="00A86BBE" w:rsidRPr="00953F7D" w14:paraId="49D04BB0" w14:textId="77777777" w:rsidTr="00945F1D">
        <w:trPr>
          <w:trHeight w:val="301"/>
          <w:jc w:val="center"/>
        </w:trPr>
        <w:tc>
          <w:tcPr>
            <w:tcW w:w="1726" w:type="dxa"/>
            <w:vMerge/>
            <w:tcBorders>
              <w:left w:val="single" w:sz="4" w:space="0" w:color="auto"/>
              <w:bottom w:val="single" w:sz="4" w:space="0" w:color="auto"/>
              <w:right w:val="single" w:sz="4" w:space="0" w:color="auto"/>
            </w:tcBorders>
            <w:shd w:val="clear" w:color="auto" w:fill="auto"/>
          </w:tcPr>
          <w:p w14:paraId="49D04BAA" w14:textId="77777777" w:rsidR="00A86BBE" w:rsidRPr="00953F7D" w:rsidRDefault="00A86BBE" w:rsidP="009164E6">
            <w:pPr>
              <w:autoSpaceDE w:val="0"/>
              <w:autoSpaceDN w:val="0"/>
              <w:adjustRightInd w:val="0"/>
              <w:spacing w:before="60" w:after="60"/>
              <w:jc w:val="both"/>
              <w:rPr>
                <w:color w:val="000000"/>
              </w:rPr>
            </w:pPr>
          </w:p>
        </w:tc>
        <w:tc>
          <w:tcPr>
            <w:tcW w:w="650" w:type="dxa"/>
            <w:tcBorders>
              <w:top w:val="single" w:sz="4" w:space="0" w:color="000000"/>
              <w:left w:val="single" w:sz="4" w:space="0" w:color="auto"/>
              <w:bottom w:val="single" w:sz="4" w:space="0" w:color="000000"/>
              <w:right w:val="single" w:sz="4" w:space="0" w:color="000000"/>
            </w:tcBorders>
            <w:shd w:val="clear" w:color="auto" w:fill="auto"/>
          </w:tcPr>
          <w:p w14:paraId="49D04BAB" w14:textId="77777777" w:rsidR="00A86BBE" w:rsidRPr="00953F7D" w:rsidRDefault="00A86BBE" w:rsidP="009164E6">
            <w:pPr>
              <w:autoSpaceDE w:val="0"/>
              <w:autoSpaceDN w:val="0"/>
              <w:adjustRightInd w:val="0"/>
              <w:spacing w:before="60" w:after="60"/>
              <w:jc w:val="both"/>
              <w:rPr>
                <w:color w:val="000000"/>
              </w:rPr>
            </w:pPr>
            <w:r w:rsidRPr="00953F7D">
              <w:rPr>
                <w:color w:val="000000"/>
              </w:rPr>
              <w:t>(u)</w:t>
            </w:r>
          </w:p>
        </w:tc>
        <w:tc>
          <w:tcPr>
            <w:tcW w:w="5936" w:type="dxa"/>
            <w:tcBorders>
              <w:top w:val="single" w:sz="4" w:space="0" w:color="000000"/>
              <w:left w:val="single" w:sz="4" w:space="0" w:color="000000"/>
              <w:bottom w:val="single" w:sz="4" w:space="0" w:color="000000"/>
              <w:right w:val="single" w:sz="4" w:space="0" w:color="000000"/>
            </w:tcBorders>
          </w:tcPr>
          <w:p w14:paraId="49D04BAC" w14:textId="77777777" w:rsidR="00A86BBE" w:rsidRPr="00953F7D" w:rsidRDefault="00A86BBE" w:rsidP="009164E6">
            <w:pPr>
              <w:autoSpaceDE w:val="0"/>
              <w:autoSpaceDN w:val="0"/>
              <w:adjustRightInd w:val="0"/>
              <w:spacing w:before="60" w:after="60"/>
              <w:jc w:val="both"/>
              <w:rPr>
                <w:color w:val="000000"/>
              </w:rPr>
            </w:pPr>
            <w:r w:rsidRPr="00953F7D">
              <w:rPr>
                <w:color w:val="000000"/>
              </w:rPr>
              <w:t>Aggregate amount of:</w:t>
            </w:r>
          </w:p>
          <w:p w14:paraId="49D04BAD" w14:textId="77777777" w:rsidR="00A86BBE" w:rsidRPr="00953F7D" w:rsidRDefault="00A86BBE" w:rsidP="00E9482F">
            <w:pPr>
              <w:numPr>
                <w:ilvl w:val="0"/>
                <w:numId w:val="20"/>
              </w:numPr>
              <w:autoSpaceDE w:val="0"/>
              <w:autoSpaceDN w:val="0"/>
              <w:adjustRightInd w:val="0"/>
              <w:spacing w:before="60" w:after="60"/>
              <w:jc w:val="both"/>
              <w:rPr>
                <w:color w:val="000000"/>
              </w:rPr>
            </w:pPr>
            <w:r w:rsidRPr="00953F7D">
              <w:rPr>
                <w:color w:val="000000"/>
              </w:rPr>
              <w:t>the capital requirements for these securitisation exposures subject to IMA broken down into appropriate risk classifications (e.g. default risk, migration risk and correlation risk);</w:t>
            </w:r>
          </w:p>
          <w:p w14:paraId="49D04BAE" w14:textId="77777777" w:rsidR="00A86BBE" w:rsidRPr="00953F7D" w:rsidRDefault="00A86BBE" w:rsidP="00E9482F">
            <w:pPr>
              <w:numPr>
                <w:ilvl w:val="0"/>
                <w:numId w:val="19"/>
              </w:numPr>
              <w:autoSpaceDE w:val="0"/>
              <w:autoSpaceDN w:val="0"/>
              <w:adjustRightInd w:val="0"/>
              <w:spacing w:before="60" w:after="60"/>
              <w:jc w:val="both"/>
              <w:rPr>
                <w:color w:val="000000"/>
              </w:rPr>
            </w:pPr>
            <w:r w:rsidRPr="00953F7D">
              <w:rPr>
                <w:color w:val="000000"/>
              </w:rPr>
              <w:t>the capital requirements for the securitisation exposures (resecuritisation and securitisation), subject to APS 120 broken down into a meaningful number of risk weight bands for each Regulatory Capital approach; and</w:t>
            </w:r>
          </w:p>
          <w:p w14:paraId="49D04BAF" w14:textId="77777777" w:rsidR="00A86BBE" w:rsidRPr="00953F7D" w:rsidRDefault="00A86BBE" w:rsidP="00E9482F">
            <w:pPr>
              <w:numPr>
                <w:ilvl w:val="0"/>
                <w:numId w:val="19"/>
              </w:numPr>
              <w:autoSpaceDE w:val="0"/>
              <w:autoSpaceDN w:val="0"/>
              <w:adjustRightInd w:val="0"/>
              <w:spacing w:before="60" w:after="60"/>
              <w:jc w:val="both"/>
              <w:rPr>
                <w:color w:val="000000"/>
              </w:rPr>
            </w:pPr>
            <w:r w:rsidRPr="00953F7D">
              <w:rPr>
                <w:color w:val="000000"/>
              </w:rPr>
              <w:t>securitisation exposures that are deducted entirely from Tier 1 Capital, credit enhancements deducted from Total Capital, and other exposures deducted from Total Capital must be disclosed separately by exposure type.</w:t>
            </w:r>
          </w:p>
        </w:tc>
      </w:tr>
      <w:tr w:rsidR="00A86BBE" w:rsidRPr="00953F7D" w14:paraId="49D04BB7" w14:textId="77777777" w:rsidTr="00945F1D">
        <w:trPr>
          <w:cantSplit/>
          <w:trHeight w:val="301"/>
          <w:jc w:val="center"/>
        </w:trPr>
        <w:tc>
          <w:tcPr>
            <w:tcW w:w="1726" w:type="dxa"/>
            <w:vMerge w:val="restart"/>
            <w:tcBorders>
              <w:top w:val="single" w:sz="4" w:space="0" w:color="auto"/>
              <w:left w:val="single" w:sz="4" w:space="0" w:color="auto"/>
              <w:right w:val="single" w:sz="4" w:space="0" w:color="auto"/>
            </w:tcBorders>
            <w:shd w:val="clear" w:color="auto" w:fill="auto"/>
          </w:tcPr>
          <w:p w14:paraId="49D04BB1" w14:textId="77777777" w:rsidR="00A86BBE" w:rsidRPr="00953F7D" w:rsidRDefault="00A86BBE" w:rsidP="009164E6">
            <w:pPr>
              <w:autoSpaceDE w:val="0"/>
              <w:autoSpaceDN w:val="0"/>
              <w:adjustRightInd w:val="0"/>
              <w:spacing w:before="60" w:after="60"/>
              <w:jc w:val="both"/>
              <w:rPr>
                <w:color w:val="000000"/>
              </w:rPr>
            </w:pPr>
          </w:p>
        </w:tc>
        <w:tc>
          <w:tcPr>
            <w:tcW w:w="650" w:type="dxa"/>
            <w:tcBorders>
              <w:top w:val="single" w:sz="4" w:space="0" w:color="000000"/>
              <w:left w:val="single" w:sz="4" w:space="0" w:color="auto"/>
              <w:bottom w:val="single" w:sz="4" w:space="0" w:color="000000"/>
              <w:right w:val="single" w:sz="4" w:space="0" w:color="000000"/>
            </w:tcBorders>
            <w:shd w:val="clear" w:color="auto" w:fill="auto"/>
          </w:tcPr>
          <w:p w14:paraId="49D04BB2" w14:textId="77777777" w:rsidR="00A86BBE" w:rsidRPr="00953F7D" w:rsidRDefault="00A86BBE" w:rsidP="009164E6">
            <w:pPr>
              <w:autoSpaceDE w:val="0"/>
              <w:autoSpaceDN w:val="0"/>
              <w:adjustRightInd w:val="0"/>
              <w:spacing w:before="60" w:after="60"/>
              <w:jc w:val="both"/>
              <w:rPr>
                <w:color w:val="000000"/>
              </w:rPr>
            </w:pPr>
            <w:r w:rsidRPr="00953F7D">
              <w:rPr>
                <w:color w:val="000000"/>
              </w:rPr>
              <w:t xml:space="preserve">(v) </w:t>
            </w:r>
          </w:p>
        </w:tc>
        <w:tc>
          <w:tcPr>
            <w:tcW w:w="5936" w:type="dxa"/>
            <w:tcBorders>
              <w:top w:val="single" w:sz="4" w:space="0" w:color="000000"/>
              <w:left w:val="single" w:sz="4" w:space="0" w:color="000000"/>
              <w:bottom w:val="single" w:sz="4" w:space="0" w:color="000000"/>
              <w:right w:val="single" w:sz="4" w:space="0" w:color="000000"/>
            </w:tcBorders>
          </w:tcPr>
          <w:p w14:paraId="49D04BB3" w14:textId="77777777" w:rsidR="00A86BBE" w:rsidRPr="00953F7D" w:rsidRDefault="00A86BBE" w:rsidP="001C4F6D">
            <w:pPr>
              <w:autoSpaceDE w:val="0"/>
              <w:autoSpaceDN w:val="0"/>
              <w:adjustRightInd w:val="0"/>
              <w:spacing w:before="60" w:after="60"/>
              <w:ind w:left="0" w:hanging="40"/>
              <w:jc w:val="both"/>
              <w:rPr>
                <w:color w:val="000000"/>
              </w:rPr>
            </w:pPr>
            <w:r w:rsidRPr="00953F7D">
              <w:rPr>
                <w:color w:val="000000"/>
              </w:rPr>
              <w:t>For securitisations subject to the early amortisation treatment, the following items by exposure type for securitised facilities:</w:t>
            </w:r>
          </w:p>
          <w:p w14:paraId="49D04BB4" w14:textId="77777777" w:rsidR="00A86BBE" w:rsidRPr="00953F7D" w:rsidRDefault="00A86BBE" w:rsidP="00E9482F">
            <w:pPr>
              <w:numPr>
                <w:ilvl w:val="0"/>
                <w:numId w:val="22"/>
              </w:numPr>
              <w:autoSpaceDE w:val="0"/>
              <w:autoSpaceDN w:val="0"/>
              <w:adjustRightInd w:val="0"/>
              <w:spacing w:before="60" w:after="60"/>
              <w:jc w:val="both"/>
              <w:rPr>
                <w:color w:val="000000"/>
              </w:rPr>
            </w:pPr>
            <w:r w:rsidRPr="00953F7D">
              <w:rPr>
                <w:color w:val="000000"/>
              </w:rPr>
              <w:t>the aggregate drawn exposures attributed to the seller’s and investors’ interests;</w:t>
            </w:r>
          </w:p>
          <w:p w14:paraId="49D04BB5" w14:textId="77777777" w:rsidR="00A86BBE" w:rsidRPr="00953F7D" w:rsidRDefault="00A86BBE" w:rsidP="00E9482F">
            <w:pPr>
              <w:numPr>
                <w:ilvl w:val="0"/>
                <w:numId w:val="22"/>
              </w:numPr>
              <w:autoSpaceDE w:val="0"/>
              <w:autoSpaceDN w:val="0"/>
              <w:adjustRightInd w:val="0"/>
              <w:spacing w:before="60" w:after="60"/>
              <w:jc w:val="both"/>
              <w:rPr>
                <w:color w:val="000000"/>
              </w:rPr>
            </w:pPr>
            <w:r w:rsidRPr="00953F7D">
              <w:rPr>
                <w:color w:val="000000"/>
              </w:rPr>
              <w:t>the aggregate IRB capital charges incurred by the ADI against its retained (i.e. the seller’s) shares of the drawn balances and undrawn lines; and</w:t>
            </w:r>
          </w:p>
          <w:p w14:paraId="49D04BB6" w14:textId="77777777" w:rsidR="00A86BBE" w:rsidRPr="00953F7D" w:rsidRDefault="00A86BBE" w:rsidP="00E9482F">
            <w:pPr>
              <w:numPr>
                <w:ilvl w:val="0"/>
                <w:numId w:val="22"/>
              </w:numPr>
              <w:autoSpaceDE w:val="0"/>
              <w:autoSpaceDN w:val="0"/>
              <w:adjustRightInd w:val="0"/>
              <w:spacing w:before="60" w:after="60"/>
              <w:jc w:val="both"/>
              <w:rPr>
                <w:color w:val="000000"/>
              </w:rPr>
            </w:pPr>
            <w:r w:rsidRPr="00953F7D">
              <w:rPr>
                <w:color w:val="000000"/>
              </w:rPr>
              <w:t>the aggregate IRB capital charges incurred by the ADI against the investor’s shares of drawn balances and undrawn lines.</w:t>
            </w:r>
          </w:p>
        </w:tc>
      </w:tr>
      <w:tr w:rsidR="00A86BBE" w:rsidRPr="00953F7D" w14:paraId="49D04BBD" w14:textId="77777777" w:rsidTr="00945F1D">
        <w:trPr>
          <w:cantSplit/>
          <w:trHeight w:val="301"/>
          <w:jc w:val="center"/>
        </w:trPr>
        <w:tc>
          <w:tcPr>
            <w:tcW w:w="1726" w:type="dxa"/>
            <w:vMerge/>
            <w:tcBorders>
              <w:left w:val="single" w:sz="4" w:space="0" w:color="auto"/>
              <w:bottom w:val="single" w:sz="4" w:space="0" w:color="000000"/>
              <w:right w:val="single" w:sz="4" w:space="0" w:color="auto"/>
            </w:tcBorders>
            <w:shd w:val="clear" w:color="auto" w:fill="auto"/>
          </w:tcPr>
          <w:p w14:paraId="49D04BB8" w14:textId="77777777" w:rsidR="00A86BBE" w:rsidRPr="00953F7D" w:rsidRDefault="00A86BBE" w:rsidP="009164E6">
            <w:pPr>
              <w:autoSpaceDE w:val="0"/>
              <w:autoSpaceDN w:val="0"/>
              <w:adjustRightInd w:val="0"/>
              <w:spacing w:before="60" w:after="60"/>
              <w:jc w:val="both"/>
              <w:rPr>
                <w:color w:val="000000"/>
              </w:rPr>
            </w:pPr>
          </w:p>
        </w:tc>
        <w:tc>
          <w:tcPr>
            <w:tcW w:w="650" w:type="dxa"/>
            <w:tcBorders>
              <w:top w:val="single" w:sz="4" w:space="0" w:color="000000"/>
              <w:left w:val="single" w:sz="4" w:space="0" w:color="auto"/>
              <w:bottom w:val="single" w:sz="4" w:space="0" w:color="000000"/>
              <w:right w:val="single" w:sz="4" w:space="0" w:color="000000"/>
            </w:tcBorders>
            <w:shd w:val="clear" w:color="auto" w:fill="auto"/>
          </w:tcPr>
          <w:p w14:paraId="49D04BB9" w14:textId="77777777" w:rsidR="00A86BBE" w:rsidRPr="00953F7D" w:rsidRDefault="00A86BBE" w:rsidP="009164E6">
            <w:pPr>
              <w:autoSpaceDE w:val="0"/>
              <w:autoSpaceDN w:val="0"/>
              <w:adjustRightInd w:val="0"/>
              <w:spacing w:before="60" w:after="60"/>
              <w:jc w:val="both"/>
              <w:rPr>
                <w:color w:val="000000"/>
              </w:rPr>
            </w:pPr>
            <w:r w:rsidRPr="00953F7D">
              <w:rPr>
                <w:color w:val="000000"/>
              </w:rPr>
              <w:t>(w)</w:t>
            </w:r>
          </w:p>
        </w:tc>
        <w:tc>
          <w:tcPr>
            <w:tcW w:w="5936" w:type="dxa"/>
            <w:tcBorders>
              <w:top w:val="single" w:sz="4" w:space="0" w:color="000000"/>
              <w:left w:val="single" w:sz="4" w:space="0" w:color="000000"/>
              <w:bottom w:val="single" w:sz="4" w:space="0" w:color="000000"/>
              <w:right w:val="single" w:sz="4" w:space="0" w:color="000000"/>
            </w:tcBorders>
          </w:tcPr>
          <w:p w14:paraId="49D04BBA" w14:textId="77777777" w:rsidR="00A86BBE" w:rsidRPr="00953F7D" w:rsidRDefault="00A86BBE" w:rsidP="001C4F6D">
            <w:pPr>
              <w:autoSpaceDE w:val="0"/>
              <w:autoSpaceDN w:val="0"/>
              <w:adjustRightInd w:val="0"/>
              <w:spacing w:before="60" w:after="60"/>
              <w:ind w:left="0" w:hanging="40"/>
              <w:jc w:val="both"/>
              <w:rPr>
                <w:color w:val="000000"/>
              </w:rPr>
            </w:pPr>
            <w:r w:rsidRPr="00953F7D">
              <w:rPr>
                <w:color w:val="000000"/>
              </w:rPr>
              <w:t>Aggregate amount of resecuritisation exposures retained or purchased broken down according to:</w:t>
            </w:r>
          </w:p>
          <w:p w14:paraId="49D04BBB" w14:textId="77777777" w:rsidR="00A86BBE" w:rsidRPr="00953F7D" w:rsidRDefault="00A86BBE" w:rsidP="00E9482F">
            <w:pPr>
              <w:numPr>
                <w:ilvl w:val="0"/>
                <w:numId w:val="23"/>
              </w:numPr>
              <w:autoSpaceDE w:val="0"/>
              <w:autoSpaceDN w:val="0"/>
              <w:adjustRightInd w:val="0"/>
              <w:spacing w:before="60" w:after="60"/>
              <w:jc w:val="both"/>
              <w:rPr>
                <w:color w:val="000000"/>
              </w:rPr>
            </w:pPr>
            <w:r w:rsidRPr="00953F7D">
              <w:rPr>
                <w:color w:val="000000"/>
              </w:rPr>
              <w:t>exposures to which credit risk mitigation is applied and those not applied; and</w:t>
            </w:r>
          </w:p>
          <w:p w14:paraId="49D04BBC" w14:textId="77777777" w:rsidR="00A86BBE" w:rsidRPr="00953F7D" w:rsidRDefault="00A86BBE" w:rsidP="00E9482F">
            <w:pPr>
              <w:numPr>
                <w:ilvl w:val="0"/>
                <w:numId w:val="23"/>
              </w:numPr>
              <w:autoSpaceDE w:val="0"/>
              <w:autoSpaceDN w:val="0"/>
              <w:adjustRightInd w:val="0"/>
              <w:spacing w:before="60" w:after="60"/>
              <w:jc w:val="both"/>
              <w:rPr>
                <w:color w:val="000000"/>
              </w:rPr>
            </w:pPr>
            <w:r w:rsidRPr="00953F7D">
              <w:rPr>
                <w:color w:val="000000"/>
              </w:rPr>
              <w:t>exposures to guarantors broken down according to guarantor credit worthiness categories or guarantor name.</w:t>
            </w:r>
          </w:p>
        </w:tc>
      </w:tr>
    </w:tbl>
    <w:p w14:paraId="49D04BBE" w14:textId="77777777" w:rsidR="00614441" w:rsidRDefault="00614441" w:rsidP="009C3F64">
      <w:pPr>
        <w:keepNext/>
        <w:spacing w:before="120"/>
        <w:jc w:val="both"/>
        <w:rPr>
          <w:i/>
        </w:rPr>
      </w:pPr>
    </w:p>
    <w:p w14:paraId="49D04BBF" w14:textId="77777777" w:rsidR="00742F5F" w:rsidRPr="00953F7D" w:rsidRDefault="00742F5F" w:rsidP="00742F5F">
      <w:pPr>
        <w:keepNext/>
        <w:spacing w:before="120" w:after="240"/>
        <w:jc w:val="both"/>
        <w:rPr>
          <w:i/>
        </w:rPr>
      </w:pPr>
      <w:r w:rsidRPr="00953F7D">
        <w:rPr>
          <w:i/>
        </w:rPr>
        <w:t>Market risk disclosures</w:t>
      </w:r>
    </w:p>
    <w:p w14:paraId="49D04BC0" w14:textId="77777777" w:rsidR="00742F5F" w:rsidRPr="00953F7D" w:rsidRDefault="00742F5F" w:rsidP="00044A3D">
      <w:pPr>
        <w:pStyle w:val="BodyText"/>
      </w:pPr>
      <w:r w:rsidRPr="00953F7D">
        <w:t xml:space="preserve">An ADI must disclose the items set out in Table 13 and 14 to the extent applicable.  </w:t>
      </w:r>
    </w:p>
    <w:p w14:paraId="49D04BC1" w14:textId="77777777" w:rsidR="00742F5F" w:rsidRPr="00953F7D" w:rsidRDefault="00742F5F" w:rsidP="00C30410">
      <w:pPr>
        <w:keepNext/>
        <w:autoSpaceDE w:val="0"/>
        <w:autoSpaceDN w:val="0"/>
        <w:adjustRightInd w:val="0"/>
        <w:spacing w:after="240"/>
        <w:ind w:firstLine="0"/>
        <w:jc w:val="both"/>
      </w:pPr>
      <w:r w:rsidRPr="00953F7D">
        <w:rPr>
          <w:color w:val="000000"/>
        </w:rPr>
        <w:t xml:space="preserve">Table 13: </w:t>
      </w:r>
      <w:r w:rsidRPr="00953F7D">
        <w:rPr>
          <w:bCs/>
          <w:color w:val="000000"/>
        </w:rPr>
        <w:t xml:space="preserve">Market risk - disclosures for ADIs using the standard method </w:t>
      </w:r>
    </w:p>
    <w:tbl>
      <w:tblPr>
        <w:tblW w:w="83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46"/>
        <w:gridCol w:w="631"/>
        <w:gridCol w:w="6162"/>
      </w:tblGrid>
      <w:tr w:rsidR="00742F5F" w:rsidRPr="00953F7D" w14:paraId="49D04BC5" w14:textId="77777777" w:rsidTr="004E7639">
        <w:trPr>
          <w:trHeight w:val="558"/>
          <w:jc w:val="center"/>
        </w:trPr>
        <w:tc>
          <w:tcPr>
            <w:tcW w:w="1546" w:type="dxa"/>
          </w:tcPr>
          <w:p w14:paraId="49D04BC2" w14:textId="77777777" w:rsidR="00742F5F" w:rsidRPr="00953F7D" w:rsidRDefault="00742F5F" w:rsidP="005F4B4B">
            <w:pPr>
              <w:autoSpaceDE w:val="0"/>
              <w:autoSpaceDN w:val="0"/>
              <w:adjustRightInd w:val="0"/>
              <w:spacing w:before="60" w:after="60"/>
              <w:ind w:left="36" w:firstLine="0"/>
              <w:jc w:val="both"/>
              <w:rPr>
                <w:b/>
                <w:color w:val="000000"/>
              </w:rPr>
            </w:pPr>
            <w:r w:rsidRPr="00953F7D">
              <w:rPr>
                <w:b/>
                <w:bCs/>
                <w:color w:val="000000"/>
              </w:rPr>
              <w:t>Qualitative disclosures</w:t>
            </w:r>
          </w:p>
        </w:tc>
        <w:tc>
          <w:tcPr>
            <w:tcW w:w="631" w:type="dxa"/>
          </w:tcPr>
          <w:p w14:paraId="49D04BC3" w14:textId="77777777" w:rsidR="00742F5F" w:rsidRPr="00953F7D" w:rsidRDefault="00742F5F" w:rsidP="009164E6">
            <w:pPr>
              <w:autoSpaceDE w:val="0"/>
              <w:autoSpaceDN w:val="0"/>
              <w:adjustRightInd w:val="0"/>
              <w:spacing w:before="60" w:after="60"/>
              <w:jc w:val="both"/>
              <w:rPr>
                <w:color w:val="000000"/>
              </w:rPr>
            </w:pPr>
            <w:r w:rsidRPr="00953F7D">
              <w:rPr>
                <w:color w:val="000000"/>
              </w:rPr>
              <w:t>(a)</w:t>
            </w:r>
          </w:p>
        </w:tc>
        <w:tc>
          <w:tcPr>
            <w:tcW w:w="6162" w:type="dxa"/>
            <w:vAlign w:val="center"/>
          </w:tcPr>
          <w:p w14:paraId="49D04BC4" w14:textId="77777777" w:rsidR="00742F5F" w:rsidRPr="00953F7D" w:rsidRDefault="00742F5F" w:rsidP="005F4B4B">
            <w:pPr>
              <w:autoSpaceDE w:val="0"/>
              <w:autoSpaceDN w:val="0"/>
              <w:adjustRightInd w:val="0"/>
              <w:spacing w:before="60" w:after="60"/>
              <w:ind w:left="0" w:firstLine="0"/>
              <w:jc w:val="both"/>
              <w:rPr>
                <w:color w:val="000000"/>
              </w:rPr>
            </w:pPr>
            <w:r w:rsidRPr="00953F7D">
              <w:rPr>
                <w:color w:val="000000"/>
              </w:rPr>
              <w:t xml:space="preserve">The general qualitative disclosure requirement (refer to paragraph </w:t>
            </w:r>
            <w:r w:rsidR="00CD6CE4" w:rsidRPr="00953F7D">
              <w:rPr>
                <w:color w:val="000000"/>
              </w:rPr>
              <w:fldChar w:fldCharType="begin"/>
            </w:r>
            <w:r w:rsidR="00CD6CE4" w:rsidRPr="00953F7D">
              <w:rPr>
                <w:color w:val="000000"/>
              </w:rPr>
              <w:instrText xml:space="preserve"> REF _Ref412477308 \r \h </w:instrText>
            </w:r>
            <w:r w:rsidR="00953F7D">
              <w:rPr>
                <w:color w:val="000000"/>
              </w:rPr>
              <w:instrText xml:space="preserve"> \* MERGEFORMAT </w:instrText>
            </w:r>
            <w:r w:rsidR="00CD6CE4" w:rsidRPr="00953F7D">
              <w:rPr>
                <w:color w:val="000000"/>
              </w:rPr>
            </w:r>
            <w:r w:rsidR="00CD6CE4" w:rsidRPr="00953F7D">
              <w:rPr>
                <w:color w:val="000000"/>
              </w:rPr>
              <w:fldChar w:fldCharType="separate"/>
            </w:r>
            <w:r w:rsidR="007D232B">
              <w:rPr>
                <w:color w:val="000000"/>
              </w:rPr>
              <w:t>3</w:t>
            </w:r>
            <w:r w:rsidR="00CD6CE4" w:rsidRPr="00953F7D">
              <w:rPr>
                <w:color w:val="000000"/>
              </w:rPr>
              <w:fldChar w:fldCharType="end"/>
            </w:r>
            <w:r w:rsidRPr="00953F7D">
              <w:rPr>
                <w:color w:val="000000"/>
              </w:rPr>
              <w:t xml:space="preserve"> of this Attachment) for market risk including the portfolios covered by the standard method.</w:t>
            </w:r>
          </w:p>
        </w:tc>
      </w:tr>
      <w:tr w:rsidR="00742F5F" w:rsidRPr="00953F7D" w14:paraId="49D04BCD" w14:textId="77777777" w:rsidTr="009C3F64">
        <w:trPr>
          <w:trHeight w:val="50"/>
          <w:jc w:val="center"/>
        </w:trPr>
        <w:tc>
          <w:tcPr>
            <w:tcW w:w="1546" w:type="dxa"/>
          </w:tcPr>
          <w:p w14:paraId="49D04BC6" w14:textId="77777777" w:rsidR="00742F5F" w:rsidRPr="00953F7D" w:rsidRDefault="00742F5F" w:rsidP="005F4B4B">
            <w:pPr>
              <w:autoSpaceDE w:val="0"/>
              <w:autoSpaceDN w:val="0"/>
              <w:adjustRightInd w:val="0"/>
              <w:spacing w:before="60" w:after="60"/>
              <w:ind w:left="36" w:firstLine="0"/>
              <w:jc w:val="both"/>
              <w:rPr>
                <w:b/>
                <w:color w:val="000000"/>
              </w:rPr>
            </w:pPr>
            <w:r w:rsidRPr="00953F7D">
              <w:rPr>
                <w:b/>
                <w:bCs/>
                <w:color w:val="000000"/>
              </w:rPr>
              <w:t>Quantitative disclosures</w:t>
            </w:r>
          </w:p>
        </w:tc>
        <w:tc>
          <w:tcPr>
            <w:tcW w:w="631" w:type="dxa"/>
          </w:tcPr>
          <w:p w14:paraId="49D04BC7" w14:textId="77777777" w:rsidR="00742F5F" w:rsidRPr="00953F7D" w:rsidRDefault="00742F5F" w:rsidP="009164E6">
            <w:pPr>
              <w:autoSpaceDE w:val="0"/>
              <w:autoSpaceDN w:val="0"/>
              <w:adjustRightInd w:val="0"/>
              <w:spacing w:before="60" w:after="60"/>
              <w:jc w:val="both"/>
              <w:rPr>
                <w:color w:val="000000"/>
              </w:rPr>
            </w:pPr>
            <w:r w:rsidRPr="00953F7D">
              <w:rPr>
                <w:color w:val="000000"/>
              </w:rPr>
              <w:t>(b)</w:t>
            </w:r>
          </w:p>
        </w:tc>
        <w:tc>
          <w:tcPr>
            <w:tcW w:w="6162" w:type="dxa"/>
          </w:tcPr>
          <w:p w14:paraId="49D04BC8" w14:textId="77777777" w:rsidR="00742F5F" w:rsidRPr="00953F7D" w:rsidRDefault="00742F5F" w:rsidP="005F4B4B">
            <w:pPr>
              <w:autoSpaceDE w:val="0"/>
              <w:autoSpaceDN w:val="0"/>
              <w:adjustRightInd w:val="0"/>
              <w:spacing w:before="60" w:after="60"/>
              <w:ind w:left="0" w:firstLine="0"/>
              <w:jc w:val="both"/>
              <w:rPr>
                <w:color w:val="000000"/>
              </w:rPr>
            </w:pPr>
            <w:r w:rsidRPr="00953F7D">
              <w:rPr>
                <w:color w:val="000000"/>
              </w:rPr>
              <w:t>The capital requirements (in terms of risk-weighted assets) for:</w:t>
            </w:r>
          </w:p>
          <w:p w14:paraId="49D04BC9" w14:textId="77777777" w:rsidR="00742F5F" w:rsidRPr="00953F7D" w:rsidRDefault="00742F5F" w:rsidP="00E9482F">
            <w:pPr>
              <w:numPr>
                <w:ilvl w:val="0"/>
                <w:numId w:val="9"/>
              </w:numPr>
              <w:autoSpaceDE w:val="0"/>
              <w:autoSpaceDN w:val="0"/>
              <w:adjustRightInd w:val="0"/>
              <w:spacing w:before="60" w:after="60"/>
              <w:jc w:val="both"/>
              <w:rPr>
                <w:color w:val="000000"/>
              </w:rPr>
            </w:pPr>
            <w:r w:rsidRPr="00953F7D">
              <w:rPr>
                <w:color w:val="000000"/>
              </w:rPr>
              <w:t>interest rate risk</w:t>
            </w:r>
            <w:r w:rsidRPr="00953F7D">
              <w:rPr>
                <w:rStyle w:val="FootnoteReference"/>
                <w:color w:val="000000"/>
              </w:rPr>
              <w:footnoteReference w:id="57"/>
            </w:r>
            <w:r w:rsidR="00662B58" w:rsidRPr="00953F7D">
              <w:rPr>
                <w:color w:val="000000"/>
              </w:rPr>
              <w:t>;</w:t>
            </w:r>
          </w:p>
          <w:p w14:paraId="49D04BCA" w14:textId="77777777" w:rsidR="00742F5F" w:rsidRPr="00953F7D" w:rsidRDefault="00742F5F" w:rsidP="00E9482F">
            <w:pPr>
              <w:numPr>
                <w:ilvl w:val="0"/>
                <w:numId w:val="9"/>
              </w:numPr>
              <w:autoSpaceDE w:val="0"/>
              <w:autoSpaceDN w:val="0"/>
              <w:adjustRightInd w:val="0"/>
              <w:spacing w:before="60" w:after="60"/>
              <w:jc w:val="both"/>
              <w:rPr>
                <w:color w:val="000000"/>
              </w:rPr>
            </w:pPr>
            <w:r w:rsidRPr="00953F7D">
              <w:rPr>
                <w:color w:val="000000"/>
              </w:rPr>
              <w:t>equity position risk;</w:t>
            </w:r>
          </w:p>
          <w:p w14:paraId="49D04BCB" w14:textId="77777777" w:rsidR="00742F5F" w:rsidRPr="00953F7D" w:rsidRDefault="00742F5F" w:rsidP="00E9482F">
            <w:pPr>
              <w:numPr>
                <w:ilvl w:val="0"/>
                <w:numId w:val="9"/>
              </w:numPr>
              <w:autoSpaceDE w:val="0"/>
              <w:autoSpaceDN w:val="0"/>
              <w:adjustRightInd w:val="0"/>
              <w:spacing w:before="60" w:after="60"/>
              <w:jc w:val="both"/>
              <w:rPr>
                <w:color w:val="000000"/>
              </w:rPr>
            </w:pPr>
            <w:r w:rsidRPr="00953F7D">
              <w:rPr>
                <w:color w:val="000000"/>
              </w:rPr>
              <w:t>foreign exchange risk; and</w:t>
            </w:r>
          </w:p>
          <w:p w14:paraId="49D04BCC" w14:textId="77777777" w:rsidR="00742F5F" w:rsidRPr="00953F7D" w:rsidRDefault="00742F5F" w:rsidP="00E9482F">
            <w:pPr>
              <w:numPr>
                <w:ilvl w:val="0"/>
                <w:numId w:val="9"/>
              </w:numPr>
              <w:autoSpaceDE w:val="0"/>
              <w:autoSpaceDN w:val="0"/>
              <w:adjustRightInd w:val="0"/>
              <w:spacing w:before="60" w:after="60"/>
              <w:jc w:val="both"/>
              <w:rPr>
                <w:color w:val="000000"/>
              </w:rPr>
            </w:pPr>
            <w:r w:rsidRPr="00953F7D">
              <w:rPr>
                <w:color w:val="000000"/>
              </w:rPr>
              <w:t>commodity risk.</w:t>
            </w:r>
          </w:p>
        </w:tc>
      </w:tr>
    </w:tbl>
    <w:p w14:paraId="49D04BCE" w14:textId="77777777" w:rsidR="00742F5F" w:rsidRPr="00953F7D" w:rsidRDefault="00742F5F" w:rsidP="00830D13">
      <w:pPr>
        <w:keepNext/>
        <w:keepLines/>
        <w:autoSpaceDE w:val="0"/>
        <w:autoSpaceDN w:val="0"/>
        <w:adjustRightInd w:val="0"/>
        <w:spacing w:before="240" w:after="240"/>
        <w:ind w:firstLine="0"/>
        <w:jc w:val="both"/>
      </w:pPr>
      <w:r w:rsidRPr="00953F7D">
        <w:rPr>
          <w:color w:val="000000"/>
        </w:rPr>
        <w:t xml:space="preserve">Table 14: Market risk - disclosures for ADIs using the IMA for trading portfolios </w:t>
      </w:r>
    </w:p>
    <w:tbl>
      <w:tblPr>
        <w:tblW w:w="8173" w:type="dxa"/>
        <w:jc w:val="center"/>
        <w:tblBorders>
          <w:top w:val="nil"/>
          <w:left w:val="nil"/>
          <w:bottom w:val="nil"/>
          <w:right w:val="nil"/>
        </w:tblBorders>
        <w:tblLook w:val="0000" w:firstRow="0" w:lastRow="0" w:firstColumn="0" w:lastColumn="0" w:noHBand="0" w:noVBand="0"/>
      </w:tblPr>
      <w:tblGrid>
        <w:gridCol w:w="1520"/>
        <w:gridCol w:w="538"/>
        <w:gridCol w:w="6115"/>
      </w:tblGrid>
      <w:tr w:rsidR="00BE4479" w:rsidRPr="00953F7D" w14:paraId="49D04BD2" w14:textId="77777777" w:rsidTr="00945F1D">
        <w:trPr>
          <w:trHeight w:val="637"/>
          <w:jc w:val="center"/>
        </w:trPr>
        <w:tc>
          <w:tcPr>
            <w:tcW w:w="1520" w:type="dxa"/>
            <w:vMerge w:val="restart"/>
            <w:tcBorders>
              <w:top w:val="single" w:sz="4" w:space="0" w:color="000000"/>
              <w:left w:val="single" w:sz="4" w:space="0" w:color="000000"/>
              <w:right w:val="single" w:sz="4" w:space="0" w:color="000000"/>
            </w:tcBorders>
          </w:tcPr>
          <w:p w14:paraId="49D04BCF" w14:textId="77777777" w:rsidR="00BE4479" w:rsidRPr="00953F7D" w:rsidRDefault="00BE4479" w:rsidP="005F4B4B">
            <w:pPr>
              <w:keepNext/>
              <w:keepLines/>
              <w:autoSpaceDE w:val="0"/>
              <w:autoSpaceDN w:val="0"/>
              <w:adjustRightInd w:val="0"/>
              <w:spacing w:before="60" w:after="60"/>
              <w:ind w:left="0" w:firstLine="0"/>
              <w:jc w:val="both"/>
              <w:rPr>
                <w:color w:val="000000"/>
              </w:rPr>
            </w:pPr>
            <w:r w:rsidRPr="00953F7D">
              <w:rPr>
                <w:b/>
                <w:bCs/>
                <w:color w:val="000000"/>
              </w:rPr>
              <w:t>Qualitative disclosures</w:t>
            </w:r>
          </w:p>
        </w:tc>
        <w:tc>
          <w:tcPr>
            <w:tcW w:w="538" w:type="dxa"/>
            <w:tcBorders>
              <w:top w:val="single" w:sz="4" w:space="0" w:color="000000"/>
              <w:left w:val="single" w:sz="4" w:space="0" w:color="000000"/>
              <w:bottom w:val="single" w:sz="4" w:space="0" w:color="000000"/>
              <w:right w:val="single" w:sz="4" w:space="0" w:color="000000"/>
            </w:tcBorders>
          </w:tcPr>
          <w:p w14:paraId="49D04BD0" w14:textId="77777777" w:rsidR="00BE4479" w:rsidRPr="00953F7D" w:rsidRDefault="00BE4479" w:rsidP="009164E6">
            <w:pPr>
              <w:keepNext/>
              <w:keepLines/>
              <w:autoSpaceDE w:val="0"/>
              <w:autoSpaceDN w:val="0"/>
              <w:adjustRightInd w:val="0"/>
              <w:spacing w:before="60" w:after="60"/>
              <w:jc w:val="both"/>
              <w:rPr>
                <w:color w:val="000000"/>
              </w:rPr>
            </w:pPr>
            <w:r w:rsidRPr="00953F7D">
              <w:rPr>
                <w:color w:val="000000"/>
              </w:rPr>
              <w:t>(a)</w:t>
            </w:r>
          </w:p>
        </w:tc>
        <w:tc>
          <w:tcPr>
            <w:tcW w:w="6115" w:type="dxa"/>
            <w:tcBorders>
              <w:top w:val="single" w:sz="4" w:space="0" w:color="000000"/>
              <w:left w:val="single" w:sz="4" w:space="0" w:color="000000"/>
              <w:bottom w:val="single" w:sz="4" w:space="0" w:color="000000"/>
              <w:right w:val="single" w:sz="4" w:space="0" w:color="000000"/>
            </w:tcBorders>
          </w:tcPr>
          <w:p w14:paraId="49D04BD1" w14:textId="77777777" w:rsidR="00BE4479" w:rsidRPr="00953F7D" w:rsidRDefault="00BE4479" w:rsidP="00D8394E">
            <w:pPr>
              <w:autoSpaceDE w:val="0"/>
              <w:autoSpaceDN w:val="0"/>
              <w:adjustRightInd w:val="0"/>
              <w:spacing w:before="60" w:after="60"/>
              <w:ind w:left="0" w:hanging="40"/>
              <w:jc w:val="both"/>
              <w:rPr>
                <w:color w:val="000000"/>
              </w:rPr>
            </w:pPr>
            <w:r w:rsidRPr="00953F7D">
              <w:rPr>
                <w:color w:val="000000"/>
              </w:rPr>
              <w:t xml:space="preserve">The general qualitative disclosure requirement (refer to paragraph </w:t>
            </w:r>
            <w:r w:rsidRPr="00953F7D">
              <w:rPr>
                <w:color w:val="000000"/>
              </w:rPr>
              <w:fldChar w:fldCharType="begin"/>
            </w:r>
            <w:r w:rsidRPr="00953F7D">
              <w:rPr>
                <w:color w:val="000000"/>
              </w:rPr>
              <w:instrText xml:space="preserve"> REF _Ref412477308 \r \h  \* MERGEFORMAT </w:instrText>
            </w:r>
            <w:r w:rsidRPr="00953F7D">
              <w:rPr>
                <w:color w:val="000000"/>
              </w:rPr>
            </w:r>
            <w:r w:rsidRPr="00953F7D">
              <w:rPr>
                <w:color w:val="000000"/>
              </w:rPr>
              <w:fldChar w:fldCharType="separate"/>
            </w:r>
            <w:r w:rsidR="007D232B">
              <w:rPr>
                <w:color w:val="000000"/>
              </w:rPr>
              <w:t>3</w:t>
            </w:r>
            <w:r w:rsidRPr="00953F7D">
              <w:rPr>
                <w:color w:val="000000"/>
              </w:rPr>
              <w:fldChar w:fldCharType="end"/>
            </w:r>
            <w:r w:rsidRPr="00953F7D">
              <w:rPr>
                <w:color w:val="000000"/>
              </w:rPr>
              <w:t xml:space="preserve"> of this Attachment) for market risk including the portfolios covered by the IMA. In addition, a discussion of the extent of, and methodologies for, compliance with the prudential requirements for prudent valuation practices for positions held in the trading book contained in Attachment A of APS 111.  </w:t>
            </w:r>
          </w:p>
        </w:tc>
      </w:tr>
      <w:tr w:rsidR="00BE4479" w:rsidRPr="00953F7D" w14:paraId="49D04BD6" w14:textId="77777777" w:rsidTr="00945F1D">
        <w:trPr>
          <w:trHeight w:val="637"/>
          <w:jc w:val="center"/>
        </w:trPr>
        <w:tc>
          <w:tcPr>
            <w:tcW w:w="1520" w:type="dxa"/>
            <w:vMerge/>
            <w:tcBorders>
              <w:left w:val="single" w:sz="4" w:space="0" w:color="000000"/>
              <w:right w:val="single" w:sz="4" w:space="0" w:color="000000"/>
            </w:tcBorders>
          </w:tcPr>
          <w:p w14:paraId="49D04BD3" w14:textId="77777777" w:rsidR="00BE4479" w:rsidRPr="00953F7D" w:rsidRDefault="00BE4479" w:rsidP="009164E6">
            <w:pPr>
              <w:keepNext/>
              <w:keepLines/>
              <w:autoSpaceDE w:val="0"/>
              <w:autoSpaceDN w:val="0"/>
              <w:adjustRightInd w:val="0"/>
              <w:spacing w:before="60" w:after="60"/>
              <w:jc w:val="both"/>
              <w:rPr>
                <w:b/>
                <w:bCs/>
                <w:color w:val="000000"/>
              </w:rPr>
            </w:pPr>
          </w:p>
        </w:tc>
        <w:tc>
          <w:tcPr>
            <w:tcW w:w="538" w:type="dxa"/>
            <w:tcBorders>
              <w:top w:val="single" w:sz="4" w:space="0" w:color="000000"/>
              <w:left w:val="single" w:sz="4" w:space="0" w:color="000000"/>
              <w:bottom w:val="single" w:sz="4" w:space="0" w:color="000000"/>
              <w:right w:val="single" w:sz="4" w:space="0" w:color="000000"/>
            </w:tcBorders>
          </w:tcPr>
          <w:p w14:paraId="49D04BD4" w14:textId="77777777" w:rsidR="00BE4479" w:rsidRPr="00953F7D" w:rsidRDefault="00BE4479" w:rsidP="009164E6">
            <w:pPr>
              <w:keepNext/>
              <w:keepLines/>
              <w:autoSpaceDE w:val="0"/>
              <w:autoSpaceDN w:val="0"/>
              <w:adjustRightInd w:val="0"/>
              <w:spacing w:before="60" w:after="60"/>
              <w:jc w:val="both"/>
              <w:rPr>
                <w:color w:val="000000"/>
              </w:rPr>
            </w:pPr>
            <w:r w:rsidRPr="00953F7D">
              <w:rPr>
                <w:color w:val="000000"/>
              </w:rPr>
              <w:t>(b)</w:t>
            </w:r>
          </w:p>
        </w:tc>
        <w:tc>
          <w:tcPr>
            <w:tcW w:w="6115" w:type="dxa"/>
            <w:tcBorders>
              <w:top w:val="single" w:sz="4" w:space="0" w:color="000000"/>
              <w:left w:val="single" w:sz="4" w:space="0" w:color="000000"/>
              <w:bottom w:val="single" w:sz="4" w:space="0" w:color="000000"/>
              <w:right w:val="single" w:sz="4" w:space="0" w:color="000000"/>
            </w:tcBorders>
          </w:tcPr>
          <w:p w14:paraId="49D04BD5" w14:textId="77777777" w:rsidR="00BE4479" w:rsidRPr="00953F7D" w:rsidRDefault="00BE4479" w:rsidP="001C4F6D">
            <w:pPr>
              <w:autoSpaceDE w:val="0"/>
              <w:autoSpaceDN w:val="0"/>
              <w:adjustRightInd w:val="0"/>
              <w:spacing w:before="60" w:after="60"/>
              <w:ind w:left="0" w:hanging="40"/>
              <w:jc w:val="both"/>
              <w:rPr>
                <w:color w:val="000000"/>
              </w:rPr>
            </w:pPr>
            <w:r w:rsidRPr="00953F7D">
              <w:rPr>
                <w:color w:val="000000"/>
              </w:rPr>
              <w:t>The discussion must include an articulation of the soundness standards on which the ADI’s internal capital adequacy assessment is based. It should also include a description of the methodologies used to achieve a capital adequacy assessment that is consistent with the soundness standards.</w:t>
            </w:r>
          </w:p>
        </w:tc>
      </w:tr>
      <w:tr w:rsidR="00BE4479" w:rsidRPr="00953F7D" w14:paraId="49D04BDD" w14:textId="77777777" w:rsidTr="00945F1D">
        <w:trPr>
          <w:trHeight w:val="1145"/>
          <w:jc w:val="center"/>
        </w:trPr>
        <w:tc>
          <w:tcPr>
            <w:tcW w:w="1520" w:type="dxa"/>
            <w:vMerge/>
            <w:tcBorders>
              <w:left w:val="single" w:sz="4" w:space="0" w:color="000000"/>
              <w:right w:val="single" w:sz="4" w:space="0" w:color="000000"/>
            </w:tcBorders>
          </w:tcPr>
          <w:p w14:paraId="49D04BD7" w14:textId="77777777" w:rsidR="00BE4479" w:rsidRPr="00953F7D" w:rsidRDefault="00BE4479" w:rsidP="009164E6">
            <w:pPr>
              <w:keepNext/>
              <w:keepLines/>
              <w:autoSpaceDE w:val="0"/>
              <w:autoSpaceDN w:val="0"/>
              <w:adjustRightInd w:val="0"/>
              <w:spacing w:before="60" w:after="60"/>
              <w:jc w:val="both"/>
            </w:pPr>
          </w:p>
        </w:tc>
        <w:tc>
          <w:tcPr>
            <w:tcW w:w="538" w:type="dxa"/>
            <w:tcBorders>
              <w:top w:val="single" w:sz="4" w:space="0" w:color="000000"/>
              <w:left w:val="single" w:sz="4" w:space="0" w:color="000000"/>
              <w:bottom w:val="single" w:sz="4" w:space="0" w:color="000000"/>
              <w:right w:val="single" w:sz="4" w:space="0" w:color="000000"/>
            </w:tcBorders>
          </w:tcPr>
          <w:p w14:paraId="49D04BD8" w14:textId="77777777" w:rsidR="00BE4479" w:rsidRPr="00953F7D" w:rsidRDefault="00BE4479" w:rsidP="009164E6">
            <w:pPr>
              <w:keepNext/>
              <w:keepLines/>
              <w:autoSpaceDE w:val="0"/>
              <w:autoSpaceDN w:val="0"/>
              <w:adjustRightInd w:val="0"/>
              <w:spacing w:before="60" w:after="60"/>
              <w:jc w:val="both"/>
              <w:rPr>
                <w:color w:val="000000"/>
              </w:rPr>
            </w:pPr>
            <w:r w:rsidRPr="00953F7D">
              <w:rPr>
                <w:color w:val="000000"/>
              </w:rPr>
              <w:t>(c)</w:t>
            </w:r>
          </w:p>
        </w:tc>
        <w:tc>
          <w:tcPr>
            <w:tcW w:w="6115" w:type="dxa"/>
            <w:tcBorders>
              <w:top w:val="single" w:sz="4" w:space="0" w:color="000000"/>
              <w:left w:val="single" w:sz="4" w:space="0" w:color="000000"/>
              <w:bottom w:val="single" w:sz="4" w:space="0" w:color="000000"/>
              <w:right w:val="single" w:sz="4" w:space="0" w:color="000000"/>
            </w:tcBorders>
          </w:tcPr>
          <w:p w14:paraId="49D04BD9" w14:textId="77777777" w:rsidR="00BE4479" w:rsidRPr="00953F7D" w:rsidRDefault="00BE4479" w:rsidP="001C4F6D">
            <w:pPr>
              <w:autoSpaceDE w:val="0"/>
              <w:autoSpaceDN w:val="0"/>
              <w:adjustRightInd w:val="0"/>
              <w:spacing w:before="60" w:after="60"/>
              <w:ind w:left="0" w:hanging="40"/>
              <w:jc w:val="both"/>
              <w:rPr>
                <w:color w:val="000000"/>
              </w:rPr>
            </w:pPr>
            <w:r w:rsidRPr="00953F7D">
              <w:rPr>
                <w:color w:val="000000"/>
              </w:rPr>
              <w:t>For each portfolio covered by the IMA:</w:t>
            </w:r>
          </w:p>
          <w:p w14:paraId="49D04BDA" w14:textId="77777777" w:rsidR="00BE4479" w:rsidRPr="00953F7D" w:rsidRDefault="00BE4479" w:rsidP="00E9482F">
            <w:pPr>
              <w:keepNext/>
              <w:keepLines/>
              <w:numPr>
                <w:ilvl w:val="0"/>
                <w:numId w:val="10"/>
              </w:numPr>
              <w:autoSpaceDE w:val="0"/>
              <w:autoSpaceDN w:val="0"/>
              <w:adjustRightInd w:val="0"/>
              <w:spacing w:before="60" w:after="60"/>
              <w:jc w:val="both"/>
              <w:rPr>
                <w:color w:val="000000"/>
              </w:rPr>
            </w:pPr>
            <w:r w:rsidRPr="00953F7D">
              <w:rPr>
                <w:color w:val="000000"/>
              </w:rPr>
              <w:t>the characteristics of the models used;</w:t>
            </w:r>
          </w:p>
          <w:p w14:paraId="49D04BDB" w14:textId="77777777" w:rsidR="00BE4479" w:rsidRPr="00953F7D" w:rsidRDefault="00BE4479" w:rsidP="00E9482F">
            <w:pPr>
              <w:keepNext/>
              <w:keepLines/>
              <w:numPr>
                <w:ilvl w:val="0"/>
                <w:numId w:val="10"/>
              </w:numPr>
              <w:autoSpaceDE w:val="0"/>
              <w:autoSpaceDN w:val="0"/>
              <w:adjustRightInd w:val="0"/>
              <w:spacing w:before="60" w:after="60"/>
              <w:jc w:val="both"/>
              <w:rPr>
                <w:color w:val="000000"/>
              </w:rPr>
            </w:pPr>
            <w:r w:rsidRPr="00953F7D">
              <w:rPr>
                <w:color w:val="000000"/>
              </w:rPr>
              <w:t>a description of stress testing applied to the portfolio; and</w:t>
            </w:r>
          </w:p>
          <w:p w14:paraId="49D04BDC" w14:textId="77777777" w:rsidR="00BE4479" w:rsidRPr="00953F7D" w:rsidRDefault="00BE4479" w:rsidP="00E9482F">
            <w:pPr>
              <w:keepNext/>
              <w:keepLines/>
              <w:numPr>
                <w:ilvl w:val="0"/>
                <w:numId w:val="10"/>
              </w:numPr>
              <w:autoSpaceDE w:val="0"/>
              <w:autoSpaceDN w:val="0"/>
              <w:adjustRightInd w:val="0"/>
              <w:spacing w:before="60" w:after="60"/>
              <w:jc w:val="both"/>
              <w:rPr>
                <w:color w:val="000000"/>
              </w:rPr>
            </w:pPr>
            <w:r w:rsidRPr="00953F7D">
              <w:rPr>
                <w:color w:val="000000"/>
              </w:rPr>
              <w:t>a description of the approach used for back-testing/validating the accuracy and consistency of the internal models and modelling processes.</w:t>
            </w:r>
          </w:p>
        </w:tc>
      </w:tr>
      <w:tr w:rsidR="00BE4479" w:rsidRPr="00953F7D" w14:paraId="49D04BE1" w14:textId="77777777" w:rsidTr="00945F1D">
        <w:trPr>
          <w:trHeight w:val="240"/>
          <w:jc w:val="center"/>
        </w:trPr>
        <w:tc>
          <w:tcPr>
            <w:tcW w:w="1520" w:type="dxa"/>
            <w:vMerge/>
            <w:tcBorders>
              <w:left w:val="single" w:sz="4" w:space="0" w:color="000000"/>
              <w:right w:val="single" w:sz="4" w:space="0" w:color="000000"/>
            </w:tcBorders>
          </w:tcPr>
          <w:p w14:paraId="49D04BDE" w14:textId="77777777" w:rsidR="00BE4479" w:rsidRPr="00953F7D" w:rsidRDefault="00BE4479" w:rsidP="009164E6">
            <w:pPr>
              <w:autoSpaceDE w:val="0"/>
              <w:autoSpaceDN w:val="0"/>
              <w:adjustRightInd w:val="0"/>
              <w:spacing w:before="60" w:after="60"/>
              <w:jc w:val="both"/>
            </w:pPr>
          </w:p>
        </w:tc>
        <w:tc>
          <w:tcPr>
            <w:tcW w:w="538" w:type="dxa"/>
            <w:tcBorders>
              <w:top w:val="single" w:sz="4" w:space="0" w:color="000000"/>
              <w:left w:val="single" w:sz="4" w:space="0" w:color="000000"/>
              <w:bottom w:val="single" w:sz="4" w:space="0" w:color="000000"/>
              <w:right w:val="single" w:sz="4" w:space="0" w:color="000000"/>
            </w:tcBorders>
          </w:tcPr>
          <w:p w14:paraId="49D04BDF" w14:textId="77777777" w:rsidR="00BE4479" w:rsidRPr="00953F7D" w:rsidRDefault="00BE4479" w:rsidP="009164E6">
            <w:pPr>
              <w:autoSpaceDE w:val="0"/>
              <w:autoSpaceDN w:val="0"/>
              <w:adjustRightInd w:val="0"/>
              <w:spacing w:before="60" w:after="60"/>
              <w:jc w:val="both"/>
              <w:rPr>
                <w:color w:val="000000"/>
              </w:rPr>
            </w:pPr>
            <w:r w:rsidRPr="00953F7D">
              <w:rPr>
                <w:color w:val="000000"/>
              </w:rPr>
              <w:t>(d)</w:t>
            </w:r>
          </w:p>
        </w:tc>
        <w:tc>
          <w:tcPr>
            <w:tcW w:w="6115" w:type="dxa"/>
            <w:tcBorders>
              <w:top w:val="single" w:sz="4" w:space="0" w:color="000000"/>
              <w:left w:val="single" w:sz="4" w:space="0" w:color="000000"/>
              <w:bottom w:val="single" w:sz="4" w:space="0" w:color="000000"/>
              <w:right w:val="single" w:sz="4" w:space="0" w:color="000000"/>
            </w:tcBorders>
          </w:tcPr>
          <w:p w14:paraId="49D04BE0" w14:textId="77777777" w:rsidR="00BE4479" w:rsidRPr="00953F7D" w:rsidRDefault="00BE4479" w:rsidP="001C4F6D">
            <w:pPr>
              <w:autoSpaceDE w:val="0"/>
              <w:autoSpaceDN w:val="0"/>
              <w:adjustRightInd w:val="0"/>
              <w:spacing w:before="60" w:after="60"/>
              <w:ind w:left="0" w:hanging="40"/>
              <w:jc w:val="both"/>
              <w:rPr>
                <w:color w:val="000000"/>
              </w:rPr>
            </w:pPr>
            <w:r w:rsidRPr="00953F7D">
              <w:rPr>
                <w:color w:val="000000"/>
              </w:rPr>
              <w:t>The scope of acceptance by APRA.</w:t>
            </w:r>
          </w:p>
        </w:tc>
      </w:tr>
      <w:tr w:rsidR="00BE4479" w:rsidRPr="00953F7D" w14:paraId="49D04BE8" w14:textId="77777777" w:rsidTr="00945F1D">
        <w:trPr>
          <w:trHeight w:val="240"/>
          <w:jc w:val="center"/>
        </w:trPr>
        <w:tc>
          <w:tcPr>
            <w:tcW w:w="1520" w:type="dxa"/>
            <w:vMerge/>
            <w:tcBorders>
              <w:left w:val="single" w:sz="4" w:space="0" w:color="000000"/>
              <w:bottom w:val="single" w:sz="4" w:space="0" w:color="000000"/>
              <w:right w:val="single" w:sz="4" w:space="0" w:color="000000"/>
            </w:tcBorders>
          </w:tcPr>
          <w:p w14:paraId="49D04BE2" w14:textId="77777777" w:rsidR="00BE4479" w:rsidRPr="00953F7D" w:rsidRDefault="00BE4479" w:rsidP="009164E6">
            <w:pPr>
              <w:autoSpaceDE w:val="0"/>
              <w:autoSpaceDN w:val="0"/>
              <w:adjustRightInd w:val="0"/>
              <w:spacing w:before="60" w:after="60"/>
              <w:jc w:val="both"/>
            </w:pPr>
          </w:p>
        </w:tc>
        <w:tc>
          <w:tcPr>
            <w:tcW w:w="538" w:type="dxa"/>
            <w:tcBorders>
              <w:top w:val="single" w:sz="4" w:space="0" w:color="000000"/>
              <w:left w:val="single" w:sz="4" w:space="0" w:color="000000"/>
              <w:bottom w:val="single" w:sz="4" w:space="0" w:color="000000"/>
              <w:right w:val="single" w:sz="4" w:space="0" w:color="000000"/>
            </w:tcBorders>
          </w:tcPr>
          <w:p w14:paraId="49D04BE3" w14:textId="77777777" w:rsidR="00BE4479" w:rsidRPr="00953F7D" w:rsidRDefault="00BE4479" w:rsidP="009164E6">
            <w:pPr>
              <w:autoSpaceDE w:val="0"/>
              <w:autoSpaceDN w:val="0"/>
              <w:adjustRightInd w:val="0"/>
              <w:spacing w:before="60" w:after="60"/>
              <w:jc w:val="both"/>
              <w:rPr>
                <w:color w:val="000000"/>
              </w:rPr>
            </w:pPr>
            <w:r w:rsidRPr="00953F7D">
              <w:rPr>
                <w:color w:val="000000"/>
              </w:rPr>
              <w:t>(e)</w:t>
            </w:r>
          </w:p>
        </w:tc>
        <w:tc>
          <w:tcPr>
            <w:tcW w:w="6115" w:type="dxa"/>
            <w:tcBorders>
              <w:top w:val="single" w:sz="4" w:space="0" w:color="000000"/>
              <w:left w:val="single" w:sz="4" w:space="0" w:color="000000"/>
              <w:bottom w:val="single" w:sz="4" w:space="0" w:color="000000"/>
              <w:right w:val="single" w:sz="4" w:space="0" w:color="000000"/>
            </w:tcBorders>
          </w:tcPr>
          <w:p w14:paraId="49D04BE4" w14:textId="77777777" w:rsidR="00BE4479" w:rsidRPr="00953F7D" w:rsidRDefault="00BE4479" w:rsidP="001C4F6D">
            <w:pPr>
              <w:autoSpaceDE w:val="0"/>
              <w:autoSpaceDN w:val="0"/>
              <w:adjustRightInd w:val="0"/>
              <w:spacing w:before="60" w:after="60"/>
              <w:ind w:left="0" w:hanging="40"/>
              <w:jc w:val="both"/>
              <w:rPr>
                <w:color w:val="000000"/>
              </w:rPr>
            </w:pPr>
            <w:r w:rsidRPr="00953F7D">
              <w:rPr>
                <w:color w:val="000000"/>
              </w:rPr>
              <w:t>For the incremental risk capital charge and the comprehensive risk capital charge the methodologies used and the risks measured through the use of internal models. Included in the qualitative description must be:</w:t>
            </w:r>
          </w:p>
          <w:p w14:paraId="49D04BE5" w14:textId="77777777" w:rsidR="00BE4479" w:rsidRPr="00953F7D" w:rsidRDefault="00BE4479" w:rsidP="00E9482F">
            <w:pPr>
              <w:keepNext/>
              <w:keepLines/>
              <w:numPr>
                <w:ilvl w:val="0"/>
                <w:numId w:val="10"/>
              </w:numPr>
              <w:autoSpaceDE w:val="0"/>
              <w:autoSpaceDN w:val="0"/>
              <w:adjustRightInd w:val="0"/>
              <w:spacing w:before="60" w:after="60"/>
              <w:jc w:val="both"/>
              <w:rPr>
                <w:color w:val="000000"/>
              </w:rPr>
            </w:pPr>
            <w:r w:rsidRPr="00953F7D">
              <w:rPr>
                <w:color w:val="000000"/>
              </w:rPr>
              <w:t>the approach used by the ADI to determine liquidity horizons;</w:t>
            </w:r>
          </w:p>
          <w:p w14:paraId="49D04BE6" w14:textId="77777777" w:rsidR="00BE4479" w:rsidRPr="00953F7D" w:rsidRDefault="00BE4479" w:rsidP="00E9482F">
            <w:pPr>
              <w:keepNext/>
              <w:keepLines/>
              <w:numPr>
                <w:ilvl w:val="0"/>
                <w:numId w:val="10"/>
              </w:numPr>
              <w:autoSpaceDE w:val="0"/>
              <w:autoSpaceDN w:val="0"/>
              <w:adjustRightInd w:val="0"/>
              <w:spacing w:before="60" w:after="60"/>
              <w:jc w:val="both"/>
              <w:rPr>
                <w:color w:val="000000"/>
              </w:rPr>
            </w:pPr>
            <w:r w:rsidRPr="00953F7D">
              <w:rPr>
                <w:color w:val="000000"/>
              </w:rPr>
              <w:t>the methodologies used to achieve a capital assessment that is consistent with the required soundness standard; and</w:t>
            </w:r>
          </w:p>
          <w:p w14:paraId="49D04BE7" w14:textId="77777777" w:rsidR="00BE4479" w:rsidRPr="00953F7D" w:rsidRDefault="00BE4479" w:rsidP="00E9482F">
            <w:pPr>
              <w:keepNext/>
              <w:keepLines/>
              <w:numPr>
                <w:ilvl w:val="0"/>
                <w:numId w:val="10"/>
              </w:numPr>
              <w:autoSpaceDE w:val="0"/>
              <w:autoSpaceDN w:val="0"/>
              <w:adjustRightInd w:val="0"/>
              <w:spacing w:before="60" w:after="60"/>
              <w:jc w:val="both"/>
              <w:rPr>
                <w:color w:val="000000"/>
              </w:rPr>
            </w:pPr>
            <w:r w:rsidRPr="00953F7D">
              <w:rPr>
                <w:color w:val="000000"/>
              </w:rPr>
              <w:t>the approaches used in the validation of the models.</w:t>
            </w:r>
          </w:p>
        </w:tc>
      </w:tr>
      <w:tr w:rsidR="00742F5F" w:rsidRPr="00953F7D" w14:paraId="49D04BF0" w14:textId="77777777" w:rsidTr="009C3F64">
        <w:trPr>
          <w:trHeight w:val="699"/>
          <w:jc w:val="center"/>
        </w:trPr>
        <w:tc>
          <w:tcPr>
            <w:tcW w:w="1520" w:type="dxa"/>
            <w:tcBorders>
              <w:top w:val="single" w:sz="4" w:space="0" w:color="000000"/>
              <w:left w:val="single" w:sz="4" w:space="0" w:color="000000"/>
              <w:bottom w:val="single" w:sz="4" w:space="0" w:color="000000"/>
              <w:right w:val="single" w:sz="4" w:space="0" w:color="000000"/>
            </w:tcBorders>
          </w:tcPr>
          <w:p w14:paraId="49D04BE9" w14:textId="77777777" w:rsidR="00742F5F" w:rsidRPr="00953F7D" w:rsidRDefault="00742F5F" w:rsidP="005F4B4B">
            <w:pPr>
              <w:autoSpaceDE w:val="0"/>
              <w:autoSpaceDN w:val="0"/>
              <w:adjustRightInd w:val="0"/>
              <w:spacing w:before="60" w:after="60"/>
              <w:ind w:left="-15" w:firstLine="15"/>
              <w:jc w:val="both"/>
              <w:rPr>
                <w:color w:val="000000"/>
              </w:rPr>
            </w:pPr>
            <w:r w:rsidRPr="00953F7D">
              <w:rPr>
                <w:b/>
                <w:bCs/>
                <w:color w:val="000000"/>
              </w:rPr>
              <w:t>Quantitative disclosures</w:t>
            </w:r>
          </w:p>
        </w:tc>
        <w:tc>
          <w:tcPr>
            <w:tcW w:w="538" w:type="dxa"/>
            <w:tcBorders>
              <w:top w:val="single" w:sz="4" w:space="0" w:color="000000"/>
              <w:left w:val="single" w:sz="4" w:space="0" w:color="000000"/>
              <w:bottom w:val="single" w:sz="4" w:space="0" w:color="000000"/>
              <w:right w:val="single" w:sz="4" w:space="0" w:color="000000"/>
            </w:tcBorders>
          </w:tcPr>
          <w:p w14:paraId="49D04BEA" w14:textId="77777777" w:rsidR="00742F5F" w:rsidRPr="00953F7D" w:rsidRDefault="00044A3D" w:rsidP="009164E6">
            <w:pPr>
              <w:autoSpaceDE w:val="0"/>
              <w:autoSpaceDN w:val="0"/>
              <w:adjustRightInd w:val="0"/>
              <w:spacing w:before="60" w:after="60"/>
              <w:jc w:val="both"/>
              <w:rPr>
                <w:color w:val="000000"/>
              </w:rPr>
            </w:pPr>
            <w:r w:rsidRPr="00953F7D">
              <w:rPr>
                <w:color w:val="000000"/>
              </w:rPr>
              <w:t>(f</w:t>
            </w:r>
            <w:r w:rsidR="00742F5F" w:rsidRPr="00953F7D">
              <w:rPr>
                <w:color w:val="000000"/>
              </w:rPr>
              <w:t>)</w:t>
            </w:r>
          </w:p>
        </w:tc>
        <w:tc>
          <w:tcPr>
            <w:tcW w:w="6115" w:type="dxa"/>
            <w:tcBorders>
              <w:top w:val="single" w:sz="4" w:space="0" w:color="000000"/>
              <w:left w:val="single" w:sz="4" w:space="0" w:color="000000"/>
              <w:bottom w:val="single" w:sz="4" w:space="0" w:color="000000"/>
              <w:right w:val="single" w:sz="4" w:space="0" w:color="000000"/>
            </w:tcBorders>
          </w:tcPr>
          <w:p w14:paraId="49D04BEB" w14:textId="77777777" w:rsidR="00742F5F" w:rsidRPr="00953F7D" w:rsidRDefault="00742F5F" w:rsidP="001C4F6D">
            <w:pPr>
              <w:autoSpaceDE w:val="0"/>
              <w:autoSpaceDN w:val="0"/>
              <w:adjustRightInd w:val="0"/>
              <w:spacing w:before="60" w:after="60"/>
              <w:ind w:left="0" w:hanging="40"/>
              <w:jc w:val="both"/>
              <w:rPr>
                <w:color w:val="000000"/>
              </w:rPr>
            </w:pPr>
            <w:r w:rsidRPr="00953F7D">
              <w:rPr>
                <w:color w:val="000000"/>
              </w:rPr>
              <w:t>For trading portfolios under the IMA:</w:t>
            </w:r>
          </w:p>
          <w:p w14:paraId="49D04BEC" w14:textId="77777777" w:rsidR="00742F5F" w:rsidRPr="00953F7D" w:rsidRDefault="00742F5F" w:rsidP="00E9482F">
            <w:pPr>
              <w:numPr>
                <w:ilvl w:val="0"/>
                <w:numId w:val="10"/>
              </w:numPr>
              <w:autoSpaceDE w:val="0"/>
              <w:autoSpaceDN w:val="0"/>
              <w:adjustRightInd w:val="0"/>
              <w:spacing w:before="60" w:after="60"/>
              <w:jc w:val="both"/>
              <w:rPr>
                <w:color w:val="000000"/>
              </w:rPr>
            </w:pPr>
            <w:r w:rsidRPr="00953F7D">
              <w:rPr>
                <w:color w:val="000000"/>
              </w:rPr>
              <w:t xml:space="preserve">the high, mean and low value-at-risk (VaR) values over the reporting period and period end; </w:t>
            </w:r>
          </w:p>
          <w:p w14:paraId="49D04BED" w14:textId="77777777" w:rsidR="00742F5F" w:rsidRPr="00953F7D" w:rsidRDefault="00742F5F" w:rsidP="00E9482F">
            <w:pPr>
              <w:numPr>
                <w:ilvl w:val="0"/>
                <w:numId w:val="10"/>
              </w:numPr>
              <w:autoSpaceDE w:val="0"/>
              <w:autoSpaceDN w:val="0"/>
              <w:adjustRightInd w:val="0"/>
              <w:spacing w:before="60" w:after="60"/>
              <w:jc w:val="both"/>
              <w:rPr>
                <w:color w:val="000000"/>
              </w:rPr>
            </w:pPr>
            <w:r w:rsidRPr="00953F7D">
              <w:rPr>
                <w:color w:val="000000"/>
              </w:rPr>
              <w:t>the high, mean and low stressed VaR values over the reporting period and period-end;</w:t>
            </w:r>
          </w:p>
          <w:p w14:paraId="49D04BEE" w14:textId="77777777" w:rsidR="00742F5F" w:rsidRPr="00953F7D" w:rsidRDefault="00742F5F" w:rsidP="00E9482F">
            <w:pPr>
              <w:numPr>
                <w:ilvl w:val="0"/>
                <w:numId w:val="10"/>
              </w:numPr>
              <w:autoSpaceDE w:val="0"/>
              <w:autoSpaceDN w:val="0"/>
              <w:adjustRightInd w:val="0"/>
              <w:spacing w:before="60" w:after="60"/>
              <w:jc w:val="both"/>
              <w:rPr>
                <w:color w:val="000000"/>
              </w:rPr>
            </w:pPr>
            <w:r w:rsidRPr="00953F7D">
              <w:rPr>
                <w:color w:val="000000"/>
              </w:rPr>
              <w:t>the high. mean and low incremental and comprehensive risk capital charges over the reporting period and period-end; and</w:t>
            </w:r>
          </w:p>
          <w:p w14:paraId="49D04BEF" w14:textId="77777777" w:rsidR="00742F5F" w:rsidRPr="00953F7D" w:rsidRDefault="00742F5F" w:rsidP="00E9482F">
            <w:pPr>
              <w:numPr>
                <w:ilvl w:val="0"/>
                <w:numId w:val="10"/>
              </w:numPr>
              <w:autoSpaceDE w:val="0"/>
              <w:autoSpaceDN w:val="0"/>
              <w:adjustRightInd w:val="0"/>
              <w:spacing w:before="60" w:after="60"/>
              <w:jc w:val="both"/>
              <w:rPr>
                <w:color w:val="000000"/>
              </w:rPr>
            </w:pPr>
            <w:r w:rsidRPr="00953F7D">
              <w:rPr>
                <w:color w:val="000000"/>
              </w:rPr>
              <w:t>a comparison of VaR estimates with actual gains/losses experienced by the ADI, with analysis of important ‘outliers’ identified in back-test results.</w:t>
            </w:r>
          </w:p>
        </w:tc>
      </w:tr>
    </w:tbl>
    <w:p w14:paraId="49D04BF1" w14:textId="77777777" w:rsidR="00742F5F" w:rsidRPr="00953F7D" w:rsidRDefault="00742F5F" w:rsidP="00742F5F">
      <w:pPr>
        <w:keepNext/>
        <w:keepLines/>
        <w:autoSpaceDE w:val="0"/>
        <w:autoSpaceDN w:val="0"/>
        <w:adjustRightInd w:val="0"/>
        <w:spacing w:after="240"/>
        <w:ind w:left="284"/>
        <w:jc w:val="both"/>
        <w:rPr>
          <w:i/>
          <w:color w:val="000000"/>
        </w:rPr>
      </w:pPr>
      <w:r w:rsidRPr="00953F7D">
        <w:rPr>
          <w:i/>
          <w:color w:val="000000"/>
        </w:rPr>
        <w:t>Operational risk disclosures</w:t>
      </w:r>
    </w:p>
    <w:p w14:paraId="49D04BF2" w14:textId="77777777" w:rsidR="00742F5F" w:rsidRPr="00953F7D" w:rsidRDefault="00742F5F" w:rsidP="00044A3D">
      <w:pPr>
        <w:pStyle w:val="BodyText"/>
      </w:pPr>
      <w:r w:rsidRPr="00953F7D">
        <w:t>An ADI must disclose the items in Table 15, to the extent applicable.</w:t>
      </w:r>
    </w:p>
    <w:p w14:paraId="49D04BF3" w14:textId="77777777" w:rsidR="00742F5F" w:rsidRPr="00953F7D" w:rsidRDefault="00742F5F" w:rsidP="00830D13">
      <w:pPr>
        <w:keepNext/>
        <w:keepLines/>
        <w:autoSpaceDE w:val="0"/>
        <w:autoSpaceDN w:val="0"/>
        <w:adjustRightInd w:val="0"/>
        <w:spacing w:after="240"/>
        <w:ind w:firstLine="0"/>
        <w:jc w:val="both"/>
      </w:pPr>
      <w:r w:rsidRPr="00953F7D">
        <w:rPr>
          <w:color w:val="000000"/>
        </w:rPr>
        <w:t xml:space="preserve">Table 15: Operational risk </w:t>
      </w:r>
    </w:p>
    <w:tbl>
      <w:tblPr>
        <w:tblW w:w="8376" w:type="dxa"/>
        <w:jc w:val="center"/>
        <w:tblBorders>
          <w:top w:val="nil"/>
          <w:left w:val="nil"/>
          <w:bottom w:val="nil"/>
          <w:right w:val="nil"/>
        </w:tblBorders>
        <w:tblLayout w:type="fixed"/>
        <w:tblLook w:val="0000" w:firstRow="0" w:lastRow="0" w:firstColumn="0" w:lastColumn="0" w:noHBand="0" w:noVBand="0"/>
      </w:tblPr>
      <w:tblGrid>
        <w:gridCol w:w="1592"/>
        <w:gridCol w:w="567"/>
        <w:gridCol w:w="6217"/>
      </w:tblGrid>
      <w:tr w:rsidR="00742F5F" w:rsidRPr="00953F7D" w14:paraId="49D04BF7" w14:textId="77777777" w:rsidTr="004E7639">
        <w:trPr>
          <w:trHeight w:val="592"/>
          <w:jc w:val="center"/>
        </w:trPr>
        <w:tc>
          <w:tcPr>
            <w:tcW w:w="1592" w:type="dxa"/>
            <w:vMerge w:val="restart"/>
            <w:tcBorders>
              <w:top w:val="single" w:sz="4" w:space="0" w:color="000000"/>
              <w:left w:val="single" w:sz="4" w:space="0" w:color="000000"/>
              <w:right w:val="single" w:sz="4" w:space="0" w:color="000000"/>
            </w:tcBorders>
          </w:tcPr>
          <w:p w14:paraId="49D04BF4" w14:textId="77777777" w:rsidR="00742F5F" w:rsidRPr="00953F7D" w:rsidRDefault="00742F5F" w:rsidP="001C4F6D">
            <w:pPr>
              <w:keepNext/>
              <w:keepLines/>
              <w:autoSpaceDE w:val="0"/>
              <w:autoSpaceDN w:val="0"/>
              <w:adjustRightInd w:val="0"/>
              <w:spacing w:before="60" w:after="60"/>
              <w:ind w:left="0" w:firstLine="0"/>
              <w:jc w:val="both"/>
              <w:rPr>
                <w:color w:val="000000"/>
              </w:rPr>
            </w:pPr>
            <w:r w:rsidRPr="00953F7D">
              <w:rPr>
                <w:b/>
                <w:bCs/>
                <w:color w:val="000000"/>
              </w:rPr>
              <w:t>Qualitative disclosures</w:t>
            </w:r>
          </w:p>
        </w:tc>
        <w:tc>
          <w:tcPr>
            <w:tcW w:w="567" w:type="dxa"/>
            <w:tcBorders>
              <w:top w:val="single" w:sz="4" w:space="0" w:color="000000"/>
              <w:left w:val="single" w:sz="4" w:space="0" w:color="000000"/>
              <w:bottom w:val="single" w:sz="4" w:space="0" w:color="000000"/>
              <w:right w:val="single" w:sz="4" w:space="0" w:color="000000"/>
            </w:tcBorders>
          </w:tcPr>
          <w:p w14:paraId="49D04BF5" w14:textId="77777777" w:rsidR="00742F5F" w:rsidRPr="00953F7D" w:rsidRDefault="00742F5F" w:rsidP="009164E6">
            <w:pPr>
              <w:keepNext/>
              <w:keepLines/>
              <w:autoSpaceDE w:val="0"/>
              <w:autoSpaceDN w:val="0"/>
              <w:adjustRightInd w:val="0"/>
              <w:spacing w:before="60" w:after="60"/>
              <w:jc w:val="both"/>
              <w:rPr>
                <w:color w:val="000000"/>
              </w:rPr>
            </w:pPr>
            <w:r w:rsidRPr="00953F7D">
              <w:rPr>
                <w:color w:val="000000"/>
              </w:rPr>
              <w:t>(a)</w:t>
            </w:r>
          </w:p>
        </w:tc>
        <w:tc>
          <w:tcPr>
            <w:tcW w:w="6217" w:type="dxa"/>
            <w:tcBorders>
              <w:top w:val="single" w:sz="4" w:space="0" w:color="000000"/>
              <w:left w:val="single" w:sz="4" w:space="0" w:color="000000"/>
              <w:bottom w:val="single" w:sz="4" w:space="0" w:color="000000"/>
              <w:right w:val="single" w:sz="4" w:space="0" w:color="000000"/>
            </w:tcBorders>
          </w:tcPr>
          <w:p w14:paraId="49D04BF6" w14:textId="77777777" w:rsidR="00742F5F" w:rsidRPr="00953F7D" w:rsidRDefault="00742F5F" w:rsidP="001C4F6D">
            <w:pPr>
              <w:autoSpaceDE w:val="0"/>
              <w:autoSpaceDN w:val="0"/>
              <w:adjustRightInd w:val="0"/>
              <w:spacing w:before="60" w:after="60"/>
              <w:ind w:left="0" w:hanging="40"/>
              <w:jc w:val="both"/>
              <w:rPr>
                <w:color w:val="000000"/>
              </w:rPr>
            </w:pPr>
            <w:r w:rsidRPr="00953F7D">
              <w:rPr>
                <w:color w:val="000000"/>
              </w:rPr>
              <w:t xml:space="preserve">In addition to the general qualitative disclosure requirement (refer to paragraph </w:t>
            </w:r>
            <w:r w:rsidR="00CD6CE4" w:rsidRPr="00953F7D">
              <w:rPr>
                <w:color w:val="000000"/>
              </w:rPr>
              <w:fldChar w:fldCharType="begin"/>
            </w:r>
            <w:r w:rsidR="00CD6CE4" w:rsidRPr="00953F7D">
              <w:rPr>
                <w:color w:val="000000"/>
              </w:rPr>
              <w:instrText xml:space="preserve"> REF _Ref412477308 \r \h </w:instrText>
            </w:r>
            <w:r w:rsidR="00953F7D">
              <w:rPr>
                <w:color w:val="000000"/>
              </w:rPr>
              <w:instrText xml:space="preserve"> \* MERGEFORMAT </w:instrText>
            </w:r>
            <w:r w:rsidR="00CD6CE4" w:rsidRPr="00953F7D">
              <w:rPr>
                <w:color w:val="000000"/>
              </w:rPr>
            </w:r>
            <w:r w:rsidR="00CD6CE4" w:rsidRPr="00953F7D">
              <w:rPr>
                <w:color w:val="000000"/>
              </w:rPr>
              <w:fldChar w:fldCharType="separate"/>
            </w:r>
            <w:r w:rsidR="007D232B">
              <w:rPr>
                <w:color w:val="000000"/>
              </w:rPr>
              <w:t>3</w:t>
            </w:r>
            <w:r w:rsidR="00CD6CE4" w:rsidRPr="00953F7D">
              <w:rPr>
                <w:color w:val="000000"/>
              </w:rPr>
              <w:fldChar w:fldCharType="end"/>
            </w:r>
            <w:r w:rsidR="00CD6CE4" w:rsidRPr="00953F7D">
              <w:rPr>
                <w:color w:val="000000"/>
              </w:rPr>
              <w:t xml:space="preserve"> </w:t>
            </w:r>
            <w:r w:rsidRPr="00953F7D">
              <w:rPr>
                <w:color w:val="000000"/>
              </w:rPr>
              <w:t>of this Attachment), the approach(es) for operational risk capital assessment for which the ADI qualifies.</w:t>
            </w:r>
          </w:p>
        </w:tc>
      </w:tr>
      <w:tr w:rsidR="00742F5F" w:rsidRPr="00953F7D" w14:paraId="49D04BFB" w14:textId="77777777" w:rsidTr="009C3F64">
        <w:trPr>
          <w:trHeight w:val="556"/>
          <w:jc w:val="center"/>
        </w:trPr>
        <w:tc>
          <w:tcPr>
            <w:tcW w:w="1592" w:type="dxa"/>
            <w:vMerge/>
            <w:tcBorders>
              <w:left w:val="single" w:sz="4" w:space="0" w:color="000000"/>
              <w:right w:val="single" w:sz="4" w:space="0" w:color="000000"/>
            </w:tcBorders>
          </w:tcPr>
          <w:p w14:paraId="49D04BF8" w14:textId="77777777" w:rsidR="00742F5F" w:rsidRPr="00953F7D" w:rsidRDefault="00742F5F" w:rsidP="009164E6">
            <w:pPr>
              <w:keepNext/>
              <w:keepLines/>
              <w:autoSpaceDE w:val="0"/>
              <w:autoSpaceDN w:val="0"/>
              <w:adjustRightInd w:val="0"/>
              <w:spacing w:before="60" w:after="60"/>
              <w:jc w:val="both"/>
            </w:pPr>
          </w:p>
        </w:tc>
        <w:tc>
          <w:tcPr>
            <w:tcW w:w="567" w:type="dxa"/>
            <w:tcBorders>
              <w:top w:val="single" w:sz="4" w:space="0" w:color="000000"/>
              <w:left w:val="single" w:sz="4" w:space="0" w:color="000000"/>
              <w:bottom w:val="single" w:sz="4" w:space="0" w:color="000000"/>
              <w:right w:val="single" w:sz="4" w:space="0" w:color="000000"/>
            </w:tcBorders>
          </w:tcPr>
          <w:p w14:paraId="49D04BF9" w14:textId="77777777" w:rsidR="00742F5F" w:rsidRPr="00953F7D" w:rsidRDefault="00742F5F" w:rsidP="009164E6">
            <w:pPr>
              <w:keepNext/>
              <w:keepLines/>
              <w:autoSpaceDE w:val="0"/>
              <w:autoSpaceDN w:val="0"/>
              <w:adjustRightInd w:val="0"/>
              <w:spacing w:before="60" w:after="60"/>
              <w:jc w:val="both"/>
              <w:rPr>
                <w:color w:val="000000"/>
              </w:rPr>
            </w:pPr>
            <w:r w:rsidRPr="00953F7D">
              <w:rPr>
                <w:color w:val="000000"/>
              </w:rPr>
              <w:t>(b)</w:t>
            </w:r>
          </w:p>
        </w:tc>
        <w:tc>
          <w:tcPr>
            <w:tcW w:w="6217" w:type="dxa"/>
            <w:tcBorders>
              <w:top w:val="single" w:sz="4" w:space="0" w:color="000000"/>
              <w:left w:val="single" w:sz="4" w:space="0" w:color="000000"/>
              <w:bottom w:val="single" w:sz="4" w:space="0" w:color="000000"/>
              <w:right w:val="single" w:sz="4" w:space="0" w:color="000000"/>
            </w:tcBorders>
          </w:tcPr>
          <w:p w14:paraId="49D04BFA" w14:textId="77777777" w:rsidR="00742F5F" w:rsidRPr="00953F7D" w:rsidRDefault="00742F5F" w:rsidP="001C4F6D">
            <w:pPr>
              <w:autoSpaceDE w:val="0"/>
              <w:autoSpaceDN w:val="0"/>
              <w:adjustRightInd w:val="0"/>
              <w:spacing w:before="60" w:after="60"/>
              <w:ind w:left="0" w:hanging="40"/>
              <w:jc w:val="both"/>
              <w:rPr>
                <w:color w:val="000000"/>
              </w:rPr>
            </w:pPr>
            <w:r w:rsidRPr="00953F7D">
              <w:rPr>
                <w:color w:val="000000"/>
              </w:rPr>
              <w:t>Description of the AMA used by the ADI, including a discussion of relevant internal and external factors considered in the ADI’s measurement approach. In the case of partial use, the scope and coverage of the different approaches used.</w:t>
            </w:r>
          </w:p>
        </w:tc>
      </w:tr>
      <w:tr w:rsidR="00742F5F" w:rsidRPr="00953F7D" w14:paraId="49D04BFF" w14:textId="77777777" w:rsidTr="009C3F64">
        <w:trPr>
          <w:trHeight w:val="448"/>
          <w:jc w:val="center"/>
        </w:trPr>
        <w:tc>
          <w:tcPr>
            <w:tcW w:w="1592" w:type="dxa"/>
            <w:vMerge/>
            <w:tcBorders>
              <w:left w:val="single" w:sz="4" w:space="0" w:color="000000"/>
              <w:bottom w:val="single" w:sz="4" w:space="0" w:color="000000"/>
              <w:right w:val="single" w:sz="4" w:space="0" w:color="000000"/>
            </w:tcBorders>
          </w:tcPr>
          <w:p w14:paraId="49D04BFC" w14:textId="77777777" w:rsidR="00742F5F" w:rsidRPr="00953F7D" w:rsidRDefault="00742F5F" w:rsidP="009164E6">
            <w:pPr>
              <w:autoSpaceDE w:val="0"/>
              <w:autoSpaceDN w:val="0"/>
              <w:adjustRightInd w:val="0"/>
              <w:spacing w:before="60" w:after="60"/>
              <w:jc w:val="both"/>
              <w:rPr>
                <w:color w:val="000000"/>
              </w:rPr>
            </w:pPr>
          </w:p>
        </w:tc>
        <w:tc>
          <w:tcPr>
            <w:tcW w:w="567" w:type="dxa"/>
            <w:tcBorders>
              <w:top w:val="single" w:sz="4" w:space="0" w:color="000000"/>
              <w:left w:val="single" w:sz="4" w:space="0" w:color="000000"/>
              <w:bottom w:val="single" w:sz="4" w:space="0" w:color="000000"/>
              <w:right w:val="single" w:sz="4" w:space="0" w:color="000000"/>
            </w:tcBorders>
          </w:tcPr>
          <w:p w14:paraId="49D04BFD" w14:textId="77777777" w:rsidR="00742F5F" w:rsidRPr="00953F7D" w:rsidRDefault="00742F5F" w:rsidP="009164E6">
            <w:pPr>
              <w:autoSpaceDE w:val="0"/>
              <w:autoSpaceDN w:val="0"/>
              <w:adjustRightInd w:val="0"/>
              <w:spacing w:before="60" w:after="60"/>
              <w:jc w:val="both"/>
              <w:rPr>
                <w:color w:val="000000"/>
              </w:rPr>
            </w:pPr>
            <w:r w:rsidRPr="00953F7D">
              <w:rPr>
                <w:color w:val="000000"/>
              </w:rPr>
              <w:t>(c)</w:t>
            </w:r>
          </w:p>
        </w:tc>
        <w:tc>
          <w:tcPr>
            <w:tcW w:w="6217" w:type="dxa"/>
            <w:tcBorders>
              <w:top w:val="single" w:sz="4" w:space="0" w:color="000000"/>
              <w:left w:val="single" w:sz="4" w:space="0" w:color="000000"/>
              <w:bottom w:val="single" w:sz="4" w:space="0" w:color="000000"/>
              <w:right w:val="single" w:sz="4" w:space="0" w:color="000000"/>
            </w:tcBorders>
            <w:vAlign w:val="center"/>
          </w:tcPr>
          <w:p w14:paraId="49D04BFE" w14:textId="77777777" w:rsidR="00742F5F" w:rsidRPr="00953F7D" w:rsidRDefault="00742F5F" w:rsidP="001C4F6D">
            <w:pPr>
              <w:autoSpaceDE w:val="0"/>
              <w:autoSpaceDN w:val="0"/>
              <w:adjustRightInd w:val="0"/>
              <w:spacing w:before="60" w:after="60"/>
              <w:ind w:left="0" w:hanging="40"/>
              <w:jc w:val="both"/>
              <w:rPr>
                <w:color w:val="000000"/>
              </w:rPr>
            </w:pPr>
            <w:r w:rsidRPr="00953F7D">
              <w:rPr>
                <w:color w:val="000000"/>
              </w:rPr>
              <w:t>For ADIs using the AMA, a description of the use of insurance for the purpose of mitigating operational risk.</w:t>
            </w:r>
          </w:p>
        </w:tc>
      </w:tr>
    </w:tbl>
    <w:p w14:paraId="49D04C00" w14:textId="77777777" w:rsidR="00614441" w:rsidRPr="00953F7D" w:rsidRDefault="00614441" w:rsidP="009C3F64">
      <w:pPr>
        <w:keepNext/>
        <w:keepLines/>
        <w:autoSpaceDE w:val="0"/>
        <w:autoSpaceDN w:val="0"/>
        <w:adjustRightInd w:val="0"/>
        <w:ind w:left="284"/>
        <w:jc w:val="both"/>
        <w:rPr>
          <w:i/>
          <w:color w:val="000000"/>
        </w:rPr>
      </w:pPr>
    </w:p>
    <w:p w14:paraId="49D04C01" w14:textId="77777777" w:rsidR="00742F5F" w:rsidRPr="009C3F64" w:rsidRDefault="00742F5F" w:rsidP="00742F5F">
      <w:pPr>
        <w:keepNext/>
        <w:keepLines/>
        <w:autoSpaceDE w:val="0"/>
        <w:autoSpaceDN w:val="0"/>
        <w:adjustRightInd w:val="0"/>
        <w:spacing w:after="240"/>
        <w:ind w:left="284"/>
        <w:jc w:val="both"/>
        <w:rPr>
          <w:i/>
          <w:color w:val="000000"/>
        </w:rPr>
      </w:pPr>
      <w:r w:rsidRPr="009C3F64">
        <w:rPr>
          <w:i/>
          <w:color w:val="000000"/>
        </w:rPr>
        <w:t>Equities</w:t>
      </w:r>
    </w:p>
    <w:p w14:paraId="49D04C02" w14:textId="77777777" w:rsidR="00742F5F" w:rsidRPr="00953F7D" w:rsidRDefault="00742F5F" w:rsidP="00044A3D">
      <w:pPr>
        <w:pStyle w:val="BodyText"/>
      </w:pPr>
      <w:r w:rsidRPr="00953F7D">
        <w:t>An ADI must disclose the items in Table 16, to the extent applicable.</w:t>
      </w:r>
    </w:p>
    <w:p w14:paraId="49D04C03" w14:textId="77777777" w:rsidR="00742F5F" w:rsidRPr="00953F7D" w:rsidRDefault="00742F5F" w:rsidP="00830D13">
      <w:pPr>
        <w:keepNext/>
        <w:keepLines/>
        <w:autoSpaceDE w:val="0"/>
        <w:autoSpaceDN w:val="0"/>
        <w:adjustRightInd w:val="0"/>
        <w:spacing w:after="240"/>
        <w:ind w:firstLine="0"/>
        <w:jc w:val="both"/>
      </w:pPr>
      <w:r w:rsidRPr="00953F7D">
        <w:rPr>
          <w:color w:val="000000"/>
        </w:rPr>
        <w:t xml:space="preserve">Table 16: </w:t>
      </w:r>
      <w:r w:rsidRPr="00953F7D">
        <w:rPr>
          <w:bCs/>
          <w:color w:val="000000"/>
        </w:rPr>
        <w:t xml:space="preserve">Equities - disclosures for banking book positions </w:t>
      </w:r>
    </w:p>
    <w:tbl>
      <w:tblPr>
        <w:tblW w:w="8398" w:type="dxa"/>
        <w:jc w:val="center"/>
        <w:tblBorders>
          <w:top w:val="nil"/>
          <w:left w:val="nil"/>
          <w:bottom w:val="nil"/>
          <w:right w:val="nil"/>
        </w:tblBorders>
        <w:tblLayout w:type="fixed"/>
        <w:tblLook w:val="0000" w:firstRow="0" w:lastRow="0" w:firstColumn="0" w:lastColumn="0" w:noHBand="0" w:noVBand="0"/>
      </w:tblPr>
      <w:tblGrid>
        <w:gridCol w:w="1603"/>
        <w:gridCol w:w="567"/>
        <w:gridCol w:w="6228"/>
      </w:tblGrid>
      <w:tr w:rsidR="00742F5F" w:rsidRPr="00953F7D" w14:paraId="49D04C09" w14:textId="77777777" w:rsidTr="004E7639">
        <w:trPr>
          <w:trHeight w:val="1787"/>
          <w:jc w:val="center"/>
        </w:trPr>
        <w:tc>
          <w:tcPr>
            <w:tcW w:w="1603" w:type="dxa"/>
            <w:tcBorders>
              <w:top w:val="single" w:sz="4" w:space="0" w:color="000000"/>
              <w:left w:val="single" w:sz="4" w:space="0" w:color="000000"/>
              <w:bottom w:val="single" w:sz="4" w:space="0" w:color="000000"/>
              <w:right w:val="single" w:sz="4" w:space="0" w:color="000000"/>
            </w:tcBorders>
          </w:tcPr>
          <w:p w14:paraId="49D04C04" w14:textId="77777777" w:rsidR="00742F5F" w:rsidRPr="00953F7D" w:rsidRDefault="00742F5F" w:rsidP="00410391">
            <w:pPr>
              <w:autoSpaceDE w:val="0"/>
              <w:autoSpaceDN w:val="0"/>
              <w:adjustRightInd w:val="0"/>
              <w:spacing w:before="60" w:after="60"/>
              <w:ind w:left="0" w:firstLine="0"/>
              <w:jc w:val="both"/>
              <w:rPr>
                <w:color w:val="000000"/>
              </w:rPr>
            </w:pPr>
            <w:r w:rsidRPr="00953F7D">
              <w:rPr>
                <w:b/>
                <w:bCs/>
                <w:color w:val="000000"/>
              </w:rPr>
              <w:t>Qualitative disclosures</w:t>
            </w:r>
          </w:p>
        </w:tc>
        <w:tc>
          <w:tcPr>
            <w:tcW w:w="567" w:type="dxa"/>
            <w:tcBorders>
              <w:top w:val="single" w:sz="4" w:space="0" w:color="000000"/>
              <w:left w:val="single" w:sz="4" w:space="0" w:color="000000"/>
              <w:bottom w:val="single" w:sz="4" w:space="0" w:color="000000"/>
              <w:right w:val="single" w:sz="4" w:space="0" w:color="000000"/>
            </w:tcBorders>
          </w:tcPr>
          <w:p w14:paraId="49D04C05" w14:textId="77777777" w:rsidR="00742F5F" w:rsidRPr="00953F7D" w:rsidRDefault="00742F5F" w:rsidP="009164E6">
            <w:pPr>
              <w:keepNext/>
              <w:keepLines/>
              <w:autoSpaceDE w:val="0"/>
              <w:autoSpaceDN w:val="0"/>
              <w:adjustRightInd w:val="0"/>
              <w:spacing w:before="60" w:after="60"/>
              <w:jc w:val="both"/>
              <w:rPr>
                <w:color w:val="000000"/>
              </w:rPr>
            </w:pPr>
            <w:r w:rsidRPr="00953F7D">
              <w:rPr>
                <w:color w:val="000000"/>
              </w:rPr>
              <w:t>(a)</w:t>
            </w:r>
          </w:p>
        </w:tc>
        <w:tc>
          <w:tcPr>
            <w:tcW w:w="6228" w:type="dxa"/>
            <w:tcBorders>
              <w:top w:val="single" w:sz="4" w:space="0" w:color="000000"/>
              <w:left w:val="single" w:sz="4" w:space="0" w:color="000000"/>
              <w:bottom w:val="single" w:sz="4" w:space="0" w:color="000000"/>
              <w:right w:val="single" w:sz="4" w:space="0" w:color="000000"/>
            </w:tcBorders>
          </w:tcPr>
          <w:p w14:paraId="49D04C06" w14:textId="77777777" w:rsidR="00742F5F" w:rsidRPr="00953F7D" w:rsidRDefault="00742F5F" w:rsidP="001C4F6D">
            <w:pPr>
              <w:autoSpaceDE w:val="0"/>
              <w:autoSpaceDN w:val="0"/>
              <w:adjustRightInd w:val="0"/>
              <w:spacing w:before="60" w:after="60"/>
              <w:ind w:left="0" w:hanging="40"/>
              <w:jc w:val="both"/>
              <w:rPr>
                <w:color w:val="000000"/>
              </w:rPr>
            </w:pPr>
            <w:r w:rsidRPr="00953F7D">
              <w:rPr>
                <w:color w:val="000000"/>
              </w:rPr>
              <w:t xml:space="preserve">The general qualitative disclosure requirement (refer to paragraph </w:t>
            </w:r>
            <w:r w:rsidR="00CD6CE4" w:rsidRPr="00953F7D">
              <w:rPr>
                <w:color w:val="000000"/>
              </w:rPr>
              <w:fldChar w:fldCharType="begin"/>
            </w:r>
            <w:r w:rsidR="00CD6CE4" w:rsidRPr="00953F7D">
              <w:rPr>
                <w:color w:val="000000"/>
              </w:rPr>
              <w:instrText xml:space="preserve"> REF _Ref412477308 \r \h </w:instrText>
            </w:r>
            <w:r w:rsidR="00953F7D">
              <w:rPr>
                <w:color w:val="000000"/>
              </w:rPr>
              <w:instrText xml:space="preserve"> \* MERGEFORMAT </w:instrText>
            </w:r>
            <w:r w:rsidR="00CD6CE4" w:rsidRPr="00953F7D">
              <w:rPr>
                <w:color w:val="000000"/>
              </w:rPr>
            </w:r>
            <w:r w:rsidR="00CD6CE4" w:rsidRPr="00953F7D">
              <w:rPr>
                <w:color w:val="000000"/>
              </w:rPr>
              <w:fldChar w:fldCharType="separate"/>
            </w:r>
            <w:r w:rsidR="007D232B">
              <w:rPr>
                <w:color w:val="000000"/>
              </w:rPr>
              <w:t>3</w:t>
            </w:r>
            <w:r w:rsidR="00CD6CE4" w:rsidRPr="00953F7D">
              <w:rPr>
                <w:color w:val="000000"/>
              </w:rPr>
              <w:fldChar w:fldCharType="end"/>
            </w:r>
            <w:r w:rsidRPr="00953F7D">
              <w:t xml:space="preserve"> </w:t>
            </w:r>
            <w:r w:rsidRPr="00953F7D">
              <w:rPr>
                <w:color w:val="000000"/>
              </w:rPr>
              <w:t>of this Attachment) with respect to equity risk, including:</w:t>
            </w:r>
          </w:p>
          <w:p w14:paraId="49D04C07" w14:textId="77777777" w:rsidR="00742F5F" w:rsidRPr="00953F7D" w:rsidRDefault="00742F5F" w:rsidP="00E9482F">
            <w:pPr>
              <w:keepNext/>
              <w:keepLines/>
              <w:numPr>
                <w:ilvl w:val="0"/>
                <w:numId w:val="11"/>
              </w:numPr>
              <w:autoSpaceDE w:val="0"/>
              <w:autoSpaceDN w:val="0"/>
              <w:adjustRightInd w:val="0"/>
              <w:spacing w:before="60" w:after="60"/>
              <w:jc w:val="both"/>
              <w:rPr>
                <w:color w:val="000000"/>
              </w:rPr>
            </w:pPr>
            <w:r w:rsidRPr="00953F7D">
              <w:rPr>
                <w:color w:val="000000"/>
              </w:rPr>
              <w:t>differentiation between holdings on which capital gains are expected and those taken under other objectives including for relationship and strategic reasons; and</w:t>
            </w:r>
          </w:p>
          <w:p w14:paraId="49D04C08" w14:textId="77777777" w:rsidR="00742F5F" w:rsidRPr="00953F7D" w:rsidRDefault="00742F5F" w:rsidP="00E9482F">
            <w:pPr>
              <w:keepNext/>
              <w:keepLines/>
              <w:numPr>
                <w:ilvl w:val="0"/>
                <w:numId w:val="11"/>
              </w:numPr>
              <w:autoSpaceDE w:val="0"/>
              <w:autoSpaceDN w:val="0"/>
              <w:adjustRightInd w:val="0"/>
              <w:spacing w:before="60" w:after="60"/>
              <w:jc w:val="both"/>
              <w:rPr>
                <w:color w:val="000000"/>
              </w:rPr>
            </w:pPr>
            <w:r w:rsidRPr="00953F7D">
              <w:rPr>
                <w:color w:val="000000"/>
              </w:rPr>
              <w:t>discussion of important policies covering the valuation and accounting of equity holdings in the banking book. This includes the accounting techniques and valuation methodologies used, including key assumptions and practices affecting valuation as well as significant changes in these practices.</w:t>
            </w:r>
          </w:p>
        </w:tc>
      </w:tr>
      <w:tr w:rsidR="0019466D" w:rsidRPr="00953F7D" w14:paraId="49D04C0D" w14:textId="77777777" w:rsidTr="00945F1D">
        <w:trPr>
          <w:trHeight w:val="756"/>
          <w:jc w:val="center"/>
        </w:trPr>
        <w:tc>
          <w:tcPr>
            <w:tcW w:w="1603" w:type="dxa"/>
            <w:vMerge w:val="restart"/>
            <w:tcBorders>
              <w:top w:val="single" w:sz="4" w:space="0" w:color="000000"/>
              <w:left w:val="single" w:sz="4" w:space="0" w:color="000000"/>
              <w:right w:val="single" w:sz="4" w:space="0" w:color="000000"/>
            </w:tcBorders>
          </w:tcPr>
          <w:p w14:paraId="49D04C0A" w14:textId="77777777" w:rsidR="0019466D" w:rsidRPr="00953F7D" w:rsidRDefault="0019466D" w:rsidP="001C4F6D">
            <w:pPr>
              <w:keepNext/>
              <w:keepLines/>
              <w:autoSpaceDE w:val="0"/>
              <w:autoSpaceDN w:val="0"/>
              <w:adjustRightInd w:val="0"/>
              <w:spacing w:before="60" w:after="60"/>
              <w:ind w:left="0" w:firstLine="0"/>
              <w:jc w:val="both"/>
              <w:rPr>
                <w:b/>
                <w:bCs/>
                <w:color w:val="000000"/>
              </w:rPr>
            </w:pPr>
            <w:r w:rsidRPr="00953F7D">
              <w:rPr>
                <w:b/>
                <w:bCs/>
                <w:color w:val="000000"/>
              </w:rPr>
              <w:t>Quantitative disclosures</w:t>
            </w:r>
          </w:p>
        </w:tc>
        <w:tc>
          <w:tcPr>
            <w:tcW w:w="567" w:type="dxa"/>
            <w:tcBorders>
              <w:top w:val="single" w:sz="4" w:space="0" w:color="000000"/>
              <w:left w:val="single" w:sz="4" w:space="0" w:color="000000"/>
              <w:bottom w:val="single" w:sz="4" w:space="0" w:color="000000"/>
              <w:right w:val="single" w:sz="4" w:space="0" w:color="000000"/>
            </w:tcBorders>
          </w:tcPr>
          <w:p w14:paraId="49D04C0B" w14:textId="77777777" w:rsidR="0019466D" w:rsidRPr="00953F7D" w:rsidRDefault="0019466D" w:rsidP="009164E6">
            <w:pPr>
              <w:autoSpaceDE w:val="0"/>
              <w:autoSpaceDN w:val="0"/>
              <w:adjustRightInd w:val="0"/>
              <w:spacing w:before="60" w:after="60"/>
              <w:jc w:val="both"/>
              <w:rPr>
                <w:color w:val="000000"/>
              </w:rPr>
            </w:pPr>
            <w:r w:rsidRPr="00953F7D">
              <w:rPr>
                <w:color w:val="000000"/>
              </w:rPr>
              <w:t>(b)</w:t>
            </w:r>
          </w:p>
        </w:tc>
        <w:tc>
          <w:tcPr>
            <w:tcW w:w="6228" w:type="dxa"/>
            <w:tcBorders>
              <w:top w:val="single" w:sz="4" w:space="0" w:color="000000"/>
              <w:left w:val="single" w:sz="4" w:space="0" w:color="000000"/>
              <w:bottom w:val="single" w:sz="4" w:space="0" w:color="000000"/>
              <w:right w:val="single" w:sz="4" w:space="0" w:color="000000"/>
            </w:tcBorders>
          </w:tcPr>
          <w:p w14:paraId="49D04C0C" w14:textId="77777777" w:rsidR="0019466D" w:rsidRPr="00953F7D" w:rsidRDefault="0019466D" w:rsidP="001C4F6D">
            <w:pPr>
              <w:autoSpaceDE w:val="0"/>
              <w:autoSpaceDN w:val="0"/>
              <w:adjustRightInd w:val="0"/>
              <w:spacing w:before="60" w:after="60"/>
              <w:ind w:left="0" w:hanging="40"/>
              <w:jc w:val="both"/>
              <w:rPr>
                <w:color w:val="000000"/>
              </w:rPr>
            </w:pPr>
            <w:r w:rsidRPr="00953F7D">
              <w:rPr>
                <w:color w:val="000000"/>
              </w:rPr>
              <w:t>Value disclosed in the balance sheet of investments, as well as the fair value of those investments; for quoted securities, a comparison to publicly quoted share values where the share price is materially different from fair value.</w:t>
            </w:r>
          </w:p>
        </w:tc>
      </w:tr>
      <w:tr w:rsidR="0019466D" w:rsidRPr="00953F7D" w14:paraId="49D04C13" w14:textId="77777777" w:rsidTr="00945F1D">
        <w:trPr>
          <w:trHeight w:val="925"/>
          <w:jc w:val="center"/>
        </w:trPr>
        <w:tc>
          <w:tcPr>
            <w:tcW w:w="1603" w:type="dxa"/>
            <w:vMerge/>
            <w:tcBorders>
              <w:left w:val="single" w:sz="4" w:space="0" w:color="000000"/>
              <w:right w:val="single" w:sz="4" w:space="0" w:color="000000"/>
            </w:tcBorders>
          </w:tcPr>
          <w:p w14:paraId="49D04C0E" w14:textId="77777777" w:rsidR="0019466D" w:rsidRPr="00953F7D" w:rsidRDefault="0019466D" w:rsidP="009164E6">
            <w:pPr>
              <w:autoSpaceDE w:val="0"/>
              <w:autoSpaceDN w:val="0"/>
              <w:adjustRightInd w:val="0"/>
              <w:spacing w:before="60" w:after="60"/>
              <w:jc w:val="both"/>
            </w:pPr>
          </w:p>
        </w:tc>
        <w:tc>
          <w:tcPr>
            <w:tcW w:w="567" w:type="dxa"/>
            <w:tcBorders>
              <w:top w:val="single" w:sz="4" w:space="0" w:color="000000"/>
              <w:left w:val="single" w:sz="4" w:space="0" w:color="000000"/>
              <w:bottom w:val="single" w:sz="4" w:space="0" w:color="000000"/>
              <w:right w:val="single" w:sz="4" w:space="0" w:color="000000"/>
            </w:tcBorders>
          </w:tcPr>
          <w:p w14:paraId="49D04C0F" w14:textId="77777777" w:rsidR="0019466D" w:rsidRPr="00953F7D" w:rsidRDefault="0019466D" w:rsidP="009164E6">
            <w:pPr>
              <w:autoSpaceDE w:val="0"/>
              <w:autoSpaceDN w:val="0"/>
              <w:adjustRightInd w:val="0"/>
              <w:spacing w:before="60" w:after="60"/>
              <w:jc w:val="both"/>
              <w:rPr>
                <w:color w:val="000000"/>
              </w:rPr>
            </w:pPr>
            <w:r w:rsidRPr="00953F7D">
              <w:rPr>
                <w:color w:val="000000"/>
              </w:rPr>
              <w:t>(c)</w:t>
            </w:r>
          </w:p>
        </w:tc>
        <w:tc>
          <w:tcPr>
            <w:tcW w:w="6228" w:type="dxa"/>
            <w:tcBorders>
              <w:top w:val="single" w:sz="4" w:space="0" w:color="000000"/>
              <w:left w:val="single" w:sz="4" w:space="0" w:color="000000"/>
              <w:bottom w:val="single" w:sz="4" w:space="0" w:color="000000"/>
              <w:right w:val="single" w:sz="4" w:space="0" w:color="000000"/>
            </w:tcBorders>
          </w:tcPr>
          <w:p w14:paraId="49D04C10" w14:textId="77777777" w:rsidR="0019466D" w:rsidRPr="00953F7D" w:rsidRDefault="0019466D" w:rsidP="001C4F6D">
            <w:pPr>
              <w:autoSpaceDE w:val="0"/>
              <w:autoSpaceDN w:val="0"/>
              <w:adjustRightInd w:val="0"/>
              <w:spacing w:before="60" w:after="60"/>
              <w:ind w:left="0" w:hanging="40"/>
              <w:jc w:val="both"/>
              <w:rPr>
                <w:color w:val="000000"/>
              </w:rPr>
            </w:pPr>
            <w:r w:rsidRPr="00953F7D">
              <w:rPr>
                <w:color w:val="000000"/>
              </w:rPr>
              <w:t>The types and nature of investments, including the amount that can be classified as:</w:t>
            </w:r>
          </w:p>
          <w:p w14:paraId="49D04C11" w14:textId="77777777" w:rsidR="0019466D" w:rsidRPr="00953F7D" w:rsidRDefault="0019466D" w:rsidP="00E9482F">
            <w:pPr>
              <w:numPr>
                <w:ilvl w:val="0"/>
                <w:numId w:val="11"/>
              </w:numPr>
              <w:autoSpaceDE w:val="0"/>
              <w:autoSpaceDN w:val="0"/>
              <w:adjustRightInd w:val="0"/>
              <w:spacing w:before="60" w:after="60"/>
              <w:jc w:val="both"/>
              <w:rPr>
                <w:color w:val="000000"/>
              </w:rPr>
            </w:pPr>
            <w:r w:rsidRPr="00953F7D">
              <w:rPr>
                <w:color w:val="000000"/>
              </w:rPr>
              <w:t>publicly traded; and</w:t>
            </w:r>
          </w:p>
          <w:p w14:paraId="49D04C12" w14:textId="77777777" w:rsidR="0019466D" w:rsidRPr="00953F7D" w:rsidRDefault="0019466D" w:rsidP="00E9482F">
            <w:pPr>
              <w:numPr>
                <w:ilvl w:val="0"/>
                <w:numId w:val="11"/>
              </w:numPr>
              <w:autoSpaceDE w:val="0"/>
              <w:autoSpaceDN w:val="0"/>
              <w:adjustRightInd w:val="0"/>
              <w:spacing w:before="60" w:after="60"/>
              <w:jc w:val="both"/>
              <w:rPr>
                <w:color w:val="000000"/>
              </w:rPr>
            </w:pPr>
            <w:r w:rsidRPr="00953F7D">
              <w:rPr>
                <w:color w:val="000000"/>
              </w:rPr>
              <w:t>privately held.</w:t>
            </w:r>
          </w:p>
        </w:tc>
      </w:tr>
      <w:tr w:rsidR="0019466D" w:rsidRPr="00953F7D" w14:paraId="49D04C17" w14:textId="77777777" w:rsidTr="00945F1D">
        <w:trPr>
          <w:trHeight w:val="447"/>
          <w:jc w:val="center"/>
        </w:trPr>
        <w:tc>
          <w:tcPr>
            <w:tcW w:w="1603" w:type="dxa"/>
            <w:vMerge/>
            <w:tcBorders>
              <w:left w:val="single" w:sz="4" w:space="0" w:color="000000"/>
              <w:bottom w:val="single" w:sz="4" w:space="0" w:color="000000"/>
              <w:right w:val="single" w:sz="4" w:space="0" w:color="000000"/>
            </w:tcBorders>
          </w:tcPr>
          <w:p w14:paraId="49D04C14" w14:textId="77777777" w:rsidR="0019466D" w:rsidRPr="00953F7D" w:rsidRDefault="0019466D" w:rsidP="009164E6">
            <w:pPr>
              <w:autoSpaceDE w:val="0"/>
              <w:autoSpaceDN w:val="0"/>
              <w:adjustRightInd w:val="0"/>
              <w:spacing w:before="60" w:after="60"/>
              <w:jc w:val="both"/>
            </w:pPr>
          </w:p>
        </w:tc>
        <w:tc>
          <w:tcPr>
            <w:tcW w:w="567" w:type="dxa"/>
            <w:tcBorders>
              <w:top w:val="single" w:sz="4" w:space="0" w:color="000000"/>
              <w:left w:val="single" w:sz="4" w:space="0" w:color="000000"/>
              <w:bottom w:val="single" w:sz="4" w:space="0" w:color="000000"/>
              <w:right w:val="single" w:sz="4" w:space="0" w:color="000000"/>
            </w:tcBorders>
          </w:tcPr>
          <w:p w14:paraId="49D04C15" w14:textId="77777777" w:rsidR="0019466D" w:rsidRPr="00953F7D" w:rsidRDefault="0019466D" w:rsidP="009164E6">
            <w:pPr>
              <w:autoSpaceDE w:val="0"/>
              <w:autoSpaceDN w:val="0"/>
              <w:adjustRightInd w:val="0"/>
              <w:spacing w:before="60" w:after="60"/>
              <w:jc w:val="both"/>
              <w:rPr>
                <w:color w:val="000000"/>
              </w:rPr>
            </w:pPr>
            <w:r w:rsidRPr="00953F7D">
              <w:rPr>
                <w:color w:val="000000"/>
              </w:rPr>
              <w:t>(d)</w:t>
            </w:r>
          </w:p>
        </w:tc>
        <w:tc>
          <w:tcPr>
            <w:tcW w:w="6228" w:type="dxa"/>
            <w:tcBorders>
              <w:top w:val="single" w:sz="4" w:space="0" w:color="000000"/>
              <w:left w:val="single" w:sz="4" w:space="0" w:color="000000"/>
              <w:bottom w:val="single" w:sz="4" w:space="0" w:color="000000"/>
              <w:right w:val="single" w:sz="4" w:space="0" w:color="000000"/>
            </w:tcBorders>
          </w:tcPr>
          <w:p w14:paraId="49D04C16" w14:textId="77777777" w:rsidR="0019466D" w:rsidRPr="00953F7D" w:rsidRDefault="0019466D" w:rsidP="001C4F6D">
            <w:pPr>
              <w:autoSpaceDE w:val="0"/>
              <w:autoSpaceDN w:val="0"/>
              <w:adjustRightInd w:val="0"/>
              <w:spacing w:before="60" w:after="60"/>
              <w:ind w:left="0" w:hanging="40"/>
              <w:jc w:val="both"/>
              <w:rPr>
                <w:color w:val="000000"/>
              </w:rPr>
            </w:pPr>
            <w:r w:rsidRPr="00953F7D">
              <w:rPr>
                <w:color w:val="000000"/>
              </w:rPr>
              <w:t>The cumulative realised gains (losses) arising from sales and liquidations in the reporting period.</w:t>
            </w:r>
          </w:p>
        </w:tc>
      </w:tr>
      <w:tr w:rsidR="0019466D" w:rsidRPr="00953F7D" w14:paraId="49D04C1D" w14:textId="77777777" w:rsidTr="00945F1D">
        <w:trPr>
          <w:trHeight w:val="868"/>
          <w:jc w:val="center"/>
        </w:trPr>
        <w:tc>
          <w:tcPr>
            <w:tcW w:w="1603" w:type="dxa"/>
            <w:vMerge w:val="restart"/>
            <w:tcBorders>
              <w:top w:val="single" w:sz="4" w:space="0" w:color="000000"/>
              <w:left w:val="single" w:sz="4" w:space="0" w:color="000000"/>
              <w:right w:val="single" w:sz="4" w:space="0" w:color="000000"/>
            </w:tcBorders>
          </w:tcPr>
          <w:p w14:paraId="49D04C18" w14:textId="77777777" w:rsidR="0019466D" w:rsidRPr="00953F7D" w:rsidRDefault="0019466D" w:rsidP="009164E6">
            <w:pPr>
              <w:autoSpaceDE w:val="0"/>
              <w:autoSpaceDN w:val="0"/>
              <w:adjustRightInd w:val="0"/>
              <w:spacing w:before="60" w:after="60"/>
              <w:jc w:val="both"/>
            </w:pPr>
          </w:p>
        </w:tc>
        <w:tc>
          <w:tcPr>
            <w:tcW w:w="567" w:type="dxa"/>
            <w:tcBorders>
              <w:top w:val="single" w:sz="4" w:space="0" w:color="000000"/>
              <w:left w:val="single" w:sz="4" w:space="0" w:color="000000"/>
              <w:bottom w:val="single" w:sz="4" w:space="0" w:color="000000"/>
              <w:right w:val="single" w:sz="4" w:space="0" w:color="000000"/>
            </w:tcBorders>
          </w:tcPr>
          <w:p w14:paraId="49D04C19" w14:textId="77777777" w:rsidR="0019466D" w:rsidRPr="00953F7D" w:rsidRDefault="0019466D" w:rsidP="009164E6">
            <w:pPr>
              <w:autoSpaceDE w:val="0"/>
              <w:autoSpaceDN w:val="0"/>
              <w:adjustRightInd w:val="0"/>
              <w:spacing w:before="60" w:after="60"/>
              <w:jc w:val="both"/>
              <w:rPr>
                <w:color w:val="000000"/>
              </w:rPr>
            </w:pPr>
            <w:r w:rsidRPr="00953F7D">
              <w:rPr>
                <w:color w:val="000000"/>
              </w:rPr>
              <w:t>(e)</w:t>
            </w:r>
          </w:p>
        </w:tc>
        <w:tc>
          <w:tcPr>
            <w:tcW w:w="6228" w:type="dxa"/>
            <w:tcBorders>
              <w:top w:val="single" w:sz="4" w:space="0" w:color="000000"/>
              <w:left w:val="single" w:sz="4" w:space="0" w:color="000000"/>
              <w:bottom w:val="single" w:sz="4" w:space="0" w:color="000000"/>
              <w:right w:val="single" w:sz="4" w:space="0" w:color="000000"/>
            </w:tcBorders>
          </w:tcPr>
          <w:p w14:paraId="49D04C1A" w14:textId="77777777" w:rsidR="0019466D" w:rsidRPr="00953F7D" w:rsidRDefault="0019466D" w:rsidP="001C4F6D">
            <w:pPr>
              <w:autoSpaceDE w:val="0"/>
              <w:autoSpaceDN w:val="0"/>
              <w:adjustRightInd w:val="0"/>
              <w:spacing w:before="60" w:after="60"/>
              <w:ind w:left="0" w:hanging="40"/>
              <w:jc w:val="both"/>
              <w:rPr>
                <w:color w:val="000000"/>
              </w:rPr>
            </w:pPr>
            <w:r w:rsidRPr="00953F7D">
              <w:rPr>
                <w:color w:val="000000"/>
              </w:rPr>
              <w:t>Total unrealised gains (losses).</w:t>
            </w:r>
          </w:p>
          <w:p w14:paraId="49D04C1B" w14:textId="77777777" w:rsidR="0019466D" w:rsidRPr="00953F7D" w:rsidRDefault="0019466D" w:rsidP="001C4F6D">
            <w:pPr>
              <w:autoSpaceDE w:val="0"/>
              <w:autoSpaceDN w:val="0"/>
              <w:adjustRightInd w:val="0"/>
              <w:spacing w:before="60" w:after="60"/>
              <w:ind w:left="0" w:hanging="40"/>
              <w:jc w:val="both"/>
              <w:rPr>
                <w:color w:val="000000"/>
              </w:rPr>
            </w:pPr>
            <w:r w:rsidRPr="00953F7D">
              <w:rPr>
                <w:color w:val="000000"/>
              </w:rPr>
              <w:t>Total latent revaluation gains (losses).</w:t>
            </w:r>
          </w:p>
          <w:p w14:paraId="49D04C1C" w14:textId="77777777" w:rsidR="0019466D" w:rsidRPr="00953F7D" w:rsidRDefault="0019466D" w:rsidP="001C4F6D">
            <w:pPr>
              <w:autoSpaceDE w:val="0"/>
              <w:autoSpaceDN w:val="0"/>
              <w:adjustRightInd w:val="0"/>
              <w:spacing w:before="60" w:after="60"/>
              <w:ind w:left="0" w:hanging="40"/>
              <w:jc w:val="both"/>
              <w:rPr>
                <w:color w:val="000000"/>
              </w:rPr>
            </w:pPr>
            <w:r w:rsidRPr="00953F7D">
              <w:rPr>
                <w:color w:val="000000"/>
              </w:rPr>
              <w:t>Any amounts of the above included in Common Equity Tier 1, Tier 1 and/or Tier 2 capital.</w:t>
            </w:r>
          </w:p>
        </w:tc>
      </w:tr>
      <w:tr w:rsidR="0019466D" w:rsidRPr="00953F7D" w14:paraId="49D04C21" w14:textId="77777777" w:rsidTr="00945F1D">
        <w:trPr>
          <w:trHeight w:val="860"/>
          <w:jc w:val="center"/>
        </w:trPr>
        <w:tc>
          <w:tcPr>
            <w:tcW w:w="1603" w:type="dxa"/>
            <w:vMerge/>
            <w:tcBorders>
              <w:left w:val="single" w:sz="4" w:space="0" w:color="000000"/>
              <w:bottom w:val="single" w:sz="4" w:space="0" w:color="000000"/>
              <w:right w:val="single" w:sz="4" w:space="0" w:color="000000"/>
            </w:tcBorders>
          </w:tcPr>
          <w:p w14:paraId="49D04C1E" w14:textId="77777777" w:rsidR="0019466D" w:rsidRPr="00953F7D" w:rsidRDefault="0019466D" w:rsidP="009164E6">
            <w:pPr>
              <w:autoSpaceDE w:val="0"/>
              <w:autoSpaceDN w:val="0"/>
              <w:adjustRightInd w:val="0"/>
              <w:spacing w:before="60" w:after="60"/>
              <w:jc w:val="both"/>
            </w:pPr>
          </w:p>
        </w:tc>
        <w:tc>
          <w:tcPr>
            <w:tcW w:w="567" w:type="dxa"/>
            <w:tcBorders>
              <w:top w:val="single" w:sz="4" w:space="0" w:color="000000"/>
              <w:left w:val="single" w:sz="4" w:space="0" w:color="000000"/>
              <w:bottom w:val="single" w:sz="4" w:space="0" w:color="000000"/>
              <w:right w:val="single" w:sz="4" w:space="0" w:color="000000"/>
            </w:tcBorders>
          </w:tcPr>
          <w:p w14:paraId="49D04C1F" w14:textId="77777777" w:rsidR="0019466D" w:rsidRPr="00953F7D" w:rsidRDefault="0019466D" w:rsidP="009164E6">
            <w:pPr>
              <w:autoSpaceDE w:val="0"/>
              <w:autoSpaceDN w:val="0"/>
              <w:adjustRightInd w:val="0"/>
              <w:spacing w:before="60" w:after="60"/>
              <w:jc w:val="both"/>
              <w:rPr>
                <w:color w:val="000000"/>
              </w:rPr>
            </w:pPr>
            <w:r w:rsidRPr="00953F7D">
              <w:rPr>
                <w:color w:val="000000"/>
              </w:rPr>
              <w:t>(f)</w:t>
            </w:r>
          </w:p>
        </w:tc>
        <w:tc>
          <w:tcPr>
            <w:tcW w:w="6228" w:type="dxa"/>
            <w:tcBorders>
              <w:top w:val="single" w:sz="4" w:space="0" w:color="000000"/>
              <w:left w:val="single" w:sz="4" w:space="0" w:color="000000"/>
              <w:bottom w:val="single" w:sz="4" w:space="0" w:color="000000"/>
              <w:right w:val="single" w:sz="4" w:space="0" w:color="000000"/>
            </w:tcBorders>
          </w:tcPr>
          <w:p w14:paraId="49D04C20" w14:textId="77777777" w:rsidR="0019466D" w:rsidRPr="00953F7D" w:rsidRDefault="0019466D" w:rsidP="001C4F6D">
            <w:pPr>
              <w:autoSpaceDE w:val="0"/>
              <w:autoSpaceDN w:val="0"/>
              <w:adjustRightInd w:val="0"/>
              <w:spacing w:before="60" w:after="60"/>
              <w:ind w:left="0" w:hanging="40"/>
              <w:jc w:val="both"/>
              <w:rPr>
                <w:color w:val="000000"/>
              </w:rPr>
            </w:pPr>
            <w:r w:rsidRPr="00953F7D">
              <w:rPr>
                <w:color w:val="000000"/>
              </w:rPr>
              <w:t xml:space="preserve">Capital requirements (in terms of risk-weighted assets) and aggregate amounts broken down into appropriate equity asset classes. </w:t>
            </w:r>
          </w:p>
        </w:tc>
      </w:tr>
    </w:tbl>
    <w:p w14:paraId="49D04C22" w14:textId="77777777" w:rsidR="00410391" w:rsidRPr="00953F7D" w:rsidRDefault="00410391" w:rsidP="009C3F64">
      <w:pPr>
        <w:keepNext/>
        <w:keepLines/>
        <w:autoSpaceDE w:val="0"/>
        <w:autoSpaceDN w:val="0"/>
        <w:adjustRightInd w:val="0"/>
        <w:ind w:left="284"/>
        <w:jc w:val="both"/>
        <w:rPr>
          <w:bCs/>
          <w:i/>
          <w:color w:val="000000"/>
        </w:rPr>
      </w:pPr>
    </w:p>
    <w:p w14:paraId="49D04C23" w14:textId="77777777" w:rsidR="00742F5F" w:rsidRPr="00953F7D" w:rsidRDefault="00742F5F" w:rsidP="00742F5F">
      <w:pPr>
        <w:keepNext/>
        <w:keepLines/>
        <w:autoSpaceDE w:val="0"/>
        <w:autoSpaceDN w:val="0"/>
        <w:adjustRightInd w:val="0"/>
        <w:spacing w:after="240"/>
        <w:ind w:left="284"/>
        <w:jc w:val="both"/>
        <w:rPr>
          <w:bCs/>
          <w:i/>
          <w:color w:val="000000"/>
        </w:rPr>
      </w:pPr>
      <w:r w:rsidRPr="00953F7D">
        <w:rPr>
          <w:bCs/>
          <w:i/>
          <w:color w:val="000000"/>
        </w:rPr>
        <w:t>Interest rate risk in the banking book</w:t>
      </w:r>
    </w:p>
    <w:p w14:paraId="49D04C24" w14:textId="77777777" w:rsidR="00742F5F" w:rsidRPr="00953F7D" w:rsidRDefault="00742F5F" w:rsidP="00044A3D">
      <w:pPr>
        <w:pStyle w:val="BodyText"/>
      </w:pPr>
      <w:r w:rsidRPr="00953F7D">
        <w:t>An ADI must disclose the items in Table 17, to the extent applicable.</w:t>
      </w:r>
    </w:p>
    <w:p w14:paraId="49D04C25" w14:textId="77777777" w:rsidR="00742F5F" w:rsidRPr="00953F7D" w:rsidRDefault="00742F5F" w:rsidP="00830D13">
      <w:pPr>
        <w:keepNext/>
        <w:keepLines/>
        <w:autoSpaceDE w:val="0"/>
        <w:autoSpaceDN w:val="0"/>
        <w:adjustRightInd w:val="0"/>
        <w:spacing w:after="240"/>
        <w:ind w:firstLine="0"/>
        <w:jc w:val="both"/>
        <w:rPr>
          <w:bCs/>
          <w:color w:val="000000"/>
        </w:rPr>
      </w:pPr>
      <w:r w:rsidRPr="00953F7D">
        <w:rPr>
          <w:bCs/>
          <w:color w:val="000000"/>
        </w:rPr>
        <w:t xml:space="preserve">Table 17: Interest rate risk in the banking book </w:t>
      </w:r>
    </w:p>
    <w:tbl>
      <w:tblPr>
        <w:tblW w:w="84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3"/>
        <w:gridCol w:w="567"/>
        <w:gridCol w:w="6245"/>
      </w:tblGrid>
      <w:tr w:rsidR="00742F5F" w:rsidRPr="00953F7D" w14:paraId="49D04C29" w14:textId="77777777" w:rsidTr="004E7639">
        <w:trPr>
          <w:trHeight w:val="861"/>
          <w:jc w:val="center"/>
        </w:trPr>
        <w:tc>
          <w:tcPr>
            <w:tcW w:w="1653" w:type="dxa"/>
          </w:tcPr>
          <w:p w14:paraId="49D04C26" w14:textId="77777777" w:rsidR="00742F5F" w:rsidRPr="00953F7D" w:rsidRDefault="00742F5F" w:rsidP="00410391">
            <w:pPr>
              <w:autoSpaceDE w:val="0"/>
              <w:autoSpaceDN w:val="0"/>
              <w:adjustRightInd w:val="0"/>
              <w:spacing w:before="60" w:after="60"/>
              <w:ind w:left="0" w:firstLine="0"/>
              <w:jc w:val="both"/>
              <w:rPr>
                <w:color w:val="000000"/>
              </w:rPr>
            </w:pPr>
            <w:r w:rsidRPr="00953F7D">
              <w:rPr>
                <w:b/>
                <w:bCs/>
                <w:color w:val="000000"/>
              </w:rPr>
              <w:t>Qualitative disclosures</w:t>
            </w:r>
          </w:p>
        </w:tc>
        <w:tc>
          <w:tcPr>
            <w:tcW w:w="567" w:type="dxa"/>
          </w:tcPr>
          <w:p w14:paraId="49D04C27" w14:textId="77777777" w:rsidR="00742F5F" w:rsidRPr="00953F7D" w:rsidRDefault="00742F5F" w:rsidP="009164E6">
            <w:pPr>
              <w:keepNext/>
              <w:keepLines/>
              <w:autoSpaceDE w:val="0"/>
              <w:autoSpaceDN w:val="0"/>
              <w:adjustRightInd w:val="0"/>
              <w:spacing w:before="60" w:after="60"/>
              <w:jc w:val="both"/>
              <w:rPr>
                <w:color w:val="000000"/>
              </w:rPr>
            </w:pPr>
            <w:r w:rsidRPr="00953F7D">
              <w:rPr>
                <w:color w:val="000000"/>
              </w:rPr>
              <w:t>(a)</w:t>
            </w:r>
          </w:p>
        </w:tc>
        <w:tc>
          <w:tcPr>
            <w:tcW w:w="6245" w:type="dxa"/>
          </w:tcPr>
          <w:p w14:paraId="49D04C28" w14:textId="77777777" w:rsidR="00742F5F" w:rsidRPr="00953F7D" w:rsidRDefault="00742F5F" w:rsidP="001C4F6D">
            <w:pPr>
              <w:keepNext/>
              <w:keepLines/>
              <w:autoSpaceDE w:val="0"/>
              <w:autoSpaceDN w:val="0"/>
              <w:adjustRightInd w:val="0"/>
              <w:spacing w:before="60" w:after="60"/>
              <w:ind w:left="34" w:hanging="34"/>
              <w:jc w:val="both"/>
              <w:rPr>
                <w:color w:val="000000"/>
              </w:rPr>
            </w:pPr>
            <w:r w:rsidRPr="00953F7D">
              <w:rPr>
                <w:color w:val="000000"/>
              </w:rPr>
              <w:t xml:space="preserve">The general qualitative disclosure requirement (refer to paragraph </w:t>
            </w:r>
            <w:r w:rsidR="00CD6CE4" w:rsidRPr="00953F7D">
              <w:rPr>
                <w:color w:val="000000"/>
              </w:rPr>
              <w:fldChar w:fldCharType="begin"/>
            </w:r>
            <w:r w:rsidR="00CD6CE4" w:rsidRPr="00953F7D">
              <w:rPr>
                <w:color w:val="000000"/>
              </w:rPr>
              <w:instrText xml:space="preserve"> REF _Ref412477308 \r \h </w:instrText>
            </w:r>
            <w:r w:rsidR="00953F7D">
              <w:rPr>
                <w:color w:val="000000"/>
              </w:rPr>
              <w:instrText xml:space="preserve"> \* MERGEFORMAT </w:instrText>
            </w:r>
            <w:r w:rsidR="00CD6CE4" w:rsidRPr="00953F7D">
              <w:rPr>
                <w:color w:val="000000"/>
              </w:rPr>
            </w:r>
            <w:r w:rsidR="00CD6CE4" w:rsidRPr="00953F7D">
              <w:rPr>
                <w:color w:val="000000"/>
              </w:rPr>
              <w:fldChar w:fldCharType="separate"/>
            </w:r>
            <w:r w:rsidR="007D232B">
              <w:rPr>
                <w:color w:val="000000"/>
              </w:rPr>
              <w:t>3</w:t>
            </w:r>
            <w:r w:rsidR="00CD6CE4" w:rsidRPr="00953F7D">
              <w:rPr>
                <w:color w:val="000000"/>
              </w:rPr>
              <w:fldChar w:fldCharType="end"/>
            </w:r>
            <w:r w:rsidRPr="00953F7D">
              <w:rPr>
                <w:color w:val="000000"/>
              </w:rPr>
              <w:t xml:space="preserve"> of this Attachment), including the nature of interest rate risk in the banking book (</w:t>
            </w:r>
            <w:r w:rsidRPr="00953F7D">
              <w:rPr>
                <w:b/>
                <w:color w:val="000000"/>
              </w:rPr>
              <w:t>IRRBB</w:t>
            </w:r>
            <w:r w:rsidRPr="00953F7D">
              <w:rPr>
                <w:color w:val="000000"/>
              </w:rPr>
              <w:t>) and key assumptions, including those regarding loan prepayments and behaviour of non-maturity deposits, and frequency of IRRBB measurement.</w:t>
            </w:r>
          </w:p>
        </w:tc>
      </w:tr>
      <w:tr w:rsidR="00742F5F" w:rsidRPr="00953F7D" w14:paraId="49D04C2E" w14:textId="77777777" w:rsidTr="009C3F64">
        <w:trPr>
          <w:trHeight w:val="869"/>
          <w:jc w:val="center"/>
        </w:trPr>
        <w:tc>
          <w:tcPr>
            <w:tcW w:w="1653" w:type="dxa"/>
          </w:tcPr>
          <w:p w14:paraId="49D04C2A" w14:textId="77777777" w:rsidR="00742F5F" w:rsidRPr="00953F7D" w:rsidRDefault="00742F5F" w:rsidP="00410391">
            <w:pPr>
              <w:autoSpaceDE w:val="0"/>
              <w:autoSpaceDN w:val="0"/>
              <w:adjustRightInd w:val="0"/>
              <w:spacing w:before="60" w:after="60"/>
              <w:ind w:left="0" w:firstLine="0"/>
              <w:jc w:val="both"/>
              <w:rPr>
                <w:b/>
                <w:bCs/>
                <w:color w:val="000000"/>
              </w:rPr>
            </w:pPr>
            <w:r w:rsidRPr="00953F7D">
              <w:rPr>
                <w:b/>
                <w:bCs/>
                <w:color w:val="000000"/>
              </w:rPr>
              <w:t>Quantitative disclosures</w:t>
            </w:r>
          </w:p>
        </w:tc>
        <w:tc>
          <w:tcPr>
            <w:tcW w:w="567" w:type="dxa"/>
          </w:tcPr>
          <w:p w14:paraId="49D04C2B" w14:textId="77777777" w:rsidR="00742F5F" w:rsidRPr="00953F7D" w:rsidRDefault="00742F5F" w:rsidP="009164E6">
            <w:pPr>
              <w:autoSpaceDE w:val="0"/>
              <w:autoSpaceDN w:val="0"/>
              <w:adjustRightInd w:val="0"/>
              <w:spacing w:before="60" w:after="60"/>
              <w:jc w:val="both"/>
              <w:rPr>
                <w:color w:val="000000"/>
              </w:rPr>
            </w:pPr>
            <w:r w:rsidRPr="00953F7D">
              <w:rPr>
                <w:color w:val="000000"/>
              </w:rPr>
              <w:t>(b)</w:t>
            </w:r>
          </w:p>
        </w:tc>
        <w:tc>
          <w:tcPr>
            <w:tcW w:w="6245" w:type="dxa"/>
          </w:tcPr>
          <w:p w14:paraId="49D04C2C" w14:textId="77777777" w:rsidR="00742F5F" w:rsidRPr="00953F7D" w:rsidRDefault="00742F5F" w:rsidP="001C4F6D">
            <w:pPr>
              <w:keepNext/>
              <w:keepLines/>
              <w:autoSpaceDE w:val="0"/>
              <w:autoSpaceDN w:val="0"/>
              <w:adjustRightInd w:val="0"/>
              <w:spacing w:before="60" w:after="60"/>
              <w:ind w:left="34" w:hanging="34"/>
              <w:jc w:val="both"/>
              <w:rPr>
                <w:color w:val="000000"/>
              </w:rPr>
            </w:pPr>
            <w:r w:rsidRPr="00953F7D">
              <w:rPr>
                <w:color w:val="000000"/>
              </w:rPr>
              <w:t>The increase (decrease) in earnings or economic value (or relevant measure used by management) for upward and downward rate shocks according to management’s method for measuring IRRBB, broken down by currency (as relevant).</w:t>
            </w:r>
          </w:p>
          <w:p w14:paraId="49D04C2D" w14:textId="77777777" w:rsidR="00742F5F" w:rsidRPr="00953F7D" w:rsidRDefault="00742F5F" w:rsidP="001C4F6D">
            <w:pPr>
              <w:keepNext/>
              <w:keepLines/>
              <w:autoSpaceDE w:val="0"/>
              <w:autoSpaceDN w:val="0"/>
              <w:adjustRightInd w:val="0"/>
              <w:spacing w:before="60" w:after="60"/>
              <w:ind w:left="34" w:hanging="34"/>
              <w:jc w:val="both"/>
              <w:rPr>
                <w:color w:val="000000"/>
              </w:rPr>
            </w:pPr>
            <w:r w:rsidRPr="00953F7D">
              <w:rPr>
                <w:color w:val="000000"/>
              </w:rPr>
              <w:t>The derivation of the ADI’s capital requirement for IRRBB must be disclosed.</w:t>
            </w:r>
          </w:p>
        </w:tc>
      </w:tr>
    </w:tbl>
    <w:p w14:paraId="49D04C2F" w14:textId="77777777" w:rsidR="00742F5F" w:rsidRPr="00953F7D" w:rsidRDefault="00742F5F" w:rsidP="00742F5F">
      <w:pPr>
        <w:jc w:val="both"/>
        <w:sectPr w:rsidR="00742F5F" w:rsidRPr="00953F7D" w:rsidSect="008D3C2B">
          <w:footerReference w:type="default" r:id="rId24"/>
          <w:footerReference w:type="first" r:id="rId25"/>
          <w:pgSz w:w="11906" w:h="16838"/>
          <w:pgMar w:top="1440" w:right="1797" w:bottom="1440" w:left="1797" w:header="709" w:footer="709" w:gutter="0"/>
          <w:cols w:space="708"/>
          <w:titlePg/>
          <w:docGrid w:linePitch="360"/>
        </w:sectPr>
      </w:pPr>
    </w:p>
    <w:p w14:paraId="49D04C30" w14:textId="77777777" w:rsidR="00FD2B66" w:rsidRPr="00953F7D" w:rsidRDefault="00FD2B66" w:rsidP="005D6194">
      <w:pPr>
        <w:pStyle w:val="Heading3"/>
        <w:spacing w:before="120" w:after="360"/>
        <w:jc w:val="both"/>
        <w:rPr>
          <w:b/>
          <w:sz w:val="32"/>
          <w:szCs w:val="32"/>
        </w:rPr>
      </w:pPr>
      <w:bookmarkStart w:id="188" w:name="_Toc387407367"/>
      <w:bookmarkStart w:id="189" w:name="_Toc391024784"/>
      <w:bookmarkStart w:id="190" w:name="_Toc506286044"/>
      <w:r w:rsidRPr="00953F7D">
        <w:rPr>
          <w:b/>
          <w:sz w:val="32"/>
          <w:szCs w:val="32"/>
        </w:rPr>
        <w:t xml:space="preserve">Attachment </w:t>
      </w:r>
      <w:r w:rsidR="008048A9" w:rsidRPr="00953F7D">
        <w:rPr>
          <w:b/>
          <w:sz w:val="32"/>
          <w:szCs w:val="32"/>
        </w:rPr>
        <w:t>E</w:t>
      </w:r>
      <w:bookmarkEnd w:id="188"/>
      <w:bookmarkEnd w:id="189"/>
      <w:bookmarkEnd w:id="190"/>
    </w:p>
    <w:p w14:paraId="49D04C31" w14:textId="77777777" w:rsidR="00FD2B66" w:rsidRPr="00953F7D" w:rsidRDefault="00FD2B66" w:rsidP="00036A65">
      <w:pPr>
        <w:pStyle w:val="Heading3"/>
        <w:spacing w:before="120" w:after="360"/>
        <w:jc w:val="both"/>
        <w:rPr>
          <w:b/>
          <w:iCs/>
          <w:sz w:val="32"/>
          <w:szCs w:val="32"/>
        </w:rPr>
      </w:pPr>
      <w:bookmarkStart w:id="191" w:name="_Toc395701860"/>
      <w:bookmarkStart w:id="192" w:name="_Toc506286045"/>
      <w:r w:rsidRPr="00953F7D">
        <w:rPr>
          <w:b/>
          <w:sz w:val="32"/>
          <w:szCs w:val="32"/>
        </w:rPr>
        <w:t xml:space="preserve">Leverage ratio disclosure </w:t>
      </w:r>
      <w:r w:rsidR="00742AAE" w:rsidRPr="00953F7D">
        <w:rPr>
          <w:b/>
          <w:sz w:val="32"/>
          <w:szCs w:val="32"/>
        </w:rPr>
        <w:t>requirements</w:t>
      </w:r>
      <w:bookmarkEnd w:id="191"/>
      <w:bookmarkEnd w:id="192"/>
    </w:p>
    <w:p w14:paraId="49D04C32" w14:textId="77777777" w:rsidR="00E8372D" w:rsidRPr="00953F7D" w:rsidRDefault="00FD2B66" w:rsidP="00E9482F">
      <w:pPr>
        <w:pStyle w:val="BodyText"/>
        <w:numPr>
          <w:ilvl w:val="0"/>
          <w:numId w:val="37"/>
        </w:numPr>
      </w:pPr>
      <w:r w:rsidRPr="00953F7D">
        <w:t xml:space="preserve">An </w:t>
      </w:r>
      <w:r w:rsidR="00F55FA4" w:rsidRPr="00953F7D">
        <w:t xml:space="preserve">IRB </w:t>
      </w:r>
      <w:r w:rsidRPr="00953F7D">
        <w:t>ADI mus</w:t>
      </w:r>
      <w:r w:rsidR="00E8372D" w:rsidRPr="00953F7D">
        <w:t xml:space="preserve">t complete and disclose </w:t>
      </w:r>
      <w:r w:rsidR="00DC5F82" w:rsidRPr="00953F7D">
        <w:t xml:space="preserve">Table </w:t>
      </w:r>
      <w:r w:rsidR="0024463D" w:rsidRPr="00953F7D">
        <w:t>18</w:t>
      </w:r>
      <w:r w:rsidR="00831661" w:rsidRPr="00953F7D">
        <w:t xml:space="preserve"> to the extent applicable</w:t>
      </w:r>
      <w:r w:rsidR="001A6AB1" w:rsidRPr="00953F7D">
        <w:t>.</w:t>
      </w:r>
    </w:p>
    <w:p w14:paraId="49D04C33" w14:textId="77777777" w:rsidR="00E8372D" w:rsidRPr="00953F7D" w:rsidRDefault="00DC5F82" w:rsidP="0048115B">
      <w:pPr>
        <w:ind w:firstLine="0"/>
      </w:pPr>
      <w:r w:rsidRPr="00953F7D">
        <w:t xml:space="preserve">Table </w:t>
      </w:r>
      <w:r w:rsidR="0024463D" w:rsidRPr="00953F7D">
        <w:t>18</w:t>
      </w:r>
      <w:r w:rsidR="00B2439F" w:rsidRPr="00953F7D">
        <w:t xml:space="preserve">: </w:t>
      </w:r>
      <w:r w:rsidR="00E8372D" w:rsidRPr="00953F7D">
        <w:t>Leverage ratio disclosure template</w:t>
      </w:r>
    </w:p>
    <w:p w14:paraId="49D04C34" w14:textId="77777777" w:rsidR="00B2439F" w:rsidRPr="00953F7D" w:rsidRDefault="00B2439F" w:rsidP="001A6AB1">
      <w:pPr>
        <w:ind w:firstLine="720"/>
      </w:pPr>
    </w:p>
    <w:tbl>
      <w:tblPr>
        <w:tblStyle w:val="TableGrid"/>
        <w:tblW w:w="8472" w:type="dxa"/>
        <w:tblLook w:val="04A0" w:firstRow="1" w:lastRow="0" w:firstColumn="1" w:lastColumn="0" w:noHBand="0" w:noVBand="1"/>
      </w:tblPr>
      <w:tblGrid>
        <w:gridCol w:w="456"/>
        <w:gridCol w:w="5922"/>
        <w:gridCol w:w="2094"/>
      </w:tblGrid>
      <w:tr w:rsidR="00E8372D" w:rsidRPr="00953F7D" w14:paraId="49D04C37" w14:textId="77777777" w:rsidTr="004A5161">
        <w:tc>
          <w:tcPr>
            <w:tcW w:w="6378" w:type="dxa"/>
            <w:gridSpan w:val="2"/>
          </w:tcPr>
          <w:p w14:paraId="49D04C35" w14:textId="77777777" w:rsidR="00E8372D" w:rsidRPr="00953F7D" w:rsidRDefault="00E8372D" w:rsidP="00F216DE">
            <w:pPr>
              <w:jc w:val="center"/>
              <w:rPr>
                <w:b/>
              </w:rPr>
            </w:pPr>
            <w:r w:rsidRPr="00953F7D">
              <w:rPr>
                <w:b/>
              </w:rPr>
              <w:t>Item</w:t>
            </w:r>
          </w:p>
        </w:tc>
        <w:tc>
          <w:tcPr>
            <w:tcW w:w="2094" w:type="dxa"/>
          </w:tcPr>
          <w:p w14:paraId="49D04C36" w14:textId="77777777" w:rsidR="00E8372D" w:rsidRPr="00953F7D" w:rsidRDefault="00E57481" w:rsidP="00F216DE">
            <w:pPr>
              <w:jc w:val="center"/>
              <w:rPr>
                <w:b/>
              </w:rPr>
            </w:pPr>
            <w:r w:rsidRPr="00953F7D">
              <w:rPr>
                <w:b/>
              </w:rPr>
              <w:t>A$m</w:t>
            </w:r>
          </w:p>
        </w:tc>
      </w:tr>
      <w:tr w:rsidR="00E8372D" w:rsidRPr="00953F7D" w14:paraId="49D04C39" w14:textId="77777777" w:rsidTr="004A5161">
        <w:tc>
          <w:tcPr>
            <w:tcW w:w="8472" w:type="dxa"/>
            <w:gridSpan w:val="3"/>
            <w:shd w:val="clear" w:color="auto" w:fill="D9D9D9" w:themeFill="background1" w:themeFillShade="D9"/>
          </w:tcPr>
          <w:p w14:paraId="49D04C38" w14:textId="77777777" w:rsidR="00E8372D" w:rsidRPr="00953F7D" w:rsidRDefault="00E8372D" w:rsidP="00F216DE">
            <w:r w:rsidRPr="00953F7D">
              <w:t>On-balance sheet exposures</w:t>
            </w:r>
          </w:p>
        </w:tc>
      </w:tr>
      <w:tr w:rsidR="00E57481" w:rsidRPr="00953F7D" w14:paraId="49D04C3D" w14:textId="77777777" w:rsidTr="004A5161">
        <w:tc>
          <w:tcPr>
            <w:tcW w:w="456" w:type="dxa"/>
          </w:tcPr>
          <w:p w14:paraId="49D04C3A" w14:textId="77777777" w:rsidR="00E8372D" w:rsidRPr="00953F7D" w:rsidRDefault="00E8372D" w:rsidP="00F216DE">
            <w:r w:rsidRPr="00953F7D">
              <w:t>1</w:t>
            </w:r>
          </w:p>
        </w:tc>
        <w:tc>
          <w:tcPr>
            <w:tcW w:w="5922" w:type="dxa"/>
          </w:tcPr>
          <w:p w14:paraId="49D04C3B" w14:textId="77777777" w:rsidR="00E8372D" w:rsidRPr="00953F7D" w:rsidRDefault="00E8372D" w:rsidP="001C4F6D">
            <w:pPr>
              <w:ind w:left="0" w:firstLine="0"/>
            </w:pPr>
            <w:r w:rsidRPr="00953F7D">
              <w:t>On-balance sheet items (excluding derivatives and</w:t>
            </w:r>
            <w:r w:rsidR="00ED4BA4" w:rsidRPr="00953F7D">
              <w:t xml:space="preserve"> securities financing transactions</w:t>
            </w:r>
            <w:r w:rsidRPr="00953F7D">
              <w:t xml:space="preserve"> </w:t>
            </w:r>
            <w:r w:rsidR="00ED4BA4" w:rsidRPr="00953F7D">
              <w:t>(</w:t>
            </w:r>
            <w:r w:rsidRPr="00953F7D">
              <w:t>SFTs</w:t>
            </w:r>
            <w:r w:rsidR="00ED4BA4" w:rsidRPr="00953F7D">
              <w:t>)</w:t>
            </w:r>
            <w:r w:rsidRPr="00953F7D">
              <w:t>, but including collateral)</w:t>
            </w:r>
          </w:p>
        </w:tc>
        <w:tc>
          <w:tcPr>
            <w:tcW w:w="2094" w:type="dxa"/>
          </w:tcPr>
          <w:p w14:paraId="49D04C3C" w14:textId="77777777" w:rsidR="00E8372D" w:rsidRPr="00953F7D" w:rsidRDefault="00E8372D" w:rsidP="00F216DE"/>
        </w:tc>
      </w:tr>
      <w:tr w:rsidR="00E57481" w:rsidRPr="00953F7D" w14:paraId="49D04C41" w14:textId="77777777" w:rsidTr="004A5161">
        <w:tc>
          <w:tcPr>
            <w:tcW w:w="456" w:type="dxa"/>
          </w:tcPr>
          <w:p w14:paraId="49D04C3E" w14:textId="77777777" w:rsidR="00E8372D" w:rsidRPr="00953F7D" w:rsidRDefault="00E8372D" w:rsidP="00F216DE">
            <w:r w:rsidRPr="00953F7D">
              <w:t>2</w:t>
            </w:r>
          </w:p>
        </w:tc>
        <w:tc>
          <w:tcPr>
            <w:tcW w:w="5922" w:type="dxa"/>
          </w:tcPr>
          <w:p w14:paraId="49D04C3F" w14:textId="77777777" w:rsidR="00E8372D" w:rsidRPr="00953F7D" w:rsidRDefault="00E8372D" w:rsidP="001C4F6D">
            <w:pPr>
              <w:ind w:left="0" w:firstLine="0"/>
            </w:pPr>
            <w:r w:rsidRPr="00953F7D">
              <w:t>(Asset amounts deducted in determining Tier 1 capital)</w:t>
            </w:r>
          </w:p>
        </w:tc>
        <w:tc>
          <w:tcPr>
            <w:tcW w:w="2094" w:type="dxa"/>
          </w:tcPr>
          <w:p w14:paraId="49D04C40" w14:textId="77777777" w:rsidR="00E8372D" w:rsidRPr="00953F7D" w:rsidRDefault="00E8372D" w:rsidP="00F216DE"/>
        </w:tc>
      </w:tr>
      <w:tr w:rsidR="00E57481" w:rsidRPr="00953F7D" w14:paraId="49D04C45" w14:textId="77777777" w:rsidTr="004A5161">
        <w:tc>
          <w:tcPr>
            <w:tcW w:w="456" w:type="dxa"/>
          </w:tcPr>
          <w:p w14:paraId="49D04C42" w14:textId="77777777" w:rsidR="00E8372D" w:rsidRPr="00953F7D" w:rsidRDefault="00E8372D" w:rsidP="00F216DE">
            <w:r w:rsidRPr="00953F7D">
              <w:t>3</w:t>
            </w:r>
          </w:p>
        </w:tc>
        <w:tc>
          <w:tcPr>
            <w:tcW w:w="5922" w:type="dxa"/>
          </w:tcPr>
          <w:p w14:paraId="49D04C43" w14:textId="77777777" w:rsidR="00E8372D" w:rsidRPr="00953F7D" w:rsidRDefault="00E8372D">
            <w:pPr>
              <w:ind w:left="0" w:firstLine="0"/>
              <w:rPr>
                <w:b/>
              </w:rPr>
            </w:pPr>
            <w:r w:rsidRPr="00953F7D">
              <w:rPr>
                <w:b/>
              </w:rPr>
              <w:t>Total on-balance sheet exposures (excluding derivatives and SFTs</w:t>
            </w:r>
            <w:r w:rsidR="00ED4BA4" w:rsidRPr="00953F7D">
              <w:rPr>
                <w:b/>
              </w:rPr>
              <w:t>)</w:t>
            </w:r>
            <w:r w:rsidRPr="00953F7D">
              <w:rPr>
                <w:b/>
              </w:rPr>
              <w:t xml:space="preserve"> (sum of </w:t>
            </w:r>
            <w:r w:rsidR="007405E0" w:rsidRPr="00953F7D">
              <w:rPr>
                <w:b/>
              </w:rPr>
              <w:t xml:space="preserve">rows </w:t>
            </w:r>
            <w:r w:rsidRPr="00953F7D">
              <w:rPr>
                <w:b/>
              </w:rPr>
              <w:t>1 and 2)</w:t>
            </w:r>
          </w:p>
        </w:tc>
        <w:tc>
          <w:tcPr>
            <w:tcW w:w="2094" w:type="dxa"/>
          </w:tcPr>
          <w:p w14:paraId="49D04C44" w14:textId="77777777" w:rsidR="00E8372D" w:rsidRPr="00953F7D" w:rsidRDefault="00E8372D" w:rsidP="00F216DE"/>
        </w:tc>
      </w:tr>
      <w:tr w:rsidR="00E8372D" w:rsidRPr="00953F7D" w14:paraId="49D04C47" w14:textId="77777777" w:rsidTr="004A5161">
        <w:tc>
          <w:tcPr>
            <w:tcW w:w="8472" w:type="dxa"/>
            <w:gridSpan w:val="3"/>
            <w:shd w:val="clear" w:color="auto" w:fill="D9D9D9" w:themeFill="background1" w:themeFillShade="D9"/>
          </w:tcPr>
          <w:p w14:paraId="49D04C46" w14:textId="77777777" w:rsidR="00E8372D" w:rsidRPr="00953F7D" w:rsidRDefault="00E8372D" w:rsidP="00F216DE">
            <w:r w:rsidRPr="00953F7D">
              <w:t>Derivative exposures</w:t>
            </w:r>
          </w:p>
        </w:tc>
      </w:tr>
      <w:tr w:rsidR="00E57481" w:rsidRPr="00953F7D" w14:paraId="49D04C4B" w14:textId="77777777" w:rsidTr="004A5161">
        <w:tc>
          <w:tcPr>
            <w:tcW w:w="456" w:type="dxa"/>
          </w:tcPr>
          <w:p w14:paraId="49D04C48" w14:textId="77777777" w:rsidR="00E8372D" w:rsidRPr="00953F7D" w:rsidRDefault="00E8372D" w:rsidP="00F216DE">
            <w:r w:rsidRPr="00953F7D">
              <w:t>4</w:t>
            </w:r>
          </w:p>
        </w:tc>
        <w:tc>
          <w:tcPr>
            <w:tcW w:w="5922" w:type="dxa"/>
          </w:tcPr>
          <w:p w14:paraId="49D04C49" w14:textId="77777777" w:rsidR="00E8372D" w:rsidRPr="00953F7D" w:rsidRDefault="00E8372D" w:rsidP="001C4F6D">
            <w:pPr>
              <w:ind w:left="0" w:firstLine="0"/>
            </w:pPr>
            <w:r w:rsidRPr="00953F7D">
              <w:t>Replacement cost associated with all derivatives transactions</w:t>
            </w:r>
            <w:r w:rsidR="00EE7DCE" w:rsidRPr="00953F7D">
              <w:t xml:space="preserve"> (i.e. net of eligible cash variation margin)</w:t>
            </w:r>
          </w:p>
        </w:tc>
        <w:tc>
          <w:tcPr>
            <w:tcW w:w="2094" w:type="dxa"/>
          </w:tcPr>
          <w:p w14:paraId="49D04C4A" w14:textId="77777777" w:rsidR="00E8372D" w:rsidRPr="00953F7D" w:rsidRDefault="00E8372D" w:rsidP="00F216DE"/>
        </w:tc>
      </w:tr>
      <w:tr w:rsidR="00E57481" w:rsidRPr="00953F7D" w14:paraId="49D04C4F" w14:textId="77777777" w:rsidTr="004A5161">
        <w:tc>
          <w:tcPr>
            <w:tcW w:w="456" w:type="dxa"/>
          </w:tcPr>
          <w:p w14:paraId="49D04C4C" w14:textId="77777777" w:rsidR="00E8372D" w:rsidRPr="00953F7D" w:rsidRDefault="00E8372D" w:rsidP="00F216DE">
            <w:r w:rsidRPr="00953F7D">
              <w:t>5</w:t>
            </w:r>
          </w:p>
        </w:tc>
        <w:tc>
          <w:tcPr>
            <w:tcW w:w="5922" w:type="dxa"/>
          </w:tcPr>
          <w:p w14:paraId="49D04C4D" w14:textId="77777777" w:rsidR="00E8372D" w:rsidRPr="00953F7D" w:rsidRDefault="00E8372D" w:rsidP="001C4F6D">
            <w:pPr>
              <w:ind w:left="0" w:firstLine="0"/>
            </w:pPr>
            <w:r w:rsidRPr="00953F7D">
              <w:t xml:space="preserve">Add-on amounts for </w:t>
            </w:r>
            <w:r w:rsidR="00435F45" w:rsidRPr="00953F7D">
              <w:t xml:space="preserve">potential future </w:t>
            </w:r>
            <w:r w:rsidR="00EE7DCE" w:rsidRPr="00953F7D">
              <w:t xml:space="preserve">credit </w:t>
            </w:r>
            <w:r w:rsidR="00435F45" w:rsidRPr="00953F7D">
              <w:t>exposure</w:t>
            </w:r>
            <w:r w:rsidR="00AD6D3B" w:rsidRPr="00953F7D">
              <w:t xml:space="preserve"> (PF</w:t>
            </w:r>
            <w:r w:rsidR="00EE7DCE" w:rsidRPr="00953F7D">
              <w:t>C</w:t>
            </w:r>
            <w:r w:rsidR="00AD6D3B" w:rsidRPr="00953F7D">
              <w:t>E)</w:t>
            </w:r>
            <w:r w:rsidRPr="00953F7D">
              <w:t xml:space="preserve"> associated with </w:t>
            </w:r>
            <w:r w:rsidRPr="00953F7D">
              <w:rPr>
                <w:i/>
              </w:rPr>
              <w:t>all</w:t>
            </w:r>
            <w:r w:rsidRPr="00953F7D">
              <w:t xml:space="preserve"> derivative</w:t>
            </w:r>
            <w:r w:rsidR="001E712D" w:rsidRPr="00953F7D">
              <w:t>s</w:t>
            </w:r>
            <w:r w:rsidRPr="00953F7D">
              <w:t xml:space="preserve"> transactions</w:t>
            </w:r>
          </w:p>
        </w:tc>
        <w:tc>
          <w:tcPr>
            <w:tcW w:w="2094" w:type="dxa"/>
          </w:tcPr>
          <w:p w14:paraId="49D04C4E" w14:textId="77777777" w:rsidR="00E8372D" w:rsidRPr="00953F7D" w:rsidRDefault="00E8372D" w:rsidP="00F216DE"/>
        </w:tc>
      </w:tr>
      <w:tr w:rsidR="00E57481" w:rsidRPr="00953F7D" w14:paraId="49D04C53" w14:textId="77777777" w:rsidTr="004A5161">
        <w:tc>
          <w:tcPr>
            <w:tcW w:w="456" w:type="dxa"/>
          </w:tcPr>
          <w:p w14:paraId="49D04C50" w14:textId="77777777" w:rsidR="00E8372D" w:rsidRPr="00953F7D" w:rsidRDefault="00E8372D" w:rsidP="00F216DE">
            <w:r w:rsidRPr="00953F7D">
              <w:t>6</w:t>
            </w:r>
          </w:p>
        </w:tc>
        <w:tc>
          <w:tcPr>
            <w:tcW w:w="5922" w:type="dxa"/>
          </w:tcPr>
          <w:p w14:paraId="49D04C51" w14:textId="77777777" w:rsidR="00E8372D" w:rsidRPr="00953F7D" w:rsidRDefault="00E8372D" w:rsidP="00EF5801">
            <w:pPr>
              <w:ind w:left="0" w:firstLine="0"/>
            </w:pPr>
            <w:r w:rsidRPr="00953F7D">
              <w:t xml:space="preserve">Gross-up for derivatives collateral provided where deducted from the balance sheet assets pursuant to the </w:t>
            </w:r>
            <w:r w:rsidR="00EF5801" w:rsidRPr="00953F7D">
              <w:t>Australian Accounting Standards</w:t>
            </w:r>
          </w:p>
        </w:tc>
        <w:tc>
          <w:tcPr>
            <w:tcW w:w="2094" w:type="dxa"/>
          </w:tcPr>
          <w:p w14:paraId="49D04C52" w14:textId="77777777" w:rsidR="00E8372D" w:rsidRPr="00953F7D" w:rsidRDefault="00E8372D" w:rsidP="00F216DE"/>
        </w:tc>
      </w:tr>
      <w:tr w:rsidR="00E57481" w:rsidRPr="00953F7D" w14:paraId="49D04C57" w14:textId="77777777" w:rsidTr="004A5161">
        <w:tc>
          <w:tcPr>
            <w:tcW w:w="456" w:type="dxa"/>
          </w:tcPr>
          <w:p w14:paraId="49D04C54" w14:textId="77777777" w:rsidR="00E8372D" w:rsidRPr="00953F7D" w:rsidRDefault="00E8372D" w:rsidP="00F216DE">
            <w:r w:rsidRPr="00953F7D">
              <w:t>7</w:t>
            </w:r>
          </w:p>
        </w:tc>
        <w:tc>
          <w:tcPr>
            <w:tcW w:w="5922" w:type="dxa"/>
          </w:tcPr>
          <w:p w14:paraId="49D04C55" w14:textId="77777777" w:rsidR="00E8372D" w:rsidRPr="00953F7D" w:rsidRDefault="00E8372D" w:rsidP="001C4F6D">
            <w:pPr>
              <w:ind w:left="0" w:firstLine="0"/>
            </w:pPr>
            <w:r w:rsidRPr="00953F7D">
              <w:t>(Deductions of receivables assets for cash variation margin provided in derivatives transactions)</w:t>
            </w:r>
          </w:p>
        </w:tc>
        <w:tc>
          <w:tcPr>
            <w:tcW w:w="2094" w:type="dxa"/>
          </w:tcPr>
          <w:p w14:paraId="49D04C56" w14:textId="77777777" w:rsidR="00E8372D" w:rsidRPr="00953F7D" w:rsidRDefault="00E8372D" w:rsidP="00F216DE"/>
        </w:tc>
      </w:tr>
      <w:tr w:rsidR="00E57481" w:rsidRPr="00953F7D" w14:paraId="49D04C5B" w14:textId="77777777" w:rsidTr="004A5161">
        <w:tc>
          <w:tcPr>
            <w:tcW w:w="456" w:type="dxa"/>
          </w:tcPr>
          <w:p w14:paraId="49D04C58" w14:textId="77777777" w:rsidR="00E8372D" w:rsidRPr="00953F7D" w:rsidRDefault="00E8372D" w:rsidP="00F216DE">
            <w:r w:rsidRPr="00953F7D">
              <w:t>8</w:t>
            </w:r>
          </w:p>
        </w:tc>
        <w:tc>
          <w:tcPr>
            <w:tcW w:w="5922" w:type="dxa"/>
          </w:tcPr>
          <w:p w14:paraId="49D04C59" w14:textId="77777777" w:rsidR="00E8372D" w:rsidRPr="00953F7D" w:rsidRDefault="00E8372D" w:rsidP="001C4F6D">
            <w:pPr>
              <w:ind w:left="0" w:firstLine="0"/>
            </w:pPr>
            <w:r w:rsidRPr="00953F7D">
              <w:t xml:space="preserve">(Exempted </w:t>
            </w:r>
            <w:r w:rsidR="00435F45" w:rsidRPr="00953F7D">
              <w:t>central counterparty (</w:t>
            </w:r>
            <w:r w:rsidRPr="00953F7D">
              <w:t>CCP</w:t>
            </w:r>
            <w:r w:rsidR="00435F45" w:rsidRPr="00953F7D">
              <w:t>)</w:t>
            </w:r>
            <w:r w:rsidRPr="00953F7D">
              <w:t xml:space="preserve"> leg of client-cleared trade exposures)</w:t>
            </w:r>
          </w:p>
        </w:tc>
        <w:tc>
          <w:tcPr>
            <w:tcW w:w="2094" w:type="dxa"/>
          </w:tcPr>
          <w:p w14:paraId="49D04C5A" w14:textId="77777777" w:rsidR="00E8372D" w:rsidRPr="00953F7D" w:rsidRDefault="00E8372D" w:rsidP="00F216DE"/>
        </w:tc>
      </w:tr>
      <w:tr w:rsidR="00E57481" w:rsidRPr="00953F7D" w14:paraId="49D04C5F" w14:textId="77777777" w:rsidTr="004A5161">
        <w:tc>
          <w:tcPr>
            <w:tcW w:w="456" w:type="dxa"/>
          </w:tcPr>
          <w:p w14:paraId="49D04C5C" w14:textId="77777777" w:rsidR="00E8372D" w:rsidRPr="00953F7D" w:rsidRDefault="00E8372D" w:rsidP="00F216DE">
            <w:r w:rsidRPr="00953F7D">
              <w:t>9</w:t>
            </w:r>
          </w:p>
        </w:tc>
        <w:tc>
          <w:tcPr>
            <w:tcW w:w="5922" w:type="dxa"/>
          </w:tcPr>
          <w:p w14:paraId="49D04C5D" w14:textId="77777777" w:rsidR="00E8372D" w:rsidRPr="00953F7D" w:rsidRDefault="00E8372D" w:rsidP="001C4F6D">
            <w:pPr>
              <w:ind w:left="0" w:firstLine="0"/>
            </w:pPr>
            <w:r w:rsidRPr="00953F7D">
              <w:t>Adjusted effective notional amount of written credit derivatives</w:t>
            </w:r>
          </w:p>
        </w:tc>
        <w:tc>
          <w:tcPr>
            <w:tcW w:w="2094" w:type="dxa"/>
          </w:tcPr>
          <w:p w14:paraId="49D04C5E" w14:textId="77777777" w:rsidR="00E8372D" w:rsidRPr="00953F7D" w:rsidRDefault="00E8372D" w:rsidP="00F216DE"/>
        </w:tc>
      </w:tr>
      <w:tr w:rsidR="00E57481" w:rsidRPr="00953F7D" w14:paraId="49D04C63" w14:textId="77777777" w:rsidTr="004A5161">
        <w:tc>
          <w:tcPr>
            <w:tcW w:w="456" w:type="dxa"/>
          </w:tcPr>
          <w:p w14:paraId="49D04C60" w14:textId="77777777" w:rsidR="00E8372D" w:rsidRPr="00953F7D" w:rsidRDefault="00E8372D" w:rsidP="00F216DE">
            <w:r w:rsidRPr="00953F7D">
              <w:t>10</w:t>
            </w:r>
          </w:p>
        </w:tc>
        <w:tc>
          <w:tcPr>
            <w:tcW w:w="5922" w:type="dxa"/>
          </w:tcPr>
          <w:p w14:paraId="49D04C61" w14:textId="77777777" w:rsidR="00E8372D" w:rsidRPr="00953F7D" w:rsidRDefault="00E8372D" w:rsidP="001C4F6D">
            <w:pPr>
              <w:ind w:left="0" w:firstLine="0"/>
            </w:pPr>
            <w:r w:rsidRPr="00953F7D">
              <w:t>(Adjusted effective notional offsets and add-on deductions for written credit derivatives)</w:t>
            </w:r>
          </w:p>
        </w:tc>
        <w:tc>
          <w:tcPr>
            <w:tcW w:w="2094" w:type="dxa"/>
          </w:tcPr>
          <w:p w14:paraId="49D04C62" w14:textId="77777777" w:rsidR="00E8372D" w:rsidRPr="00953F7D" w:rsidRDefault="00E8372D" w:rsidP="00F216DE"/>
        </w:tc>
      </w:tr>
      <w:tr w:rsidR="00E57481" w:rsidRPr="00953F7D" w14:paraId="49D04C67" w14:textId="77777777" w:rsidTr="004A5161">
        <w:tc>
          <w:tcPr>
            <w:tcW w:w="456" w:type="dxa"/>
          </w:tcPr>
          <w:p w14:paraId="49D04C64" w14:textId="77777777" w:rsidR="00E8372D" w:rsidRPr="00953F7D" w:rsidRDefault="00E8372D" w:rsidP="00F216DE">
            <w:r w:rsidRPr="00953F7D">
              <w:t>11</w:t>
            </w:r>
          </w:p>
        </w:tc>
        <w:tc>
          <w:tcPr>
            <w:tcW w:w="5922" w:type="dxa"/>
          </w:tcPr>
          <w:p w14:paraId="49D04C65" w14:textId="77777777" w:rsidR="00E8372D" w:rsidRPr="00953F7D" w:rsidRDefault="00E8372D">
            <w:pPr>
              <w:ind w:left="0" w:firstLine="0"/>
              <w:rPr>
                <w:b/>
              </w:rPr>
            </w:pPr>
            <w:r w:rsidRPr="00953F7D">
              <w:rPr>
                <w:b/>
              </w:rPr>
              <w:t xml:space="preserve">Total derivative exposures (sum of </w:t>
            </w:r>
            <w:r w:rsidR="007405E0" w:rsidRPr="00953F7D">
              <w:rPr>
                <w:b/>
              </w:rPr>
              <w:t xml:space="preserve">rows </w:t>
            </w:r>
            <w:r w:rsidRPr="00953F7D">
              <w:rPr>
                <w:b/>
              </w:rPr>
              <w:t>4 to 10)</w:t>
            </w:r>
          </w:p>
        </w:tc>
        <w:tc>
          <w:tcPr>
            <w:tcW w:w="2094" w:type="dxa"/>
          </w:tcPr>
          <w:p w14:paraId="49D04C66" w14:textId="77777777" w:rsidR="00E8372D" w:rsidRPr="00953F7D" w:rsidRDefault="00E8372D" w:rsidP="00F216DE"/>
        </w:tc>
      </w:tr>
      <w:tr w:rsidR="00E8372D" w:rsidRPr="00953F7D" w14:paraId="49D04C69" w14:textId="77777777" w:rsidTr="004A5161">
        <w:tc>
          <w:tcPr>
            <w:tcW w:w="8472" w:type="dxa"/>
            <w:gridSpan w:val="3"/>
            <w:shd w:val="clear" w:color="auto" w:fill="D9D9D9" w:themeFill="background1" w:themeFillShade="D9"/>
          </w:tcPr>
          <w:p w14:paraId="49D04C68" w14:textId="77777777" w:rsidR="00E8372D" w:rsidRPr="00953F7D" w:rsidRDefault="00617D08" w:rsidP="00F216DE">
            <w:r w:rsidRPr="00953F7D">
              <w:t xml:space="preserve">SFT </w:t>
            </w:r>
            <w:r w:rsidR="00E8372D" w:rsidRPr="00953F7D">
              <w:t>exposures</w:t>
            </w:r>
          </w:p>
        </w:tc>
      </w:tr>
      <w:tr w:rsidR="00E8372D" w:rsidRPr="00953F7D" w14:paraId="49D04C6D" w14:textId="77777777" w:rsidTr="004A5161">
        <w:tc>
          <w:tcPr>
            <w:tcW w:w="456" w:type="dxa"/>
          </w:tcPr>
          <w:p w14:paraId="49D04C6A" w14:textId="77777777" w:rsidR="00E8372D" w:rsidRPr="00953F7D" w:rsidRDefault="00E8372D" w:rsidP="00F216DE">
            <w:r w:rsidRPr="00953F7D">
              <w:t>12</w:t>
            </w:r>
          </w:p>
        </w:tc>
        <w:tc>
          <w:tcPr>
            <w:tcW w:w="5922" w:type="dxa"/>
          </w:tcPr>
          <w:p w14:paraId="49D04C6B" w14:textId="77777777" w:rsidR="00E8372D" w:rsidRPr="00953F7D" w:rsidRDefault="00E8372D" w:rsidP="001C4F6D">
            <w:pPr>
              <w:ind w:left="0" w:firstLine="0"/>
            </w:pPr>
            <w:r w:rsidRPr="00953F7D">
              <w:t xml:space="preserve">Gross SFT </w:t>
            </w:r>
            <w:r w:rsidRPr="00953F7D">
              <w:rPr>
                <w:i/>
              </w:rPr>
              <w:t>assets</w:t>
            </w:r>
            <w:r w:rsidRPr="00953F7D">
              <w:t xml:space="preserve"> (with no recognition of netting), after adjusting for sales accounting transactions</w:t>
            </w:r>
          </w:p>
        </w:tc>
        <w:tc>
          <w:tcPr>
            <w:tcW w:w="2094" w:type="dxa"/>
          </w:tcPr>
          <w:p w14:paraId="49D04C6C" w14:textId="77777777" w:rsidR="00E8372D" w:rsidRPr="00953F7D" w:rsidRDefault="00E8372D" w:rsidP="00F216DE"/>
        </w:tc>
      </w:tr>
      <w:tr w:rsidR="00E8372D" w:rsidRPr="00953F7D" w14:paraId="49D04C71" w14:textId="77777777" w:rsidTr="004A5161">
        <w:tc>
          <w:tcPr>
            <w:tcW w:w="456" w:type="dxa"/>
          </w:tcPr>
          <w:p w14:paraId="49D04C6E" w14:textId="77777777" w:rsidR="00E8372D" w:rsidRPr="00953F7D" w:rsidRDefault="00E8372D" w:rsidP="00F216DE">
            <w:r w:rsidRPr="00953F7D">
              <w:t>13</w:t>
            </w:r>
          </w:p>
        </w:tc>
        <w:tc>
          <w:tcPr>
            <w:tcW w:w="5922" w:type="dxa"/>
          </w:tcPr>
          <w:p w14:paraId="49D04C6F" w14:textId="77777777" w:rsidR="00E8372D" w:rsidRPr="00953F7D" w:rsidRDefault="00E8372D" w:rsidP="001E712D">
            <w:pPr>
              <w:ind w:left="0" w:firstLine="0"/>
            </w:pPr>
            <w:r w:rsidRPr="00953F7D">
              <w:t>(Netted amounts of cash payables and cas</w:t>
            </w:r>
            <w:r w:rsidR="00EE7DCE" w:rsidRPr="00953F7D">
              <w:t>h</w:t>
            </w:r>
            <w:r w:rsidRPr="00953F7D">
              <w:t xml:space="preserve"> receivables</w:t>
            </w:r>
            <w:r w:rsidR="001E712D" w:rsidRPr="00953F7D">
              <w:t xml:space="preserve"> of</w:t>
            </w:r>
            <w:r w:rsidRPr="00953F7D">
              <w:t xml:space="preserve"> gross SFT assets)</w:t>
            </w:r>
          </w:p>
        </w:tc>
        <w:tc>
          <w:tcPr>
            <w:tcW w:w="2094" w:type="dxa"/>
          </w:tcPr>
          <w:p w14:paraId="49D04C70" w14:textId="77777777" w:rsidR="00E8372D" w:rsidRPr="00953F7D" w:rsidRDefault="00E8372D" w:rsidP="00F216DE"/>
        </w:tc>
      </w:tr>
      <w:tr w:rsidR="00E8372D" w:rsidRPr="00953F7D" w14:paraId="49D04C75" w14:textId="77777777" w:rsidTr="004A5161">
        <w:tc>
          <w:tcPr>
            <w:tcW w:w="456" w:type="dxa"/>
          </w:tcPr>
          <w:p w14:paraId="49D04C72" w14:textId="77777777" w:rsidR="00E8372D" w:rsidRPr="00953F7D" w:rsidRDefault="00E8372D" w:rsidP="00F216DE">
            <w:r w:rsidRPr="00953F7D">
              <w:t>14</w:t>
            </w:r>
          </w:p>
        </w:tc>
        <w:tc>
          <w:tcPr>
            <w:tcW w:w="5922" w:type="dxa"/>
          </w:tcPr>
          <w:p w14:paraId="49D04C73" w14:textId="77777777" w:rsidR="00E8372D" w:rsidRPr="00953F7D" w:rsidRDefault="00E8372D" w:rsidP="001C4F6D">
            <w:pPr>
              <w:ind w:left="0" w:firstLine="0"/>
            </w:pPr>
            <w:r w:rsidRPr="00953F7D">
              <w:t>CCR exposure for SFT assets</w:t>
            </w:r>
          </w:p>
        </w:tc>
        <w:tc>
          <w:tcPr>
            <w:tcW w:w="2094" w:type="dxa"/>
          </w:tcPr>
          <w:p w14:paraId="49D04C74" w14:textId="77777777" w:rsidR="00E8372D" w:rsidRPr="00953F7D" w:rsidRDefault="00E8372D" w:rsidP="00F216DE"/>
        </w:tc>
      </w:tr>
      <w:tr w:rsidR="00E8372D" w:rsidRPr="00953F7D" w14:paraId="49D04C79" w14:textId="77777777" w:rsidTr="004A5161">
        <w:tc>
          <w:tcPr>
            <w:tcW w:w="456" w:type="dxa"/>
          </w:tcPr>
          <w:p w14:paraId="49D04C76" w14:textId="77777777" w:rsidR="00E8372D" w:rsidRPr="00953F7D" w:rsidRDefault="00E8372D" w:rsidP="00F216DE">
            <w:r w:rsidRPr="00953F7D">
              <w:t>15</w:t>
            </w:r>
          </w:p>
        </w:tc>
        <w:tc>
          <w:tcPr>
            <w:tcW w:w="5922" w:type="dxa"/>
          </w:tcPr>
          <w:p w14:paraId="49D04C77" w14:textId="77777777" w:rsidR="00E8372D" w:rsidRPr="00953F7D" w:rsidRDefault="00E8372D" w:rsidP="001C4F6D">
            <w:pPr>
              <w:ind w:left="0" w:firstLine="0"/>
            </w:pPr>
            <w:r w:rsidRPr="00953F7D">
              <w:t>Agent transaction exposures</w:t>
            </w:r>
          </w:p>
        </w:tc>
        <w:tc>
          <w:tcPr>
            <w:tcW w:w="2094" w:type="dxa"/>
          </w:tcPr>
          <w:p w14:paraId="49D04C78" w14:textId="77777777" w:rsidR="00E8372D" w:rsidRPr="00953F7D" w:rsidRDefault="00E8372D" w:rsidP="00F216DE"/>
        </w:tc>
      </w:tr>
      <w:tr w:rsidR="00E8372D" w:rsidRPr="00953F7D" w14:paraId="49D04C7D" w14:textId="77777777" w:rsidTr="004A5161">
        <w:tc>
          <w:tcPr>
            <w:tcW w:w="456" w:type="dxa"/>
          </w:tcPr>
          <w:p w14:paraId="49D04C7A" w14:textId="77777777" w:rsidR="00E8372D" w:rsidRPr="00953F7D" w:rsidRDefault="00E8372D" w:rsidP="00F216DE">
            <w:r w:rsidRPr="00953F7D">
              <w:t>16</w:t>
            </w:r>
          </w:p>
        </w:tc>
        <w:tc>
          <w:tcPr>
            <w:tcW w:w="5922" w:type="dxa"/>
          </w:tcPr>
          <w:p w14:paraId="49D04C7B" w14:textId="77777777" w:rsidR="00E8372D" w:rsidRPr="00953F7D" w:rsidRDefault="00E8372D">
            <w:pPr>
              <w:rPr>
                <w:b/>
              </w:rPr>
            </w:pPr>
            <w:r w:rsidRPr="00953F7D">
              <w:rPr>
                <w:b/>
              </w:rPr>
              <w:t xml:space="preserve">Total </w:t>
            </w:r>
            <w:r w:rsidR="00ED4BA4" w:rsidRPr="00953F7D">
              <w:rPr>
                <w:b/>
              </w:rPr>
              <w:t xml:space="preserve">SFT </w:t>
            </w:r>
            <w:r w:rsidRPr="00953F7D">
              <w:rPr>
                <w:b/>
              </w:rPr>
              <w:t xml:space="preserve">exposures (sum of </w:t>
            </w:r>
            <w:r w:rsidR="007405E0" w:rsidRPr="00953F7D">
              <w:rPr>
                <w:b/>
              </w:rPr>
              <w:t xml:space="preserve">rows </w:t>
            </w:r>
            <w:r w:rsidRPr="00953F7D">
              <w:rPr>
                <w:b/>
              </w:rPr>
              <w:t>12 to 15)</w:t>
            </w:r>
          </w:p>
        </w:tc>
        <w:tc>
          <w:tcPr>
            <w:tcW w:w="2094" w:type="dxa"/>
          </w:tcPr>
          <w:p w14:paraId="49D04C7C" w14:textId="77777777" w:rsidR="00E8372D" w:rsidRPr="00953F7D" w:rsidRDefault="00E8372D" w:rsidP="00F216DE"/>
        </w:tc>
      </w:tr>
      <w:tr w:rsidR="00E8372D" w:rsidRPr="00953F7D" w14:paraId="49D04C7F" w14:textId="77777777" w:rsidTr="004A5161">
        <w:tc>
          <w:tcPr>
            <w:tcW w:w="8472" w:type="dxa"/>
            <w:gridSpan w:val="3"/>
            <w:shd w:val="clear" w:color="auto" w:fill="D9D9D9" w:themeFill="background1" w:themeFillShade="D9"/>
          </w:tcPr>
          <w:p w14:paraId="49D04C7E" w14:textId="77777777" w:rsidR="00E8372D" w:rsidRPr="00953F7D" w:rsidRDefault="00E8372D" w:rsidP="00F216DE">
            <w:r w:rsidRPr="00953F7D">
              <w:t>Other off-balance sheet exposures</w:t>
            </w:r>
          </w:p>
        </w:tc>
      </w:tr>
      <w:tr w:rsidR="00E8372D" w:rsidRPr="00953F7D" w14:paraId="49D04C83" w14:textId="77777777" w:rsidTr="004A5161">
        <w:tc>
          <w:tcPr>
            <w:tcW w:w="456" w:type="dxa"/>
          </w:tcPr>
          <w:p w14:paraId="49D04C80" w14:textId="77777777" w:rsidR="00E8372D" w:rsidRPr="00953F7D" w:rsidRDefault="00E8372D" w:rsidP="00F216DE">
            <w:r w:rsidRPr="00953F7D">
              <w:t>17</w:t>
            </w:r>
          </w:p>
        </w:tc>
        <w:tc>
          <w:tcPr>
            <w:tcW w:w="5922" w:type="dxa"/>
          </w:tcPr>
          <w:p w14:paraId="49D04C81" w14:textId="77777777" w:rsidR="00E8372D" w:rsidRPr="00953F7D" w:rsidRDefault="00E8372D" w:rsidP="001C4F6D">
            <w:pPr>
              <w:ind w:left="0" w:firstLine="0"/>
            </w:pPr>
            <w:r w:rsidRPr="00953F7D">
              <w:t>Off-balance sheet exposure at gross notional amount</w:t>
            </w:r>
          </w:p>
        </w:tc>
        <w:tc>
          <w:tcPr>
            <w:tcW w:w="2094" w:type="dxa"/>
          </w:tcPr>
          <w:p w14:paraId="49D04C82" w14:textId="77777777" w:rsidR="00E8372D" w:rsidRPr="00953F7D" w:rsidRDefault="00E8372D" w:rsidP="00F216DE"/>
        </w:tc>
      </w:tr>
      <w:tr w:rsidR="00E8372D" w:rsidRPr="00953F7D" w14:paraId="49D04C87" w14:textId="77777777" w:rsidTr="004A5161">
        <w:tc>
          <w:tcPr>
            <w:tcW w:w="456" w:type="dxa"/>
          </w:tcPr>
          <w:p w14:paraId="49D04C84" w14:textId="77777777" w:rsidR="00E8372D" w:rsidRPr="00953F7D" w:rsidRDefault="00E8372D" w:rsidP="00F216DE">
            <w:r w:rsidRPr="00953F7D">
              <w:t>18</w:t>
            </w:r>
          </w:p>
        </w:tc>
        <w:tc>
          <w:tcPr>
            <w:tcW w:w="5922" w:type="dxa"/>
          </w:tcPr>
          <w:p w14:paraId="49D04C85" w14:textId="77777777" w:rsidR="00E8372D" w:rsidRPr="00953F7D" w:rsidRDefault="00E8372D" w:rsidP="001C4F6D">
            <w:pPr>
              <w:ind w:left="0" w:firstLine="0"/>
            </w:pPr>
            <w:r w:rsidRPr="00953F7D">
              <w:t>(Adjustments for conversion to credit equivalent amounts)</w:t>
            </w:r>
          </w:p>
        </w:tc>
        <w:tc>
          <w:tcPr>
            <w:tcW w:w="2094" w:type="dxa"/>
          </w:tcPr>
          <w:p w14:paraId="49D04C86" w14:textId="77777777" w:rsidR="00E8372D" w:rsidRPr="00953F7D" w:rsidRDefault="00E8372D" w:rsidP="00F216DE"/>
        </w:tc>
      </w:tr>
      <w:tr w:rsidR="00E8372D" w:rsidRPr="00953F7D" w14:paraId="49D04C8B" w14:textId="77777777" w:rsidTr="004A5161">
        <w:tc>
          <w:tcPr>
            <w:tcW w:w="456" w:type="dxa"/>
          </w:tcPr>
          <w:p w14:paraId="49D04C88" w14:textId="77777777" w:rsidR="00E8372D" w:rsidRPr="00953F7D" w:rsidRDefault="00E8372D" w:rsidP="00F216DE">
            <w:r w:rsidRPr="00953F7D">
              <w:t>19</w:t>
            </w:r>
          </w:p>
        </w:tc>
        <w:tc>
          <w:tcPr>
            <w:tcW w:w="5922" w:type="dxa"/>
          </w:tcPr>
          <w:p w14:paraId="49D04C89" w14:textId="77777777" w:rsidR="00E8372D" w:rsidRPr="00953F7D" w:rsidRDefault="00E8372D">
            <w:pPr>
              <w:ind w:left="0" w:firstLine="0"/>
              <w:rPr>
                <w:b/>
              </w:rPr>
            </w:pPr>
            <w:r w:rsidRPr="00953F7D">
              <w:rPr>
                <w:b/>
              </w:rPr>
              <w:t>O</w:t>
            </w:r>
            <w:r w:rsidR="000C5508" w:rsidRPr="00953F7D">
              <w:rPr>
                <w:b/>
              </w:rPr>
              <w:t>ther o</w:t>
            </w:r>
            <w:r w:rsidRPr="00953F7D">
              <w:rPr>
                <w:b/>
              </w:rPr>
              <w:t xml:space="preserve">ff-balance sheet </w:t>
            </w:r>
            <w:r w:rsidR="00CE2CB7" w:rsidRPr="00953F7D">
              <w:rPr>
                <w:b/>
              </w:rPr>
              <w:t>exposure</w:t>
            </w:r>
            <w:r w:rsidRPr="00953F7D">
              <w:rPr>
                <w:b/>
              </w:rPr>
              <w:t xml:space="preserve">s (sum of </w:t>
            </w:r>
            <w:r w:rsidR="007405E0" w:rsidRPr="00953F7D">
              <w:rPr>
                <w:b/>
              </w:rPr>
              <w:t xml:space="preserve">rows </w:t>
            </w:r>
            <w:r w:rsidRPr="00953F7D">
              <w:rPr>
                <w:b/>
              </w:rPr>
              <w:t>17 and 18)</w:t>
            </w:r>
          </w:p>
        </w:tc>
        <w:tc>
          <w:tcPr>
            <w:tcW w:w="2094" w:type="dxa"/>
          </w:tcPr>
          <w:p w14:paraId="49D04C8A" w14:textId="77777777" w:rsidR="00E8372D" w:rsidRPr="00953F7D" w:rsidRDefault="00E8372D" w:rsidP="00F216DE"/>
        </w:tc>
      </w:tr>
      <w:tr w:rsidR="00E8372D" w:rsidRPr="00953F7D" w14:paraId="49D04C8D" w14:textId="77777777" w:rsidTr="004A5161">
        <w:tc>
          <w:tcPr>
            <w:tcW w:w="8472" w:type="dxa"/>
            <w:gridSpan w:val="3"/>
            <w:shd w:val="clear" w:color="auto" w:fill="D9D9D9" w:themeFill="background1" w:themeFillShade="D9"/>
          </w:tcPr>
          <w:p w14:paraId="49D04C8C" w14:textId="77777777" w:rsidR="00E8372D" w:rsidRPr="00953F7D" w:rsidRDefault="00E8372D" w:rsidP="009C3F64">
            <w:pPr>
              <w:keepNext/>
            </w:pPr>
            <w:r w:rsidRPr="00953F7D">
              <w:t>Capital and total exposures</w:t>
            </w:r>
          </w:p>
        </w:tc>
      </w:tr>
      <w:tr w:rsidR="00E8372D" w:rsidRPr="00953F7D" w14:paraId="49D04C91" w14:textId="77777777" w:rsidTr="004A5161">
        <w:tc>
          <w:tcPr>
            <w:tcW w:w="456" w:type="dxa"/>
          </w:tcPr>
          <w:p w14:paraId="49D04C8E" w14:textId="77777777" w:rsidR="00E8372D" w:rsidRPr="00953F7D" w:rsidRDefault="00E8372D" w:rsidP="009C3F64">
            <w:pPr>
              <w:keepNext/>
            </w:pPr>
            <w:r w:rsidRPr="00953F7D">
              <w:t>20</w:t>
            </w:r>
          </w:p>
        </w:tc>
        <w:tc>
          <w:tcPr>
            <w:tcW w:w="5922" w:type="dxa"/>
          </w:tcPr>
          <w:p w14:paraId="49D04C8F" w14:textId="77777777" w:rsidR="00E8372D" w:rsidRPr="00953F7D" w:rsidRDefault="00E8372D" w:rsidP="009C3F64">
            <w:pPr>
              <w:keepNext/>
              <w:rPr>
                <w:b/>
              </w:rPr>
            </w:pPr>
            <w:r w:rsidRPr="00953F7D">
              <w:rPr>
                <w:b/>
              </w:rPr>
              <w:t xml:space="preserve">Tier 1 </w:t>
            </w:r>
            <w:r w:rsidR="00497FF0" w:rsidRPr="00953F7D">
              <w:rPr>
                <w:b/>
              </w:rPr>
              <w:t>C</w:t>
            </w:r>
            <w:r w:rsidRPr="00953F7D">
              <w:rPr>
                <w:b/>
              </w:rPr>
              <w:t>apital</w:t>
            </w:r>
          </w:p>
        </w:tc>
        <w:tc>
          <w:tcPr>
            <w:tcW w:w="2094" w:type="dxa"/>
          </w:tcPr>
          <w:p w14:paraId="49D04C90" w14:textId="77777777" w:rsidR="00E8372D" w:rsidRPr="00953F7D" w:rsidRDefault="00E8372D" w:rsidP="009C3F64">
            <w:pPr>
              <w:keepNext/>
            </w:pPr>
          </w:p>
        </w:tc>
      </w:tr>
      <w:tr w:rsidR="00E8372D" w:rsidRPr="00953F7D" w14:paraId="49D04C95" w14:textId="77777777" w:rsidTr="004A5161">
        <w:tc>
          <w:tcPr>
            <w:tcW w:w="456" w:type="dxa"/>
          </w:tcPr>
          <w:p w14:paraId="49D04C92" w14:textId="77777777" w:rsidR="00E8372D" w:rsidRPr="00953F7D" w:rsidRDefault="00E8372D" w:rsidP="00F216DE">
            <w:r w:rsidRPr="00953F7D">
              <w:t>21</w:t>
            </w:r>
          </w:p>
        </w:tc>
        <w:tc>
          <w:tcPr>
            <w:tcW w:w="5922" w:type="dxa"/>
          </w:tcPr>
          <w:p w14:paraId="49D04C93" w14:textId="77777777" w:rsidR="00E8372D" w:rsidRPr="00953F7D" w:rsidRDefault="00E8372D">
            <w:pPr>
              <w:rPr>
                <w:b/>
              </w:rPr>
            </w:pPr>
            <w:r w:rsidRPr="00953F7D">
              <w:rPr>
                <w:b/>
              </w:rPr>
              <w:t xml:space="preserve">Total exposures (sum of </w:t>
            </w:r>
            <w:r w:rsidR="007405E0" w:rsidRPr="00953F7D">
              <w:rPr>
                <w:b/>
              </w:rPr>
              <w:t xml:space="preserve">rows </w:t>
            </w:r>
            <w:r w:rsidRPr="00953F7D">
              <w:rPr>
                <w:b/>
              </w:rPr>
              <w:t>3, 11, 16 and 19)</w:t>
            </w:r>
          </w:p>
        </w:tc>
        <w:tc>
          <w:tcPr>
            <w:tcW w:w="2094" w:type="dxa"/>
          </w:tcPr>
          <w:p w14:paraId="49D04C94" w14:textId="77777777" w:rsidR="00E8372D" w:rsidRPr="00953F7D" w:rsidRDefault="00E8372D" w:rsidP="00F216DE"/>
        </w:tc>
      </w:tr>
      <w:tr w:rsidR="00E8372D" w:rsidRPr="00953F7D" w14:paraId="49D04C97" w14:textId="77777777" w:rsidTr="004A5161">
        <w:tc>
          <w:tcPr>
            <w:tcW w:w="8472" w:type="dxa"/>
            <w:gridSpan w:val="3"/>
            <w:shd w:val="clear" w:color="auto" w:fill="D9D9D9" w:themeFill="background1" w:themeFillShade="D9"/>
          </w:tcPr>
          <w:p w14:paraId="49D04C96" w14:textId="77777777" w:rsidR="00E8372D" w:rsidRPr="00953F7D" w:rsidRDefault="00E8372D" w:rsidP="004A5161">
            <w:pPr>
              <w:ind w:left="6902" w:hanging="6902"/>
            </w:pPr>
            <w:r w:rsidRPr="00953F7D">
              <w:t>Leverage ratio</w:t>
            </w:r>
            <w:r w:rsidR="000C07F3" w:rsidRPr="00953F7D">
              <w:t xml:space="preserve">                                                                                            %</w:t>
            </w:r>
          </w:p>
        </w:tc>
      </w:tr>
      <w:tr w:rsidR="00E8372D" w:rsidRPr="00953F7D" w14:paraId="49D04C9B" w14:textId="77777777" w:rsidTr="004A5161">
        <w:tc>
          <w:tcPr>
            <w:tcW w:w="456" w:type="dxa"/>
          </w:tcPr>
          <w:p w14:paraId="49D04C98" w14:textId="77777777" w:rsidR="00E8372D" w:rsidRPr="00953F7D" w:rsidRDefault="00E8372D" w:rsidP="00F216DE">
            <w:r w:rsidRPr="00953F7D">
              <w:t>22</w:t>
            </w:r>
          </w:p>
        </w:tc>
        <w:tc>
          <w:tcPr>
            <w:tcW w:w="5922" w:type="dxa"/>
          </w:tcPr>
          <w:p w14:paraId="49D04C99" w14:textId="77777777" w:rsidR="00E8372D" w:rsidRPr="00953F7D" w:rsidRDefault="00ED4BA4" w:rsidP="00F216DE">
            <w:pPr>
              <w:rPr>
                <w:b/>
              </w:rPr>
            </w:pPr>
            <w:r w:rsidRPr="00953F7D">
              <w:rPr>
                <w:b/>
              </w:rPr>
              <w:t>L</w:t>
            </w:r>
            <w:r w:rsidR="00E8372D" w:rsidRPr="00953F7D">
              <w:rPr>
                <w:b/>
              </w:rPr>
              <w:t>everage ratio</w:t>
            </w:r>
          </w:p>
        </w:tc>
        <w:tc>
          <w:tcPr>
            <w:tcW w:w="2094" w:type="dxa"/>
          </w:tcPr>
          <w:p w14:paraId="49D04C9A" w14:textId="77777777" w:rsidR="00E8372D" w:rsidRPr="00953F7D" w:rsidRDefault="00E8372D" w:rsidP="00F216DE"/>
        </w:tc>
      </w:tr>
    </w:tbl>
    <w:p w14:paraId="49D04C9C" w14:textId="77777777" w:rsidR="00E8372D" w:rsidRPr="00953F7D" w:rsidRDefault="00E8372D" w:rsidP="00E8372D"/>
    <w:p w14:paraId="49D04C9D" w14:textId="77777777" w:rsidR="00F42A24" w:rsidRPr="00953F7D" w:rsidRDefault="00F42A24" w:rsidP="00F42A24">
      <w:pPr>
        <w:jc w:val="both"/>
        <w:rPr>
          <w:b/>
        </w:rPr>
      </w:pPr>
      <w:r w:rsidRPr="00953F7D">
        <w:rPr>
          <w:b/>
        </w:rPr>
        <w:t>Guidelines for the leverage ratio disclosure</w:t>
      </w:r>
      <w:r w:rsidR="00046605" w:rsidRPr="00953F7D">
        <w:rPr>
          <w:b/>
        </w:rPr>
        <w:t xml:space="preserve"> </w:t>
      </w:r>
      <w:r w:rsidR="008C748E" w:rsidRPr="00953F7D">
        <w:rPr>
          <w:b/>
        </w:rPr>
        <w:t>template</w:t>
      </w:r>
    </w:p>
    <w:p w14:paraId="49D04C9E" w14:textId="77777777" w:rsidR="00E9482F" w:rsidRPr="00953F7D" w:rsidRDefault="00E9482F" w:rsidP="00F42A24">
      <w:pPr>
        <w:jc w:val="both"/>
        <w:rPr>
          <w:b/>
        </w:rPr>
      </w:pPr>
    </w:p>
    <w:p w14:paraId="49D04C9F" w14:textId="77777777" w:rsidR="00F42A24" w:rsidRPr="00953F7D" w:rsidRDefault="00F42A24" w:rsidP="00E9482F">
      <w:pPr>
        <w:pStyle w:val="BodyText"/>
      </w:pPr>
      <w:r w:rsidRPr="00953F7D">
        <w:t xml:space="preserve">In completing Table </w:t>
      </w:r>
      <w:r w:rsidR="0024463D" w:rsidRPr="00953F7D">
        <w:t>18</w:t>
      </w:r>
      <w:r w:rsidRPr="00953F7D">
        <w:t xml:space="preserve">, an </w:t>
      </w:r>
      <w:r w:rsidR="00F55FA4" w:rsidRPr="00953F7D">
        <w:t xml:space="preserve">IRB </w:t>
      </w:r>
      <w:r w:rsidRPr="00953F7D">
        <w:t xml:space="preserve">ADI must have regard to Table </w:t>
      </w:r>
      <w:r w:rsidR="0024463D" w:rsidRPr="00953F7D">
        <w:t>18</w:t>
      </w:r>
      <w:r w:rsidRPr="00953F7D">
        <w:t xml:space="preserve">A, which sets out an explanation of each row of Table </w:t>
      </w:r>
      <w:r w:rsidR="0024463D" w:rsidRPr="00953F7D">
        <w:t>18</w:t>
      </w:r>
      <w:r w:rsidRPr="00953F7D">
        <w:t xml:space="preserve">. </w:t>
      </w:r>
    </w:p>
    <w:p w14:paraId="49D04CA0" w14:textId="77777777" w:rsidR="00E8372D" w:rsidRPr="00953F7D" w:rsidRDefault="00DC5F82" w:rsidP="005F4B4B">
      <w:pPr>
        <w:ind w:firstLine="0"/>
      </w:pPr>
      <w:r w:rsidRPr="00953F7D">
        <w:t xml:space="preserve">Table </w:t>
      </w:r>
      <w:r w:rsidR="0024463D" w:rsidRPr="00953F7D">
        <w:t>18</w:t>
      </w:r>
      <w:r w:rsidR="00B2439F" w:rsidRPr="00953F7D">
        <w:t xml:space="preserve">A: </w:t>
      </w:r>
      <w:r w:rsidR="00E8372D" w:rsidRPr="00953F7D">
        <w:t>Explanat</w:t>
      </w:r>
      <w:r w:rsidR="001529E2" w:rsidRPr="00953F7D">
        <w:t>ory table for</w:t>
      </w:r>
      <w:r w:rsidR="00F42A24" w:rsidRPr="00953F7D">
        <w:t xml:space="preserve"> the leverage ratio</w:t>
      </w:r>
      <w:r w:rsidR="00E8372D" w:rsidRPr="00953F7D">
        <w:t xml:space="preserve"> disclosure </w:t>
      </w:r>
      <w:r w:rsidR="008C748E" w:rsidRPr="00953F7D">
        <w:t>template</w:t>
      </w:r>
    </w:p>
    <w:p w14:paraId="49D04CA1" w14:textId="77777777" w:rsidR="00B2439F" w:rsidRPr="00953F7D" w:rsidRDefault="00B2439F" w:rsidP="001A6AB1">
      <w:pPr>
        <w:ind w:firstLine="720"/>
      </w:pPr>
    </w:p>
    <w:tbl>
      <w:tblPr>
        <w:tblStyle w:val="TableGrid"/>
        <w:tblW w:w="0" w:type="auto"/>
        <w:tblLook w:val="04A0" w:firstRow="1" w:lastRow="0" w:firstColumn="1" w:lastColumn="0" w:noHBand="0" w:noVBand="1"/>
      </w:tblPr>
      <w:tblGrid>
        <w:gridCol w:w="1030"/>
        <w:gridCol w:w="7272"/>
      </w:tblGrid>
      <w:tr w:rsidR="00E8372D" w:rsidRPr="00953F7D" w14:paraId="49D04CA3" w14:textId="77777777" w:rsidTr="004A5161">
        <w:tc>
          <w:tcPr>
            <w:tcW w:w="8472" w:type="dxa"/>
            <w:gridSpan w:val="2"/>
            <w:shd w:val="clear" w:color="auto" w:fill="D9D9D9" w:themeFill="background1" w:themeFillShade="D9"/>
          </w:tcPr>
          <w:p w14:paraId="49D04CA2" w14:textId="77777777" w:rsidR="00E8372D" w:rsidRPr="00953F7D" w:rsidRDefault="00E8372D" w:rsidP="008D3313">
            <w:pPr>
              <w:rPr>
                <w:b/>
              </w:rPr>
            </w:pPr>
            <w:r w:rsidRPr="00953F7D">
              <w:rPr>
                <w:b/>
              </w:rPr>
              <w:t>Explanation of each row of the leverage ratio disclosure template</w:t>
            </w:r>
          </w:p>
        </w:tc>
      </w:tr>
      <w:tr w:rsidR="00E8372D" w:rsidRPr="00953F7D" w14:paraId="49D04CA6" w14:textId="77777777" w:rsidTr="004A5161">
        <w:tc>
          <w:tcPr>
            <w:tcW w:w="1030" w:type="dxa"/>
          </w:tcPr>
          <w:p w14:paraId="49D04CA4" w14:textId="77777777" w:rsidR="00E8372D" w:rsidRPr="00953F7D" w:rsidRDefault="00E8372D" w:rsidP="00D42FCE">
            <w:pPr>
              <w:ind w:left="0" w:firstLine="0"/>
              <w:rPr>
                <w:b/>
              </w:rPr>
            </w:pPr>
            <w:r w:rsidRPr="00953F7D">
              <w:rPr>
                <w:b/>
              </w:rPr>
              <w:t>Row number</w:t>
            </w:r>
          </w:p>
        </w:tc>
        <w:tc>
          <w:tcPr>
            <w:tcW w:w="7442" w:type="dxa"/>
          </w:tcPr>
          <w:p w14:paraId="49D04CA5" w14:textId="77777777" w:rsidR="00E8372D" w:rsidRPr="00953F7D" w:rsidRDefault="00E8372D" w:rsidP="001C4F6D">
            <w:pPr>
              <w:rPr>
                <w:b/>
              </w:rPr>
            </w:pPr>
            <w:r w:rsidRPr="00953F7D">
              <w:rPr>
                <w:b/>
              </w:rPr>
              <w:t>Explanation</w:t>
            </w:r>
          </w:p>
        </w:tc>
      </w:tr>
      <w:tr w:rsidR="00E8372D" w:rsidRPr="00953F7D" w14:paraId="49D04CA9" w14:textId="77777777" w:rsidTr="004A5161">
        <w:tc>
          <w:tcPr>
            <w:tcW w:w="1030" w:type="dxa"/>
          </w:tcPr>
          <w:p w14:paraId="49D04CA7" w14:textId="77777777" w:rsidR="00E8372D" w:rsidRPr="00953F7D" w:rsidRDefault="00E8372D" w:rsidP="00F216DE">
            <w:r w:rsidRPr="00953F7D">
              <w:t>1</w:t>
            </w:r>
          </w:p>
        </w:tc>
        <w:tc>
          <w:tcPr>
            <w:tcW w:w="7442" w:type="dxa"/>
          </w:tcPr>
          <w:p w14:paraId="49D04CA8" w14:textId="77777777" w:rsidR="00E8372D" w:rsidRPr="00953F7D" w:rsidRDefault="00E8372D" w:rsidP="0048115B">
            <w:pPr>
              <w:ind w:left="0" w:firstLine="0"/>
              <w:jc w:val="both"/>
            </w:pPr>
            <w:r w:rsidRPr="00953F7D">
              <w:t>On-balance sheet assets according to</w:t>
            </w:r>
            <w:r w:rsidR="00AD6D3B" w:rsidRPr="00953F7D">
              <w:t xml:space="preserve"> </w:t>
            </w:r>
            <w:r w:rsidR="00A06EC5" w:rsidRPr="00953F7D">
              <w:t>paragraph</w:t>
            </w:r>
            <w:r w:rsidR="002608A8" w:rsidRPr="00953F7D">
              <w:t>s</w:t>
            </w:r>
            <w:r w:rsidR="00A06EC5" w:rsidRPr="00953F7D">
              <w:t xml:space="preserve"> </w:t>
            </w:r>
            <w:r w:rsidR="000D17DB" w:rsidRPr="00953F7D">
              <w:t>5</w:t>
            </w:r>
            <w:r w:rsidR="00114436">
              <w:t xml:space="preserve"> </w:t>
            </w:r>
            <w:r w:rsidR="002608A8" w:rsidRPr="00953F7D">
              <w:t xml:space="preserve">and </w:t>
            </w:r>
            <w:r w:rsidR="00D10246" w:rsidRPr="00953F7D">
              <w:t>6</w:t>
            </w:r>
            <w:r w:rsidR="009D1CC3" w:rsidRPr="00953F7D">
              <w:t xml:space="preserve"> in Attachment D to </w:t>
            </w:r>
            <w:r w:rsidR="00AD6D3B" w:rsidRPr="00953F7D">
              <w:t>APS 110</w:t>
            </w:r>
            <w:r w:rsidR="00DE5282" w:rsidRPr="00953F7D">
              <w:t>.</w:t>
            </w:r>
          </w:p>
        </w:tc>
      </w:tr>
      <w:tr w:rsidR="00E8372D" w:rsidRPr="00953F7D" w14:paraId="49D04CAC" w14:textId="77777777" w:rsidTr="004A5161">
        <w:tc>
          <w:tcPr>
            <w:tcW w:w="1030" w:type="dxa"/>
          </w:tcPr>
          <w:p w14:paraId="49D04CAA" w14:textId="77777777" w:rsidR="00E8372D" w:rsidRPr="00953F7D" w:rsidRDefault="00E8372D" w:rsidP="00F216DE">
            <w:r w:rsidRPr="00953F7D">
              <w:t>2</w:t>
            </w:r>
          </w:p>
        </w:tc>
        <w:tc>
          <w:tcPr>
            <w:tcW w:w="7442" w:type="dxa"/>
          </w:tcPr>
          <w:p w14:paraId="49D04CAB" w14:textId="77777777" w:rsidR="00E8372D" w:rsidRPr="00953F7D" w:rsidRDefault="00DB389D" w:rsidP="00413AB8">
            <w:pPr>
              <w:ind w:left="0" w:firstLine="0"/>
              <w:jc w:val="both"/>
            </w:pPr>
            <w:r w:rsidRPr="00953F7D">
              <w:t xml:space="preserve">Deductions from Tier 1 Capital excluded from the leverage ratio exposure measure </w:t>
            </w:r>
            <w:r w:rsidR="00413AB8" w:rsidRPr="00953F7D">
              <w:t>in accordance with</w:t>
            </w:r>
            <w:r w:rsidRPr="00953F7D">
              <w:t xml:space="preserve"> paragraph </w:t>
            </w:r>
            <w:r w:rsidR="008C748E" w:rsidRPr="00953F7D">
              <w:t>5</w:t>
            </w:r>
            <w:r w:rsidRPr="00953F7D">
              <w:t xml:space="preserve">(b) </w:t>
            </w:r>
            <w:r w:rsidR="00413AB8" w:rsidRPr="00953F7D">
              <w:t xml:space="preserve">of </w:t>
            </w:r>
            <w:r w:rsidRPr="00953F7D">
              <w:t>Attachment D to APS 110</w:t>
            </w:r>
            <w:r w:rsidR="00C8509C" w:rsidRPr="00953F7D">
              <w:t xml:space="preserve">, </w:t>
            </w:r>
            <w:r w:rsidR="00E8372D" w:rsidRPr="00953F7D">
              <w:t>reported as</w:t>
            </w:r>
            <w:r w:rsidR="00994B0C" w:rsidRPr="00953F7D">
              <w:t xml:space="preserve"> a</w:t>
            </w:r>
            <w:r w:rsidR="00E8372D" w:rsidRPr="00953F7D">
              <w:t xml:space="preserve"> negative amount.</w:t>
            </w:r>
          </w:p>
        </w:tc>
      </w:tr>
      <w:tr w:rsidR="00E8372D" w:rsidRPr="00953F7D" w14:paraId="49D04CAF" w14:textId="77777777" w:rsidTr="004A5161">
        <w:tc>
          <w:tcPr>
            <w:tcW w:w="1030" w:type="dxa"/>
          </w:tcPr>
          <w:p w14:paraId="49D04CAD" w14:textId="77777777" w:rsidR="00E8372D" w:rsidRPr="00953F7D" w:rsidRDefault="00E8372D" w:rsidP="00F216DE">
            <w:r w:rsidRPr="00953F7D">
              <w:t>3</w:t>
            </w:r>
          </w:p>
        </w:tc>
        <w:tc>
          <w:tcPr>
            <w:tcW w:w="7442" w:type="dxa"/>
          </w:tcPr>
          <w:p w14:paraId="49D04CAE" w14:textId="77777777" w:rsidR="00E8372D" w:rsidRPr="00953F7D" w:rsidRDefault="00E8372D" w:rsidP="007A2E67">
            <w:pPr>
              <w:ind w:left="0" w:firstLine="0"/>
              <w:jc w:val="both"/>
            </w:pPr>
            <w:r w:rsidRPr="00953F7D">
              <w:t xml:space="preserve">Sum of </w:t>
            </w:r>
            <w:r w:rsidR="007405E0" w:rsidRPr="00953F7D">
              <w:t xml:space="preserve">rows </w:t>
            </w:r>
            <w:r w:rsidRPr="00953F7D">
              <w:t>1 and 2.</w:t>
            </w:r>
          </w:p>
        </w:tc>
      </w:tr>
      <w:tr w:rsidR="00E8372D" w:rsidRPr="00953F7D" w14:paraId="49D04CB2" w14:textId="77777777" w:rsidTr="004A5161">
        <w:tc>
          <w:tcPr>
            <w:tcW w:w="1030" w:type="dxa"/>
          </w:tcPr>
          <w:p w14:paraId="49D04CB0" w14:textId="77777777" w:rsidR="00E8372D" w:rsidRPr="00953F7D" w:rsidRDefault="00E8372D" w:rsidP="00F216DE">
            <w:r w:rsidRPr="00953F7D">
              <w:t>4</w:t>
            </w:r>
          </w:p>
        </w:tc>
        <w:tc>
          <w:tcPr>
            <w:tcW w:w="7442" w:type="dxa"/>
          </w:tcPr>
          <w:p w14:paraId="49D04CB1" w14:textId="77777777" w:rsidR="00E8372D" w:rsidRPr="00953F7D" w:rsidRDefault="00E8372D" w:rsidP="001B0F41">
            <w:pPr>
              <w:ind w:left="0" w:firstLine="0"/>
              <w:jc w:val="both"/>
            </w:pPr>
            <w:r w:rsidRPr="00953F7D">
              <w:t xml:space="preserve">Replacement cost (RC) associated with </w:t>
            </w:r>
            <w:r w:rsidRPr="00953F7D">
              <w:rPr>
                <w:i/>
              </w:rPr>
              <w:t>all</w:t>
            </w:r>
            <w:r w:rsidRPr="00953F7D">
              <w:t xml:space="preserve"> derivatives transactions (including exposures resulting from transactions described in</w:t>
            </w:r>
            <w:r w:rsidR="00AD6D3B" w:rsidRPr="00953F7D">
              <w:t xml:space="preserve"> </w:t>
            </w:r>
            <w:r w:rsidR="00493C07" w:rsidRPr="00953F7D">
              <w:t>paragraph</w:t>
            </w:r>
            <w:r w:rsidR="00A06EC5" w:rsidRPr="00953F7D">
              <w:t xml:space="preserve"> 1</w:t>
            </w:r>
            <w:r w:rsidR="00D10246" w:rsidRPr="00953F7D">
              <w:t>6</w:t>
            </w:r>
            <w:r w:rsidR="000C53B1" w:rsidRPr="00953F7D">
              <w:t xml:space="preserve"> </w:t>
            </w:r>
            <w:r w:rsidR="001B0F41" w:rsidRPr="00953F7D">
              <w:t xml:space="preserve">of </w:t>
            </w:r>
            <w:r w:rsidR="000C53B1" w:rsidRPr="00953F7D">
              <w:t>Attachment D to</w:t>
            </w:r>
            <w:r w:rsidR="00493C07" w:rsidRPr="00953F7D">
              <w:t xml:space="preserve"> </w:t>
            </w:r>
            <w:r w:rsidR="00AD6D3B" w:rsidRPr="00953F7D">
              <w:t>APS 110</w:t>
            </w:r>
            <w:r w:rsidRPr="00953F7D">
              <w:t>), net of cash variation margin received and with, where applicable, bilateral netting according to</w:t>
            </w:r>
            <w:r w:rsidR="00AD6D3B" w:rsidRPr="00953F7D">
              <w:t xml:space="preserve"> </w:t>
            </w:r>
            <w:r w:rsidR="00A06EC5" w:rsidRPr="00953F7D">
              <w:t>paragraph</w:t>
            </w:r>
            <w:r w:rsidR="00BA1496" w:rsidRPr="00953F7D">
              <w:t>s</w:t>
            </w:r>
            <w:r w:rsidR="00A06EC5" w:rsidRPr="00953F7D">
              <w:t xml:space="preserve"> </w:t>
            </w:r>
            <w:r w:rsidR="00D10246" w:rsidRPr="00953F7D">
              <w:t>9</w:t>
            </w:r>
            <w:r w:rsidR="00BD7BD4" w:rsidRPr="00953F7D">
              <w:t xml:space="preserve"> </w:t>
            </w:r>
            <w:r w:rsidR="00FF24AA" w:rsidRPr="00953F7D">
              <w:t>and 1</w:t>
            </w:r>
            <w:r w:rsidR="00D10246" w:rsidRPr="00953F7D">
              <w:t>4</w:t>
            </w:r>
            <w:r w:rsidR="00FF24AA" w:rsidRPr="00953F7D">
              <w:t xml:space="preserve"> </w:t>
            </w:r>
            <w:r w:rsidR="001B0F41" w:rsidRPr="00953F7D">
              <w:t xml:space="preserve">of </w:t>
            </w:r>
            <w:r w:rsidR="00BD7BD4" w:rsidRPr="00953F7D">
              <w:t xml:space="preserve">Attachment D to </w:t>
            </w:r>
            <w:r w:rsidR="00AD6D3B" w:rsidRPr="00953F7D">
              <w:t>APS 110</w:t>
            </w:r>
            <w:r w:rsidRPr="00953F7D">
              <w:t>.</w:t>
            </w:r>
          </w:p>
        </w:tc>
      </w:tr>
      <w:tr w:rsidR="00E8372D" w:rsidRPr="00953F7D" w14:paraId="49D04CB5" w14:textId="77777777" w:rsidTr="004A5161">
        <w:tc>
          <w:tcPr>
            <w:tcW w:w="1030" w:type="dxa"/>
          </w:tcPr>
          <w:p w14:paraId="49D04CB3" w14:textId="77777777" w:rsidR="00E8372D" w:rsidRPr="00953F7D" w:rsidRDefault="00E8372D" w:rsidP="00F216DE">
            <w:r w:rsidRPr="00953F7D">
              <w:t>5</w:t>
            </w:r>
          </w:p>
        </w:tc>
        <w:tc>
          <w:tcPr>
            <w:tcW w:w="7442" w:type="dxa"/>
          </w:tcPr>
          <w:p w14:paraId="49D04CB4" w14:textId="77777777" w:rsidR="00E8372D" w:rsidRPr="00953F7D" w:rsidRDefault="00F87664" w:rsidP="001B0F41">
            <w:pPr>
              <w:ind w:left="0" w:firstLine="0"/>
              <w:jc w:val="both"/>
            </w:pPr>
            <w:r w:rsidRPr="00953F7D">
              <w:t xml:space="preserve">PFCE </w:t>
            </w:r>
            <w:r w:rsidR="001B0F41" w:rsidRPr="00953F7D">
              <w:t>a</w:t>
            </w:r>
            <w:r w:rsidR="00E8372D" w:rsidRPr="00953F7D">
              <w:t>dd-on amount for all derivative exposures</w:t>
            </w:r>
            <w:r w:rsidR="005B41A6" w:rsidRPr="00953F7D">
              <w:t xml:space="preserve"> </w:t>
            </w:r>
            <w:r w:rsidR="00E8372D" w:rsidRPr="00953F7D">
              <w:t>according to</w:t>
            </w:r>
            <w:r w:rsidR="00AD6D3B" w:rsidRPr="00953F7D">
              <w:t xml:space="preserve"> </w:t>
            </w:r>
            <w:r w:rsidR="00A06EC5" w:rsidRPr="00953F7D">
              <w:t xml:space="preserve">paragraphs </w:t>
            </w:r>
            <w:r w:rsidR="00D10246" w:rsidRPr="00953F7D">
              <w:t>9</w:t>
            </w:r>
            <w:r w:rsidR="00A06EC5" w:rsidRPr="00953F7D">
              <w:t xml:space="preserve"> and 1</w:t>
            </w:r>
            <w:r w:rsidR="00D10246" w:rsidRPr="00953F7D">
              <w:t>0</w:t>
            </w:r>
            <w:r w:rsidR="00341BE2" w:rsidRPr="00953F7D">
              <w:t xml:space="preserve"> </w:t>
            </w:r>
            <w:r w:rsidR="001B0F41" w:rsidRPr="00953F7D">
              <w:t xml:space="preserve">of </w:t>
            </w:r>
            <w:r w:rsidR="00341BE2" w:rsidRPr="00953F7D">
              <w:t xml:space="preserve">Attachment D to </w:t>
            </w:r>
            <w:r w:rsidR="00AD6D3B" w:rsidRPr="00953F7D">
              <w:t>APS 110</w:t>
            </w:r>
            <w:r w:rsidR="00E8372D" w:rsidRPr="00953F7D">
              <w:t>.</w:t>
            </w:r>
          </w:p>
        </w:tc>
      </w:tr>
      <w:tr w:rsidR="00E8372D" w:rsidRPr="00953F7D" w14:paraId="49D04CB8" w14:textId="77777777" w:rsidTr="004A5161">
        <w:tc>
          <w:tcPr>
            <w:tcW w:w="1030" w:type="dxa"/>
          </w:tcPr>
          <w:p w14:paraId="49D04CB6" w14:textId="77777777" w:rsidR="00E8372D" w:rsidRPr="00953F7D" w:rsidRDefault="00E8372D" w:rsidP="00F216DE">
            <w:r w:rsidRPr="00953F7D">
              <w:t>6</w:t>
            </w:r>
          </w:p>
        </w:tc>
        <w:tc>
          <w:tcPr>
            <w:tcW w:w="7442" w:type="dxa"/>
          </w:tcPr>
          <w:p w14:paraId="49D04CB7" w14:textId="77777777" w:rsidR="00E8372D" w:rsidRPr="00953F7D" w:rsidRDefault="00E8372D" w:rsidP="00D66274">
            <w:pPr>
              <w:ind w:left="0" w:firstLine="0"/>
              <w:jc w:val="both"/>
            </w:pPr>
            <w:r w:rsidRPr="00953F7D">
              <w:t xml:space="preserve">Grossed-up amount for collateral provided </w:t>
            </w:r>
            <w:r w:rsidR="00D66274" w:rsidRPr="00953F7D">
              <w:t>in accordance with</w:t>
            </w:r>
            <w:r w:rsidR="00AD6D3B" w:rsidRPr="00953F7D">
              <w:t xml:space="preserve"> </w:t>
            </w:r>
            <w:r w:rsidR="00A06EC5" w:rsidRPr="00953F7D">
              <w:t>paragraph 1</w:t>
            </w:r>
            <w:r w:rsidR="00D10246" w:rsidRPr="00953F7D">
              <w:t>2</w:t>
            </w:r>
            <w:r w:rsidR="00396BE0" w:rsidRPr="00953F7D">
              <w:t xml:space="preserve"> </w:t>
            </w:r>
            <w:r w:rsidR="001B0F41" w:rsidRPr="00953F7D">
              <w:t xml:space="preserve">of </w:t>
            </w:r>
            <w:r w:rsidR="00396BE0" w:rsidRPr="00953F7D">
              <w:t xml:space="preserve">Attachment D to </w:t>
            </w:r>
            <w:r w:rsidR="00AD6D3B" w:rsidRPr="00953F7D">
              <w:t>APS 110</w:t>
            </w:r>
            <w:r w:rsidRPr="00953F7D">
              <w:t>.</w:t>
            </w:r>
          </w:p>
        </w:tc>
      </w:tr>
      <w:tr w:rsidR="00E8372D" w:rsidRPr="00953F7D" w14:paraId="49D04CBB" w14:textId="77777777" w:rsidTr="004A5161">
        <w:tc>
          <w:tcPr>
            <w:tcW w:w="1030" w:type="dxa"/>
          </w:tcPr>
          <w:p w14:paraId="49D04CB9" w14:textId="77777777" w:rsidR="00E8372D" w:rsidRPr="00953F7D" w:rsidRDefault="00E8372D" w:rsidP="00F216DE">
            <w:r w:rsidRPr="00953F7D">
              <w:t>7</w:t>
            </w:r>
          </w:p>
        </w:tc>
        <w:tc>
          <w:tcPr>
            <w:tcW w:w="7442" w:type="dxa"/>
          </w:tcPr>
          <w:p w14:paraId="49D04CBA" w14:textId="77777777" w:rsidR="00E8372D" w:rsidRPr="00953F7D" w:rsidRDefault="00E8372D" w:rsidP="00D66274">
            <w:pPr>
              <w:ind w:left="0" w:firstLine="0"/>
              <w:jc w:val="both"/>
            </w:pPr>
            <w:r w:rsidRPr="00953F7D">
              <w:t xml:space="preserve">Deductions of receivables assets from cash variation margin provided in derivatives transactions </w:t>
            </w:r>
            <w:r w:rsidR="00D66274" w:rsidRPr="00953F7D">
              <w:t>in accordance with</w:t>
            </w:r>
            <w:r w:rsidR="00AD6D3B" w:rsidRPr="00953F7D">
              <w:t xml:space="preserve"> </w:t>
            </w:r>
            <w:r w:rsidR="009600D6" w:rsidRPr="00953F7D">
              <w:t xml:space="preserve">paragraph </w:t>
            </w:r>
            <w:r w:rsidR="00A06EC5" w:rsidRPr="00953F7D">
              <w:t>1</w:t>
            </w:r>
            <w:r w:rsidR="00D10246" w:rsidRPr="00953F7D">
              <w:t>4</w:t>
            </w:r>
            <w:r w:rsidR="009600D6" w:rsidRPr="00953F7D">
              <w:t xml:space="preserve">(b) </w:t>
            </w:r>
            <w:r w:rsidR="00D66274" w:rsidRPr="00953F7D">
              <w:t xml:space="preserve">of </w:t>
            </w:r>
            <w:r w:rsidR="009600D6" w:rsidRPr="00953F7D">
              <w:t xml:space="preserve">Attachment D to </w:t>
            </w:r>
            <w:r w:rsidR="00AD6D3B" w:rsidRPr="00953F7D">
              <w:t>APS 110</w:t>
            </w:r>
            <w:r w:rsidRPr="00953F7D">
              <w:t>, reported as negative amounts.</w:t>
            </w:r>
          </w:p>
        </w:tc>
      </w:tr>
      <w:tr w:rsidR="00E8372D" w:rsidRPr="00953F7D" w14:paraId="49D04CBE" w14:textId="77777777" w:rsidTr="004A5161">
        <w:tc>
          <w:tcPr>
            <w:tcW w:w="1030" w:type="dxa"/>
          </w:tcPr>
          <w:p w14:paraId="49D04CBC" w14:textId="77777777" w:rsidR="00E8372D" w:rsidRPr="00953F7D" w:rsidRDefault="00E8372D" w:rsidP="00F216DE">
            <w:r w:rsidRPr="00953F7D">
              <w:t>8</w:t>
            </w:r>
          </w:p>
        </w:tc>
        <w:tc>
          <w:tcPr>
            <w:tcW w:w="7442" w:type="dxa"/>
          </w:tcPr>
          <w:p w14:paraId="49D04CBD" w14:textId="77777777" w:rsidR="00E8372D" w:rsidRPr="00953F7D" w:rsidRDefault="00E8372D" w:rsidP="00D66274">
            <w:pPr>
              <w:ind w:left="0" w:firstLine="0"/>
              <w:jc w:val="both"/>
            </w:pPr>
            <w:r w:rsidRPr="00953F7D">
              <w:t xml:space="preserve">Exempted trade exposures associated with the CCP leg of derivatives transactions resulting from client-cleared transactions </w:t>
            </w:r>
            <w:r w:rsidR="00D66274" w:rsidRPr="00953F7D">
              <w:t>in accordance with</w:t>
            </w:r>
            <w:r w:rsidR="005A1471" w:rsidRPr="00953F7D">
              <w:t xml:space="preserve"> paragraph 1</w:t>
            </w:r>
            <w:r w:rsidR="00D10246" w:rsidRPr="00953F7D">
              <w:t>5</w:t>
            </w:r>
            <w:r w:rsidR="00214F5D" w:rsidRPr="00953F7D">
              <w:t xml:space="preserve"> </w:t>
            </w:r>
            <w:r w:rsidR="00D66274" w:rsidRPr="00953F7D">
              <w:t xml:space="preserve">of </w:t>
            </w:r>
            <w:r w:rsidR="00214F5D" w:rsidRPr="00953F7D">
              <w:t>Attachment D to</w:t>
            </w:r>
            <w:r w:rsidR="00AD6D3B" w:rsidRPr="00953F7D">
              <w:t xml:space="preserve"> APS 110</w:t>
            </w:r>
            <w:r w:rsidRPr="00953F7D">
              <w:t>, reported as negative amounts.</w:t>
            </w:r>
          </w:p>
        </w:tc>
      </w:tr>
      <w:tr w:rsidR="00E8372D" w:rsidRPr="00953F7D" w14:paraId="49D04CC1" w14:textId="77777777" w:rsidTr="004A5161">
        <w:tc>
          <w:tcPr>
            <w:tcW w:w="1030" w:type="dxa"/>
          </w:tcPr>
          <w:p w14:paraId="49D04CBF" w14:textId="77777777" w:rsidR="00E8372D" w:rsidRPr="00953F7D" w:rsidRDefault="00E8372D" w:rsidP="00F216DE">
            <w:r w:rsidRPr="00953F7D">
              <w:t>9</w:t>
            </w:r>
          </w:p>
        </w:tc>
        <w:tc>
          <w:tcPr>
            <w:tcW w:w="7442" w:type="dxa"/>
          </w:tcPr>
          <w:p w14:paraId="49D04CC0" w14:textId="77777777" w:rsidR="00E8372D" w:rsidRPr="00953F7D" w:rsidRDefault="00E8372D" w:rsidP="00D66274">
            <w:pPr>
              <w:ind w:left="0" w:firstLine="0"/>
              <w:jc w:val="both"/>
            </w:pPr>
            <w:r w:rsidRPr="00953F7D">
              <w:t>Adjusted effective notional amount (i</w:t>
            </w:r>
            <w:r w:rsidR="00716EA5" w:rsidRPr="00953F7D">
              <w:t>.</w:t>
            </w:r>
            <w:r w:rsidRPr="00953F7D">
              <w:t>e</w:t>
            </w:r>
            <w:r w:rsidR="00716EA5" w:rsidRPr="00953F7D">
              <w:t>.</w:t>
            </w:r>
            <w:r w:rsidRPr="00953F7D">
              <w:t xml:space="preserve"> the effective notional amount reduced by any negative change in fair value) for written credit derivatives </w:t>
            </w:r>
            <w:r w:rsidR="00D66274" w:rsidRPr="00953F7D">
              <w:t>in accordance with</w:t>
            </w:r>
            <w:r w:rsidR="00AD6D3B" w:rsidRPr="00953F7D">
              <w:t xml:space="preserve"> </w:t>
            </w:r>
            <w:r w:rsidR="005A1471" w:rsidRPr="00953F7D">
              <w:t>paragraph 1</w:t>
            </w:r>
            <w:r w:rsidR="00D10246" w:rsidRPr="00953F7D">
              <w:t>8</w:t>
            </w:r>
            <w:r w:rsidR="00FF24AA" w:rsidRPr="00953F7D">
              <w:t>(a)</w:t>
            </w:r>
            <w:r w:rsidR="00214F5D" w:rsidRPr="00953F7D">
              <w:t xml:space="preserve"> </w:t>
            </w:r>
            <w:r w:rsidR="00D66274" w:rsidRPr="00953F7D">
              <w:t xml:space="preserve">of </w:t>
            </w:r>
            <w:r w:rsidR="00214F5D" w:rsidRPr="00953F7D">
              <w:t xml:space="preserve">Attachment D to </w:t>
            </w:r>
            <w:r w:rsidR="00AD6D3B" w:rsidRPr="00953F7D">
              <w:t>APS 110</w:t>
            </w:r>
            <w:r w:rsidRPr="00953F7D">
              <w:t>.</w:t>
            </w:r>
          </w:p>
        </w:tc>
      </w:tr>
      <w:tr w:rsidR="00E8372D" w:rsidRPr="00953F7D" w14:paraId="49D04CC4" w14:textId="77777777" w:rsidTr="004A5161">
        <w:tc>
          <w:tcPr>
            <w:tcW w:w="1030" w:type="dxa"/>
          </w:tcPr>
          <w:p w14:paraId="49D04CC2" w14:textId="77777777" w:rsidR="00E8372D" w:rsidRPr="00953F7D" w:rsidRDefault="00E8372D" w:rsidP="00F216DE">
            <w:r w:rsidRPr="00953F7D">
              <w:t>10</w:t>
            </w:r>
          </w:p>
        </w:tc>
        <w:tc>
          <w:tcPr>
            <w:tcW w:w="7442" w:type="dxa"/>
          </w:tcPr>
          <w:p w14:paraId="49D04CC3" w14:textId="77777777" w:rsidR="00E8372D" w:rsidRPr="00953F7D" w:rsidRDefault="00E8372D" w:rsidP="00D66274">
            <w:pPr>
              <w:ind w:left="0" w:firstLine="0"/>
              <w:jc w:val="both"/>
            </w:pPr>
            <w:r w:rsidRPr="00953F7D">
              <w:t xml:space="preserve">Adjusted effective notional offsets of written credit derivatives </w:t>
            </w:r>
            <w:r w:rsidR="00D66274" w:rsidRPr="00953F7D">
              <w:t>in accordance with</w:t>
            </w:r>
            <w:r w:rsidRPr="00953F7D">
              <w:t xml:space="preserve"> </w:t>
            </w:r>
            <w:r w:rsidR="005A1471" w:rsidRPr="00953F7D">
              <w:t>paragraph 1</w:t>
            </w:r>
            <w:r w:rsidR="00D10246" w:rsidRPr="00953F7D">
              <w:t>8</w:t>
            </w:r>
            <w:r w:rsidR="00FF24AA" w:rsidRPr="00953F7D">
              <w:t>(b)</w:t>
            </w:r>
            <w:r w:rsidR="00591E42" w:rsidRPr="00953F7D">
              <w:t xml:space="preserve"> </w:t>
            </w:r>
            <w:r w:rsidR="00D66274" w:rsidRPr="00953F7D">
              <w:t xml:space="preserve">of </w:t>
            </w:r>
            <w:r w:rsidR="00591E42" w:rsidRPr="00953F7D">
              <w:t xml:space="preserve">Attachment D to </w:t>
            </w:r>
            <w:r w:rsidR="00AD6D3B" w:rsidRPr="00953F7D">
              <w:t xml:space="preserve">APS 110 </w:t>
            </w:r>
            <w:r w:rsidRPr="00953F7D">
              <w:t xml:space="preserve">and deducted add-on amounts relating to written credit derivatives </w:t>
            </w:r>
            <w:r w:rsidR="00D66274" w:rsidRPr="00953F7D">
              <w:t>in accordance with</w:t>
            </w:r>
            <w:r w:rsidR="00AD6D3B" w:rsidRPr="00953F7D">
              <w:t xml:space="preserve"> </w:t>
            </w:r>
            <w:r w:rsidR="005A1471" w:rsidRPr="00953F7D">
              <w:t>paragraph 2</w:t>
            </w:r>
            <w:r w:rsidR="00D10246" w:rsidRPr="00953F7D">
              <w:t>0</w:t>
            </w:r>
            <w:r w:rsidR="00591E42" w:rsidRPr="00953F7D">
              <w:t xml:space="preserve"> </w:t>
            </w:r>
            <w:r w:rsidR="00D66274" w:rsidRPr="00953F7D">
              <w:t xml:space="preserve">of </w:t>
            </w:r>
            <w:r w:rsidR="00591E42" w:rsidRPr="00953F7D">
              <w:t xml:space="preserve">Attachment D to </w:t>
            </w:r>
            <w:r w:rsidR="00AD6D3B" w:rsidRPr="00953F7D">
              <w:t>APS 110</w:t>
            </w:r>
            <w:r w:rsidRPr="00953F7D">
              <w:t>, reported as negative amounts.</w:t>
            </w:r>
          </w:p>
        </w:tc>
      </w:tr>
      <w:tr w:rsidR="00E8372D" w:rsidRPr="00953F7D" w14:paraId="49D04CC7" w14:textId="77777777" w:rsidTr="004A5161">
        <w:tc>
          <w:tcPr>
            <w:tcW w:w="1030" w:type="dxa"/>
          </w:tcPr>
          <w:p w14:paraId="49D04CC5" w14:textId="77777777" w:rsidR="00E8372D" w:rsidRPr="00953F7D" w:rsidRDefault="00E8372D" w:rsidP="00F216DE">
            <w:r w:rsidRPr="00953F7D">
              <w:t>11</w:t>
            </w:r>
          </w:p>
        </w:tc>
        <w:tc>
          <w:tcPr>
            <w:tcW w:w="7442" w:type="dxa"/>
          </w:tcPr>
          <w:p w14:paraId="49D04CC6" w14:textId="77777777" w:rsidR="00E8372D" w:rsidRPr="00953F7D" w:rsidRDefault="00E8372D" w:rsidP="007A2E67">
            <w:pPr>
              <w:ind w:left="0" w:firstLine="0"/>
              <w:jc w:val="both"/>
            </w:pPr>
            <w:r w:rsidRPr="00953F7D">
              <w:t xml:space="preserve">Sum of </w:t>
            </w:r>
            <w:r w:rsidR="007405E0" w:rsidRPr="00953F7D">
              <w:t xml:space="preserve">rows </w:t>
            </w:r>
            <w:r w:rsidRPr="00953F7D">
              <w:t>4-10.</w:t>
            </w:r>
          </w:p>
        </w:tc>
      </w:tr>
      <w:tr w:rsidR="00E8372D" w:rsidRPr="00953F7D" w14:paraId="49D04CCA" w14:textId="77777777" w:rsidTr="004A5161">
        <w:tc>
          <w:tcPr>
            <w:tcW w:w="1030" w:type="dxa"/>
          </w:tcPr>
          <w:p w14:paraId="49D04CC8" w14:textId="77777777" w:rsidR="00E8372D" w:rsidRPr="00953F7D" w:rsidRDefault="00E8372D" w:rsidP="00F216DE">
            <w:r w:rsidRPr="00953F7D">
              <w:t>12</w:t>
            </w:r>
          </w:p>
        </w:tc>
        <w:tc>
          <w:tcPr>
            <w:tcW w:w="7442" w:type="dxa"/>
          </w:tcPr>
          <w:p w14:paraId="49D04CC9" w14:textId="77777777" w:rsidR="00E8372D" w:rsidRPr="00953F7D" w:rsidRDefault="00E8372D" w:rsidP="00D66274">
            <w:pPr>
              <w:ind w:left="0" w:firstLine="0"/>
              <w:jc w:val="both"/>
            </w:pPr>
            <w:r w:rsidRPr="00953F7D">
              <w:t xml:space="preserve">Gross SFT assets with no recognition of any netting other than novation with </w:t>
            </w:r>
            <w:r w:rsidR="000F3311" w:rsidRPr="00953F7D">
              <w:t>qualifying central counterparties (</w:t>
            </w:r>
            <w:r w:rsidRPr="00953F7D">
              <w:t>QCCPs</w:t>
            </w:r>
            <w:r w:rsidR="000F3311" w:rsidRPr="00953F7D">
              <w:t>)</w:t>
            </w:r>
            <w:r w:rsidR="00CE2CB7" w:rsidRPr="00953F7D">
              <w:t xml:space="preserve"> </w:t>
            </w:r>
            <w:r w:rsidR="00D66274" w:rsidRPr="00953F7D">
              <w:t>in accordance with</w:t>
            </w:r>
            <w:r w:rsidR="00D11A12" w:rsidRPr="00953F7D">
              <w:t xml:space="preserve"> footnote 2</w:t>
            </w:r>
            <w:r w:rsidR="00E64ADE" w:rsidRPr="00953F7D">
              <w:t>3</w:t>
            </w:r>
            <w:r w:rsidR="00D11A12" w:rsidRPr="00953F7D">
              <w:t xml:space="preserve"> </w:t>
            </w:r>
            <w:r w:rsidR="00D66274" w:rsidRPr="00953F7D">
              <w:t>of</w:t>
            </w:r>
            <w:r w:rsidR="00D11A12" w:rsidRPr="00953F7D">
              <w:t xml:space="preserve"> Attachment D</w:t>
            </w:r>
            <w:r w:rsidR="00CE2CB7" w:rsidRPr="00953F7D">
              <w:t xml:space="preserve"> to APS 110</w:t>
            </w:r>
            <w:r w:rsidRPr="00953F7D">
              <w:t xml:space="preserve">, removing certain securities received </w:t>
            </w:r>
            <w:r w:rsidR="00D66274" w:rsidRPr="00953F7D">
              <w:t>in accordance with</w:t>
            </w:r>
            <w:r w:rsidR="005A1471" w:rsidRPr="00953F7D">
              <w:t xml:space="preserve"> paragraph 2</w:t>
            </w:r>
            <w:r w:rsidR="0037516C" w:rsidRPr="00953F7D">
              <w:t>2</w:t>
            </w:r>
            <w:r w:rsidR="00D11A12" w:rsidRPr="00953F7D">
              <w:t xml:space="preserve">(a) </w:t>
            </w:r>
            <w:r w:rsidR="00D66274" w:rsidRPr="00953F7D">
              <w:t xml:space="preserve">of </w:t>
            </w:r>
            <w:r w:rsidR="00D11A12" w:rsidRPr="00953F7D">
              <w:t xml:space="preserve">Attachment D to APS 110 </w:t>
            </w:r>
            <w:r w:rsidRPr="00953F7D">
              <w:t>and adjusting for any sales accounting transactions</w:t>
            </w:r>
            <w:r w:rsidR="005B41A6" w:rsidRPr="00953F7D">
              <w:t xml:space="preserve"> </w:t>
            </w:r>
            <w:r w:rsidR="00D66274" w:rsidRPr="00953F7D">
              <w:t>in accordance with</w:t>
            </w:r>
            <w:r w:rsidR="005B41A6" w:rsidRPr="00953F7D">
              <w:t xml:space="preserve"> </w:t>
            </w:r>
            <w:r w:rsidR="005A1471" w:rsidRPr="00953F7D">
              <w:t>paragraph 2</w:t>
            </w:r>
            <w:r w:rsidR="0037516C" w:rsidRPr="00953F7D">
              <w:t>5</w:t>
            </w:r>
            <w:r w:rsidR="00D11A12" w:rsidRPr="00953F7D">
              <w:t xml:space="preserve"> </w:t>
            </w:r>
            <w:r w:rsidR="00D66274" w:rsidRPr="00953F7D">
              <w:t xml:space="preserve">of </w:t>
            </w:r>
            <w:r w:rsidR="00D11A12" w:rsidRPr="00953F7D">
              <w:t xml:space="preserve">Attachment D to </w:t>
            </w:r>
            <w:r w:rsidR="005B41A6" w:rsidRPr="00953F7D">
              <w:t>APS 110</w:t>
            </w:r>
            <w:r w:rsidRPr="00953F7D">
              <w:t>.</w:t>
            </w:r>
          </w:p>
        </w:tc>
      </w:tr>
      <w:tr w:rsidR="00E8372D" w:rsidRPr="00953F7D" w14:paraId="49D04CCD" w14:textId="77777777" w:rsidTr="004A5161">
        <w:tc>
          <w:tcPr>
            <w:tcW w:w="1030" w:type="dxa"/>
          </w:tcPr>
          <w:p w14:paraId="49D04CCB" w14:textId="77777777" w:rsidR="00E8372D" w:rsidRPr="00953F7D" w:rsidRDefault="00E8372D" w:rsidP="00F216DE">
            <w:r w:rsidRPr="00953F7D">
              <w:t>13</w:t>
            </w:r>
          </w:p>
        </w:tc>
        <w:tc>
          <w:tcPr>
            <w:tcW w:w="7442" w:type="dxa"/>
          </w:tcPr>
          <w:p w14:paraId="49D04CCC" w14:textId="77777777" w:rsidR="00E8372D" w:rsidRPr="00953F7D" w:rsidRDefault="00E8372D" w:rsidP="0056554A">
            <w:pPr>
              <w:ind w:left="0" w:firstLine="0"/>
              <w:jc w:val="both"/>
            </w:pPr>
            <w:r w:rsidRPr="00953F7D">
              <w:t xml:space="preserve">Cash payables and cash receivables of gross SFT assets netted </w:t>
            </w:r>
            <w:r w:rsidR="0056554A" w:rsidRPr="00953F7D">
              <w:t>in accordance with</w:t>
            </w:r>
            <w:r w:rsidR="00CE2CB7" w:rsidRPr="00953F7D">
              <w:t xml:space="preserve"> </w:t>
            </w:r>
            <w:r w:rsidR="005A1471" w:rsidRPr="00953F7D">
              <w:t>paragraph 2</w:t>
            </w:r>
            <w:r w:rsidR="0037516C" w:rsidRPr="00953F7D">
              <w:t>2</w:t>
            </w:r>
            <w:r w:rsidR="00E84C71" w:rsidRPr="00953F7D">
              <w:t xml:space="preserve">(a) </w:t>
            </w:r>
            <w:r w:rsidR="0056554A" w:rsidRPr="00953F7D">
              <w:t xml:space="preserve">of </w:t>
            </w:r>
            <w:r w:rsidR="00E84C71" w:rsidRPr="00953F7D">
              <w:t xml:space="preserve">Attachment D to </w:t>
            </w:r>
            <w:r w:rsidR="00CE2CB7" w:rsidRPr="00953F7D">
              <w:t>APS 110</w:t>
            </w:r>
            <w:r w:rsidRPr="00953F7D">
              <w:t>, reported as negative amounts.</w:t>
            </w:r>
          </w:p>
        </w:tc>
      </w:tr>
      <w:tr w:rsidR="00E8372D" w:rsidRPr="00953F7D" w14:paraId="49D04CD0" w14:textId="77777777" w:rsidTr="004A5161">
        <w:tc>
          <w:tcPr>
            <w:tcW w:w="1030" w:type="dxa"/>
          </w:tcPr>
          <w:p w14:paraId="49D04CCE" w14:textId="77777777" w:rsidR="00E8372D" w:rsidRPr="00953F7D" w:rsidRDefault="00E8372D" w:rsidP="00F216DE">
            <w:r w:rsidRPr="00953F7D">
              <w:t>14</w:t>
            </w:r>
          </w:p>
        </w:tc>
        <w:tc>
          <w:tcPr>
            <w:tcW w:w="7442" w:type="dxa"/>
          </w:tcPr>
          <w:p w14:paraId="49D04CCF" w14:textId="77777777" w:rsidR="00E8372D" w:rsidRPr="00953F7D" w:rsidRDefault="00E8372D" w:rsidP="0056554A">
            <w:pPr>
              <w:ind w:left="0" w:firstLine="0"/>
              <w:jc w:val="both"/>
            </w:pPr>
            <w:r w:rsidRPr="00953F7D">
              <w:t xml:space="preserve">Measure of </w:t>
            </w:r>
            <w:r w:rsidR="005B41A6" w:rsidRPr="00953F7D">
              <w:t xml:space="preserve">CCR </w:t>
            </w:r>
            <w:r w:rsidRPr="00953F7D">
              <w:t>for SFTs</w:t>
            </w:r>
            <w:r w:rsidR="00CE2CB7" w:rsidRPr="00953F7D">
              <w:t xml:space="preserve"> determined </w:t>
            </w:r>
            <w:r w:rsidR="0056554A" w:rsidRPr="00953F7D">
              <w:t xml:space="preserve">in accordance with </w:t>
            </w:r>
            <w:r w:rsidR="00FA055F" w:rsidRPr="00953F7D">
              <w:t>paragraph 2</w:t>
            </w:r>
            <w:r w:rsidR="0037516C" w:rsidRPr="00953F7D">
              <w:t>2</w:t>
            </w:r>
            <w:r w:rsidR="00FA055F" w:rsidRPr="00953F7D">
              <w:t xml:space="preserve">(b) </w:t>
            </w:r>
            <w:r w:rsidR="0056554A" w:rsidRPr="00953F7D">
              <w:t xml:space="preserve">of </w:t>
            </w:r>
            <w:r w:rsidR="00FA055F" w:rsidRPr="00953F7D">
              <w:t>Attachment D</w:t>
            </w:r>
            <w:r w:rsidR="005A1471" w:rsidRPr="00953F7D">
              <w:t xml:space="preserve"> to</w:t>
            </w:r>
            <w:r w:rsidR="00CE2CB7" w:rsidRPr="00953F7D">
              <w:t xml:space="preserve"> APS 110.</w:t>
            </w:r>
          </w:p>
        </w:tc>
      </w:tr>
      <w:tr w:rsidR="00E8372D" w:rsidRPr="00953F7D" w14:paraId="49D04CD3" w14:textId="77777777" w:rsidTr="004A5161">
        <w:tc>
          <w:tcPr>
            <w:tcW w:w="1030" w:type="dxa"/>
          </w:tcPr>
          <w:p w14:paraId="49D04CD1" w14:textId="77777777" w:rsidR="00E8372D" w:rsidRPr="00953F7D" w:rsidRDefault="00E8372D" w:rsidP="00F216DE">
            <w:r w:rsidRPr="00953F7D">
              <w:t>15</w:t>
            </w:r>
          </w:p>
        </w:tc>
        <w:tc>
          <w:tcPr>
            <w:tcW w:w="7442" w:type="dxa"/>
          </w:tcPr>
          <w:p w14:paraId="49D04CD2" w14:textId="77777777" w:rsidR="00E8372D" w:rsidRPr="00953F7D" w:rsidRDefault="00E8372D" w:rsidP="0056554A">
            <w:pPr>
              <w:ind w:left="0" w:firstLine="0"/>
              <w:jc w:val="both"/>
            </w:pPr>
            <w:r w:rsidRPr="00953F7D">
              <w:t xml:space="preserve">Agent transaction exposure amount </w:t>
            </w:r>
            <w:r w:rsidR="001529E2" w:rsidRPr="00953F7D">
              <w:t xml:space="preserve">determined </w:t>
            </w:r>
            <w:r w:rsidR="0056554A" w:rsidRPr="00953F7D">
              <w:t>in accordance with</w:t>
            </w:r>
            <w:r w:rsidR="0034038D" w:rsidRPr="00953F7D">
              <w:t xml:space="preserve"> paragraphs </w:t>
            </w:r>
            <w:r w:rsidR="00FA055F" w:rsidRPr="00953F7D">
              <w:t>2</w:t>
            </w:r>
            <w:r w:rsidR="0037516C" w:rsidRPr="00953F7D">
              <w:t>6</w:t>
            </w:r>
            <w:r w:rsidR="00FA055F" w:rsidRPr="00953F7D">
              <w:t xml:space="preserve"> to 2</w:t>
            </w:r>
            <w:r w:rsidR="0037516C" w:rsidRPr="00953F7D">
              <w:t>8</w:t>
            </w:r>
            <w:r w:rsidR="00FA055F" w:rsidRPr="00953F7D">
              <w:t xml:space="preserve"> </w:t>
            </w:r>
            <w:r w:rsidR="0056554A" w:rsidRPr="00953F7D">
              <w:t xml:space="preserve">of </w:t>
            </w:r>
            <w:r w:rsidR="00FA055F" w:rsidRPr="00953F7D">
              <w:t>Attachment D to</w:t>
            </w:r>
            <w:r w:rsidR="00CE2CB7" w:rsidRPr="00953F7D">
              <w:t xml:space="preserve"> APS 110.</w:t>
            </w:r>
          </w:p>
        </w:tc>
      </w:tr>
      <w:tr w:rsidR="00E8372D" w:rsidRPr="00953F7D" w14:paraId="49D04CD6" w14:textId="77777777" w:rsidTr="004A5161">
        <w:tc>
          <w:tcPr>
            <w:tcW w:w="1030" w:type="dxa"/>
          </w:tcPr>
          <w:p w14:paraId="49D04CD4" w14:textId="77777777" w:rsidR="00E8372D" w:rsidRPr="00953F7D" w:rsidRDefault="00E8372D" w:rsidP="00F216DE">
            <w:r w:rsidRPr="00953F7D">
              <w:t>16</w:t>
            </w:r>
          </w:p>
        </w:tc>
        <w:tc>
          <w:tcPr>
            <w:tcW w:w="7442" w:type="dxa"/>
          </w:tcPr>
          <w:p w14:paraId="49D04CD5" w14:textId="77777777" w:rsidR="00E8372D" w:rsidRPr="00953F7D" w:rsidRDefault="00E8372D" w:rsidP="007A2E67">
            <w:pPr>
              <w:ind w:left="0" w:firstLine="0"/>
              <w:jc w:val="both"/>
            </w:pPr>
            <w:r w:rsidRPr="00953F7D">
              <w:t xml:space="preserve">Sum of </w:t>
            </w:r>
            <w:r w:rsidR="007405E0" w:rsidRPr="00953F7D">
              <w:t xml:space="preserve">rows </w:t>
            </w:r>
            <w:r w:rsidRPr="00953F7D">
              <w:t>12-15.</w:t>
            </w:r>
          </w:p>
        </w:tc>
      </w:tr>
      <w:tr w:rsidR="00E8372D" w:rsidRPr="00953F7D" w14:paraId="49D04CD9" w14:textId="77777777" w:rsidTr="004A5161">
        <w:tc>
          <w:tcPr>
            <w:tcW w:w="1030" w:type="dxa"/>
          </w:tcPr>
          <w:p w14:paraId="49D04CD7" w14:textId="77777777" w:rsidR="00E8372D" w:rsidRPr="00953F7D" w:rsidRDefault="00E8372D" w:rsidP="00F216DE">
            <w:r w:rsidRPr="00953F7D">
              <w:t>17</w:t>
            </w:r>
          </w:p>
        </w:tc>
        <w:tc>
          <w:tcPr>
            <w:tcW w:w="7442" w:type="dxa"/>
          </w:tcPr>
          <w:p w14:paraId="49D04CD8" w14:textId="77777777" w:rsidR="00E8372D" w:rsidRPr="00953F7D" w:rsidRDefault="00E8372D" w:rsidP="0056554A">
            <w:pPr>
              <w:ind w:left="0" w:firstLine="0"/>
              <w:jc w:val="both"/>
            </w:pPr>
            <w:r w:rsidRPr="00953F7D">
              <w:t xml:space="preserve">Total off-balance sheet exposure amounts on a gross notional basis, before any adjustment for credit conversion factors </w:t>
            </w:r>
            <w:r w:rsidR="0056554A" w:rsidRPr="00953F7D">
              <w:t>in accordance with</w:t>
            </w:r>
            <w:r w:rsidR="00BB0815" w:rsidRPr="00953F7D">
              <w:t xml:space="preserve"> paragraph </w:t>
            </w:r>
            <w:r w:rsidR="00144E4C" w:rsidRPr="00953F7D">
              <w:t>29</w:t>
            </w:r>
            <w:r w:rsidR="00BB0815" w:rsidRPr="00953F7D">
              <w:t xml:space="preserve"> </w:t>
            </w:r>
            <w:r w:rsidR="0056554A" w:rsidRPr="00953F7D">
              <w:t xml:space="preserve">of </w:t>
            </w:r>
            <w:r w:rsidR="00BB0815" w:rsidRPr="00953F7D">
              <w:t>Attachment D to</w:t>
            </w:r>
            <w:r w:rsidR="00CE2CB7" w:rsidRPr="00953F7D">
              <w:t xml:space="preserve"> APS 110</w:t>
            </w:r>
            <w:r w:rsidRPr="00953F7D">
              <w:t>.</w:t>
            </w:r>
          </w:p>
        </w:tc>
      </w:tr>
      <w:tr w:rsidR="00E8372D" w:rsidRPr="00953F7D" w14:paraId="49D04CDC" w14:textId="77777777" w:rsidTr="004A5161">
        <w:tc>
          <w:tcPr>
            <w:tcW w:w="1030" w:type="dxa"/>
          </w:tcPr>
          <w:p w14:paraId="49D04CDA" w14:textId="77777777" w:rsidR="00E8372D" w:rsidRPr="00953F7D" w:rsidRDefault="00E8372D" w:rsidP="00F216DE">
            <w:r w:rsidRPr="00953F7D">
              <w:t>18</w:t>
            </w:r>
          </w:p>
        </w:tc>
        <w:tc>
          <w:tcPr>
            <w:tcW w:w="7442" w:type="dxa"/>
          </w:tcPr>
          <w:p w14:paraId="49D04CDB" w14:textId="77777777" w:rsidR="00E8372D" w:rsidRPr="00953F7D" w:rsidRDefault="00E8372D" w:rsidP="0056554A">
            <w:pPr>
              <w:ind w:left="0" w:firstLine="0"/>
              <w:jc w:val="both"/>
            </w:pPr>
            <w:r w:rsidRPr="00953F7D">
              <w:t>Reduction in gross amount of off-balance sheet exposures due to the application of credit conversion factors in</w:t>
            </w:r>
            <w:r w:rsidR="00CE2CB7" w:rsidRPr="00953F7D">
              <w:t xml:space="preserve"> </w:t>
            </w:r>
            <w:r w:rsidR="00BB0815" w:rsidRPr="00953F7D">
              <w:t xml:space="preserve">paragraph </w:t>
            </w:r>
            <w:r w:rsidR="0037516C" w:rsidRPr="00953F7D">
              <w:t>29</w:t>
            </w:r>
            <w:r w:rsidR="00BB0815" w:rsidRPr="00953F7D">
              <w:t xml:space="preserve"> </w:t>
            </w:r>
            <w:r w:rsidR="0056554A" w:rsidRPr="00953F7D">
              <w:t xml:space="preserve">of </w:t>
            </w:r>
            <w:r w:rsidR="00BB0815" w:rsidRPr="00953F7D">
              <w:t xml:space="preserve">Attachment D to </w:t>
            </w:r>
            <w:r w:rsidR="00CE2CB7" w:rsidRPr="00953F7D">
              <w:t>APS 110</w:t>
            </w:r>
            <w:r w:rsidRPr="00953F7D">
              <w:t>.</w:t>
            </w:r>
          </w:p>
        </w:tc>
      </w:tr>
      <w:tr w:rsidR="00E8372D" w:rsidRPr="00953F7D" w14:paraId="49D04CDF" w14:textId="77777777" w:rsidTr="004A5161">
        <w:tc>
          <w:tcPr>
            <w:tcW w:w="1030" w:type="dxa"/>
          </w:tcPr>
          <w:p w14:paraId="49D04CDD" w14:textId="77777777" w:rsidR="00E8372D" w:rsidRPr="00953F7D" w:rsidRDefault="00E8372D" w:rsidP="00F216DE">
            <w:r w:rsidRPr="00953F7D">
              <w:t>19</w:t>
            </w:r>
          </w:p>
        </w:tc>
        <w:tc>
          <w:tcPr>
            <w:tcW w:w="7442" w:type="dxa"/>
          </w:tcPr>
          <w:p w14:paraId="49D04CDE" w14:textId="77777777" w:rsidR="00E8372D" w:rsidRPr="00953F7D" w:rsidRDefault="00E8372D" w:rsidP="007A2E67">
            <w:pPr>
              <w:ind w:left="0" w:firstLine="0"/>
              <w:jc w:val="both"/>
            </w:pPr>
            <w:r w:rsidRPr="00953F7D">
              <w:t xml:space="preserve">Sum of </w:t>
            </w:r>
            <w:r w:rsidR="007405E0" w:rsidRPr="00953F7D">
              <w:t xml:space="preserve">rows </w:t>
            </w:r>
            <w:r w:rsidRPr="00953F7D">
              <w:t>17 and 18.</w:t>
            </w:r>
          </w:p>
        </w:tc>
      </w:tr>
      <w:tr w:rsidR="00E8372D" w:rsidRPr="00953F7D" w14:paraId="49D04CE2" w14:textId="77777777" w:rsidTr="004A5161">
        <w:tc>
          <w:tcPr>
            <w:tcW w:w="1030" w:type="dxa"/>
          </w:tcPr>
          <w:p w14:paraId="49D04CE0" w14:textId="77777777" w:rsidR="00E8372D" w:rsidRPr="00953F7D" w:rsidRDefault="00E8372D" w:rsidP="00F216DE">
            <w:r w:rsidRPr="00953F7D">
              <w:t>20</w:t>
            </w:r>
          </w:p>
        </w:tc>
        <w:tc>
          <w:tcPr>
            <w:tcW w:w="7442" w:type="dxa"/>
          </w:tcPr>
          <w:p w14:paraId="49D04CE1" w14:textId="77777777" w:rsidR="00E8372D" w:rsidRPr="00953F7D" w:rsidRDefault="00E8372D" w:rsidP="0048115B">
            <w:pPr>
              <w:ind w:left="0" w:firstLine="0"/>
              <w:jc w:val="both"/>
            </w:pPr>
            <w:r w:rsidRPr="00953F7D">
              <w:t xml:space="preserve">Tier 1 </w:t>
            </w:r>
            <w:r w:rsidR="00497FF0" w:rsidRPr="00953F7D">
              <w:t>C</w:t>
            </w:r>
            <w:r w:rsidRPr="00953F7D">
              <w:t xml:space="preserve">apital </w:t>
            </w:r>
            <w:r w:rsidR="0048115B" w:rsidRPr="00953F7D">
              <w:t>in accordance with</w:t>
            </w:r>
            <w:r w:rsidR="00E65642" w:rsidRPr="00953F7D">
              <w:t xml:space="preserve"> </w:t>
            </w:r>
            <w:r w:rsidR="00BB0815" w:rsidRPr="00953F7D">
              <w:t>APS 111</w:t>
            </w:r>
            <w:r w:rsidR="0048115B" w:rsidRPr="00953F7D">
              <w:t>.</w:t>
            </w:r>
          </w:p>
        </w:tc>
      </w:tr>
      <w:tr w:rsidR="00E8372D" w:rsidRPr="00953F7D" w14:paraId="49D04CE5" w14:textId="77777777" w:rsidTr="004A5161">
        <w:tc>
          <w:tcPr>
            <w:tcW w:w="1030" w:type="dxa"/>
          </w:tcPr>
          <w:p w14:paraId="49D04CE3" w14:textId="77777777" w:rsidR="00E8372D" w:rsidRPr="00953F7D" w:rsidRDefault="00E8372D" w:rsidP="00F216DE">
            <w:r w:rsidRPr="00953F7D">
              <w:t>21</w:t>
            </w:r>
          </w:p>
        </w:tc>
        <w:tc>
          <w:tcPr>
            <w:tcW w:w="7442" w:type="dxa"/>
          </w:tcPr>
          <w:p w14:paraId="49D04CE4" w14:textId="77777777" w:rsidR="00E8372D" w:rsidRPr="00953F7D" w:rsidRDefault="00E8372D" w:rsidP="007A2E67">
            <w:pPr>
              <w:ind w:left="0" w:firstLine="0"/>
              <w:jc w:val="both"/>
            </w:pPr>
            <w:r w:rsidRPr="00953F7D">
              <w:t xml:space="preserve">Sum of </w:t>
            </w:r>
            <w:r w:rsidR="007405E0" w:rsidRPr="00953F7D">
              <w:t xml:space="preserve">rows </w:t>
            </w:r>
            <w:r w:rsidRPr="00953F7D">
              <w:t>3, 11, 16 and 19.</w:t>
            </w:r>
          </w:p>
        </w:tc>
      </w:tr>
      <w:tr w:rsidR="00E8372D" w:rsidRPr="00953F7D" w14:paraId="49D04CE8" w14:textId="77777777" w:rsidTr="004A5161">
        <w:tc>
          <w:tcPr>
            <w:tcW w:w="1030" w:type="dxa"/>
          </w:tcPr>
          <w:p w14:paraId="49D04CE6" w14:textId="77777777" w:rsidR="00E8372D" w:rsidRPr="00953F7D" w:rsidRDefault="00E8372D" w:rsidP="00F216DE">
            <w:r w:rsidRPr="00953F7D">
              <w:t>22</w:t>
            </w:r>
          </w:p>
        </w:tc>
        <w:tc>
          <w:tcPr>
            <w:tcW w:w="7442" w:type="dxa"/>
          </w:tcPr>
          <w:p w14:paraId="49D04CE7" w14:textId="77777777" w:rsidR="00E8372D" w:rsidRPr="00953F7D" w:rsidRDefault="00E65642" w:rsidP="0056554A">
            <w:pPr>
              <w:ind w:left="0" w:firstLine="0"/>
              <w:jc w:val="both"/>
            </w:pPr>
            <w:r w:rsidRPr="00953F7D">
              <w:t>L</w:t>
            </w:r>
            <w:r w:rsidR="00E8372D" w:rsidRPr="00953F7D">
              <w:t xml:space="preserve">everage ratio </w:t>
            </w:r>
            <w:r w:rsidR="0056554A" w:rsidRPr="00953F7D">
              <w:t>in accordance with</w:t>
            </w:r>
            <w:r w:rsidR="00BB0815" w:rsidRPr="00953F7D">
              <w:t xml:space="preserve"> paragraph 1 </w:t>
            </w:r>
            <w:r w:rsidR="0056554A" w:rsidRPr="00953F7D">
              <w:t xml:space="preserve">of </w:t>
            </w:r>
            <w:r w:rsidR="00BB0815" w:rsidRPr="00953F7D">
              <w:t>Attachment D to</w:t>
            </w:r>
            <w:r w:rsidRPr="00953F7D">
              <w:t xml:space="preserve"> APS 110</w:t>
            </w:r>
            <w:r w:rsidR="00E8372D" w:rsidRPr="00953F7D">
              <w:t>.</w:t>
            </w:r>
          </w:p>
        </w:tc>
      </w:tr>
    </w:tbl>
    <w:p w14:paraId="49D04CE9" w14:textId="77777777" w:rsidR="00036A65" w:rsidRPr="00953F7D" w:rsidRDefault="00036A65" w:rsidP="009C3F64">
      <w:pPr>
        <w:ind w:left="0" w:firstLine="0"/>
      </w:pPr>
    </w:p>
    <w:p w14:paraId="49D04CEA" w14:textId="77777777" w:rsidR="00F42A24" w:rsidRPr="00953F7D" w:rsidRDefault="00F42A24" w:rsidP="00FE34A9">
      <w:pPr>
        <w:ind w:left="0" w:firstLine="0"/>
        <w:rPr>
          <w:b/>
        </w:rPr>
      </w:pPr>
      <w:r w:rsidRPr="00953F7D">
        <w:rPr>
          <w:b/>
        </w:rPr>
        <w:t>Summary comparison of accounting assets v</w:t>
      </w:r>
      <w:r w:rsidR="00153921" w:rsidRPr="00953F7D">
        <w:rPr>
          <w:b/>
        </w:rPr>
        <w:t>ersu</w:t>
      </w:r>
      <w:r w:rsidRPr="00953F7D">
        <w:rPr>
          <w:b/>
        </w:rPr>
        <w:t>s leverage ratio exposure measure</w:t>
      </w:r>
    </w:p>
    <w:p w14:paraId="49D04CEB" w14:textId="77777777" w:rsidR="00F42A24" w:rsidRPr="00953F7D" w:rsidRDefault="00F42A24" w:rsidP="001A6AB1">
      <w:pPr>
        <w:pStyle w:val="ListParagraph"/>
        <w:ind w:left="360"/>
      </w:pPr>
    </w:p>
    <w:p w14:paraId="49D04CEC" w14:textId="77777777" w:rsidR="00831661" w:rsidRPr="00953F7D" w:rsidRDefault="00F42A24" w:rsidP="00E9482F">
      <w:pPr>
        <w:pStyle w:val="BodyText"/>
      </w:pPr>
      <w:r w:rsidRPr="00953F7D">
        <w:t xml:space="preserve">An </w:t>
      </w:r>
      <w:r w:rsidR="00F55FA4" w:rsidRPr="00953F7D">
        <w:t xml:space="preserve">IRB </w:t>
      </w:r>
      <w:r w:rsidRPr="00953F7D">
        <w:t xml:space="preserve">ADI must complete and disclose </w:t>
      </w:r>
      <w:r w:rsidR="00831661" w:rsidRPr="00953F7D">
        <w:t xml:space="preserve">Table </w:t>
      </w:r>
      <w:r w:rsidR="0024463D" w:rsidRPr="00953F7D">
        <w:t>19</w:t>
      </w:r>
      <w:r w:rsidR="00831661" w:rsidRPr="00953F7D">
        <w:t xml:space="preserve"> to the extent applicable. </w:t>
      </w:r>
    </w:p>
    <w:p w14:paraId="49D04CED" w14:textId="77777777" w:rsidR="001A6AB1" w:rsidRPr="00953F7D" w:rsidRDefault="001A6AB1" w:rsidP="00FE34A9">
      <w:pPr>
        <w:pStyle w:val="ListParagraph"/>
        <w:ind w:left="567" w:firstLine="0"/>
      </w:pPr>
      <w:r w:rsidRPr="00953F7D">
        <w:t xml:space="preserve">Table </w:t>
      </w:r>
      <w:r w:rsidR="0024463D" w:rsidRPr="00953F7D">
        <w:t>19</w:t>
      </w:r>
      <w:r w:rsidRPr="00953F7D">
        <w:t>: Summary comparison of accounting assets vs leverage ratio exposure measure</w:t>
      </w:r>
    </w:p>
    <w:p w14:paraId="49D04CEE" w14:textId="77777777" w:rsidR="001A6AB1" w:rsidRPr="00953F7D" w:rsidRDefault="001A6AB1" w:rsidP="001A6AB1">
      <w:pPr>
        <w:pStyle w:val="ListParagraph"/>
        <w:ind w:left="360"/>
        <w:rPr>
          <w:b/>
        </w:rPr>
      </w:pPr>
    </w:p>
    <w:tbl>
      <w:tblPr>
        <w:tblStyle w:val="TableGrid"/>
        <w:tblW w:w="0" w:type="auto"/>
        <w:tblLook w:val="04A0" w:firstRow="1" w:lastRow="0" w:firstColumn="1" w:lastColumn="0" w:noHBand="0" w:noVBand="1"/>
      </w:tblPr>
      <w:tblGrid>
        <w:gridCol w:w="463"/>
        <w:gridCol w:w="5826"/>
        <w:gridCol w:w="2013"/>
      </w:tblGrid>
      <w:tr w:rsidR="001A6AB1" w:rsidRPr="00953F7D" w14:paraId="49D04CF2" w14:textId="77777777" w:rsidTr="004A5161">
        <w:tc>
          <w:tcPr>
            <w:tcW w:w="467" w:type="dxa"/>
          </w:tcPr>
          <w:p w14:paraId="49D04CEF" w14:textId="77777777" w:rsidR="001A6AB1" w:rsidRPr="00953F7D" w:rsidRDefault="001A6AB1" w:rsidP="00E969FA">
            <w:pPr>
              <w:jc w:val="center"/>
              <w:rPr>
                <w:b/>
              </w:rPr>
            </w:pPr>
          </w:p>
        </w:tc>
        <w:tc>
          <w:tcPr>
            <w:tcW w:w="5953" w:type="dxa"/>
          </w:tcPr>
          <w:p w14:paraId="49D04CF0" w14:textId="77777777" w:rsidR="001A6AB1" w:rsidRPr="00953F7D" w:rsidRDefault="001A6AB1" w:rsidP="00E969FA">
            <w:pPr>
              <w:jc w:val="center"/>
              <w:rPr>
                <w:b/>
              </w:rPr>
            </w:pPr>
            <w:r w:rsidRPr="00953F7D">
              <w:rPr>
                <w:b/>
              </w:rPr>
              <w:t>Item</w:t>
            </w:r>
          </w:p>
        </w:tc>
        <w:tc>
          <w:tcPr>
            <w:tcW w:w="2052" w:type="dxa"/>
          </w:tcPr>
          <w:p w14:paraId="49D04CF1" w14:textId="77777777" w:rsidR="001A6AB1" w:rsidRPr="00953F7D" w:rsidRDefault="001A6AB1" w:rsidP="00E969FA">
            <w:pPr>
              <w:jc w:val="center"/>
              <w:rPr>
                <w:b/>
              </w:rPr>
            </w:pPr>
            <w:r w:rsidRPr="00953F7D">
              <w:rPr>
                <w:b/>
              </w:rPr>
              <w:t>A$m</w:t>
            </w:r>
          </w:p>
        </w:tc>
      </w:tr>
      <w:tr w:rsidR="001A6AB1" w:rsidRPr="00953F7D" w14:paraId="49D04CF6" w14:textId="77777777" w:rsidTr="004A5161">
        <w:tc>
          <w:tcPr>
            <w:tcW w:w="467" w:type="dxa"/>
          </w:tcPr>
          <w:p w14:paraId="49D04CF3" w14:textId="77777777" w:rsidR="001A6AB1" w:rsidRPr="00953F7D" w:rsidRDefault="001A6AB1" w:rsidP="00E969FA">
            <w:r w:rsidRPr="00953F7D">
              <w:t>1</w:t>
            </w:r>
          </w:p>
        </w:tc>
        <w:tc>
          <w:tcPr>
            <w:tcW w:w="5953" w:type="dxa"/>
          </w:tcPr>
          <w:p w14:paraId="49D04CF4" w14:textId="77777777" w:rsidR="001A6AB1" w:rsidRPr="00953F7D" w:rsidRDefault="001A6AB1" w:rsidP="00D42FCE">
            <w:pPr>
              <w:ind w:left="0" w:firstLine="0"/>
              <w:jc w:val="both"/>
            </w:pPr>
            <w:r w:rsidRPr="00953F7D">
              <w:t>Total consolidated assets as per published financial statements</w:t>
            </w:r>
            <w:r w:rsidR="0048115B" w:rsidRPr="00953F7D">
              <w:t>.</w:t>
            </w:r>
          </w:p>
        </w:tc>
        <w:tc>
          <w:tcPr>
            <w:tcW w:w="2052" w:type="dxa"/>
          </w:tcPr>
          <w:p w14:paraId="49D04CF5" w14:textId="77777777" w:rsidR="001A6AB1" w:rsidRPr="00953F7D" w:rsidRDefault="001A6AB1" w:rsidP="00E969FA"/>
        </w:tc>
      </w:tr>
      <w:tr w:rsidR="001A6AB1" w:rsidRPr="00953F7D" w14:paraId="49D04CFA" w14:textId="77777777" w:rsidTr="004A5161">
        <w:tc>
          <w:tcPr>
            <w:tcW w:w="467" w:type="dxa"/>
          </w:tcPr>
          <w:p w14:paraId="49D04CF7" w14:textId="77777777" w:rsidR="001A6AB1" w:rsidRPr="00953F7D" w:rsidRDefault="001A6AB1" w:rsidP="00E969FA">
            <w:r w:rsidRPr="00953F7D">
              <w:t>2</w:t>
            </w:r>
          </w:p>
        </w:tc>
        <w:tc>
          <w:tcPr>
            <w:tcW w:w="5953" w:type="dxa"/>
          </w:tcPr>
          <w:p w14:paraId="49D04CF8" w14:textId="77777777" w:rsidR="001A6AB1" w:rsidRPr="00953F7D" w:rsidRDefault="001A6AB1" w:rsidP="00D42FCE">
            <w:pPr>
              <w:ind w:left="0" w:firstLine="0"/>
              <w:jc w:val="both"/>
            </w:pPr>
            <w:r w:rsidRPr="00953F7D">
              <w:t>Adjustment for investments in banking, financial, insurance or commercial entities that are consolidated for accounting purposes but outside the scope of regulatory consolidation</w:t>
            </w:r>
            <w:r w:rsidR="0048115B" w:rsidRPr="00953F7D">
              <w:t>.</w:t>
            </w:r>
          </w:p>
        </w:tc>
        <w:tc>
          <w:tcPr>
            <w:tcW w:w="2052" w:type="dxa"/>
          </w:tcPr>
          <w:p w14:paraId="49D04CF9" w14:textId="77777777" w:rsidR="001A6AB1" w:rsidRPr="00953F7D" w:rsidRDefault="001A6AB1" w:rsidP="00E969FA"/>
        </w:tc>
      </w:tr>
      <w:tr w:rsidR="001A6AB1" w:rsidRPr="00953F7D" w14:paraId="49D04CFE" w14:textId="77777777" w:rsidTr="004A5161">
        <w:tc>
          <w:tcPr>
            <w:tcW w:w="467" w:type="dxa"/>
          </w:tcPr>
          <w:p w14:paraId="49D04CFB" w14:textId="77777777" w:rsidR="001A6AB1" w:rsidRPr="00953F7D" w:rsidRDefault="001A6AB1" w:rsidP="00E969FA">
            <w:r w:rsidRPr="00953F7D">
              <w:t>3</w:t>
            </w:r>
          </w:p>
        </w:tc>
        <w:tc>
          <w:tcPr>
            <w:tcW w:w="5953" w:type="dxa"/>
          </w:tcPr>
          <w:p w14:paraId="49D04CFC" w14:textId="77777777" w:rsidR="001A6AB1" w:rsidRPr="00953F7D" w:rsidRDefault="001A6AB1" w:rsidP="00D42FCE">
            <w:pPr>
              <w:ind w:left="0" w:firstLine="0"/>
              <w:jc w:val="both"/>
            </w:pPr>
            <w:r w:rsidRPr="00953F7D">
              <w:t xml:space="preserve">Adjustment for assets </w:t>
            </w:r>
            <w:r w:rsidR="000F3311" w:rsidRPr="00953F7D">
              <w:t xml:space="preserve">held </w:t>
            </w:r>
            <w:r w:rsidRPr="00953F7D">
              <w:t>on the balance sheet</w:t>
            </w:r>
            <w:r w:rsidR="000F3311" w:rsidRPr="00953F7D">
              <w:t xml:space="preserve"> in a fiduciary capacity</w:t>
            </w:r>
            <w:r w:rsidRPr="00953F7D">
              <w:t xml:space="preserve"> pursuant to the </w:t>
            </w:r>
            <w:r w:rsidR="00497FF0" w:rsidRPr="00953F7D">
              <w:t xml:space="preserve">Australian Accounting Standards </w:t>
            </w:r>
            <w:r w:rsidRPr="00953F7D">
              <w:t>but excluded from the leverage ratio exposure measure</w:t>
            </w:r>
            <w:r w:rsidR="00BF72CB" w:rsidRPr="00953F7D">
              <w:rPr>
                <w:rStyle w:val="FootnoteReference"/>
              </w:rPr>
              <w:footnoteReference w:id="58"/>
            </w:r>
            <w:r w:rsidR="0048115B" w:rsidRPr="00953F7D">
              <w:t>.</w:t>
            </w:r>
          </w:p>
        </w:tc>
        <w:tc>
          <w:tcPr>
            <w:tcW w:w="2052" w:type="dxa"/>
          </w:tcPr>
          <w:p w14:paraId="49D04CFD" w14:textId="77777777" w:rsidR="001A6AB1" w:rsidRPr="00953F7D" w:rsidRDefault="001A6AB1" w:rsidP="00E969FA"/>
        </w:tc>
      </w:tr>
      <w:tr w:rsidR="001A6AB1" w:rsidRPr="00953F7D" w14:paraId="49D04D02" w14:textId="77777777" w:rsidTr="004A5161">
        <w:tc>
          <w:tcPr>
            <w:tcW w:w="467" w:type="dxa"/>
          </w:tcPr>
          <w:p w14:paraId="49D04CFF" w14:textId="77777777" w:rsidR="001A6AB1" w:rsidRPr="00953F7D" w:rsidRDefault="001A6AB1" w:rsidP="00E969FA">
            <w:r w:rsidRPr="00953F7D">
              <w:t>4</w:t>
            </w:r>
          </w:p>
        </w:tc>
        <w:tc>
          <w:tcPr>
            <w:tcW w:w="5953" w:type="dxa"/>
          </w:tcPr>
          <w:p w14:paraId="49D04D00" w14:textId="77777777" w:rsidR="001A6AB1" w:rsidRPr="00953F7D" w:rsidRDefault="001A6AB1" w:rsidP="00D42FCE">
            <w:pPr>
              <w:ind w:left="0" w:firstLine="0"/>
              <w:jc w:val="both"/>
            </w:pPr>
            <w:r w:rsidRPr="00953F7D">
              <w:t>Adjustments for derivative financial instruments</w:t>
            </w:r>
            <w:r w:rsidR="0048115B" w:rsidRPr="00953F7D">
              <w:t>.</w:t>
            </w:r>
          </w:p>
        </w:tc>
        <w:tc>
          <w:tcPr>
            <w:tcW w:w="2052" w:type="dxa"/>
          </w:tcPr>
          <w:p w14:paraId="49D04D01" w14:textId="77777777" w:rsidR="001A6AB1" w:rsidRPr="00953F7D" w:rsidRDefault="001A6AB1" w:rsidP="00E969FA"/>
        </w:tc>
      </w:tr>
      <w:tr w:rsidR="001A6AB1" w:rsidRPr="00953F7D" w14:paraId="49D04D06" w14:textId="77777777" w:rsidTr="004A5161">
        <w:tc>
          <w:tcPr>
            <w:tcW w:w="467" w:type="dxa"/>
          </w:tcPr>
          <w:p w14:paraId="49D04D03" w14:textId="77777777" w:rsidR="001A6AB1" w:rsidRPr="00953F7D" w:rsidRDefault="001A6AB1" w:rsidP="00E969FA">
            <w:r w:rsidRPr="00953F7D">
              <w:t>5</w:t>
            </w:r>
          </w:p>
        </w:tc>
        <w:tc>
          <w:tcPr>
            <w:tcW w:w="5953" w:type="dxa"/>
          </w:tcPr>
          <w:p w14:paraId="49D04D04" w14:textId="77777777" w:rsidR="001A6AB1" w:rsidRPr="00953F7D" w:rsidRDefault="001A6AB1" w:rsidP="00D42FCE">
            <w:pPr>
              <w:ind w:left="0" w:firstLine="0"/>
              <w:jc w:val="both"/>
            </w:pPr>
            <w:r w:rsidRPr="00953F7D">
              <w:t xml:space="preserve">Adjustment for </w:t>
            </w:r>
            <w:r w:rsidR="000F3311" w:rsidRPr="00953F7D">
              <w:t xml:space="preserve">SFTs </w:t>
            </w:r>
            <w:r w:rsidRPr="00953F7D">
              <w:t>(i</w:t>
            </w:r>
            <w:r w:rsidR="00497FF0" w:rsidRPr="00953F7D">
              <w:t>.</w:t>
            </w:r>
            <w:r w:rsidRPr="00953F7D">
              <w:t>e</w:t>
            </w:r>
            <w:r w:rsidR="00497FF0" w:rsidRPr="00953F7D">
              <w:t>.</w:t>
            </w:r>
            <w:r w:rsidRPr="00953F7D">
              <w:t xml:space="preserve"> repos and similar secured lending)</w:t>
            </w:r>
            <w:r w:rsidR="0048115B" w:rsidRPr="00953F7D">
              <w:t>.</w:t>
            </w:r>
          </w:p>
        </w:tc>
        <w:tc>
          <w:tcPr>
            <w:tcW w:w="2052" w:type="dxa"/>
          </w:tcPr>
          <w:p w14:paraId="49D04D05" w14:textId="77777777" w:rsidR="001A6AB1" w:rsidRPr="00953F7D" w:rsidRDefault="001A6AB1" w:rsidP="00E969FA"/>
        </w:tc>
      </w:tr>
      <w:tr w:rsidR="001A6AB1" w:rsidRPr="00953F7D" w14:paraId="49D04D0A" w14:textId="77777777" w:rsidTr="004A5161">
        <w:tc>
          <w:tcPr>
            <w:tcW w:w="467" w:type="dxa"/>
          </w:tcPr>
          <w:p w14:paraId="49D04D07" w14:textId="77777777" w:rsidR="001A6AB1" w:rsidRPr="00953F7D" w:rsidRDefault="001A6AB1" w:rsidP="00E969FA">
            <w:r w:rsidRPr="00953F7D">
              <w:t>6</w:t>
            </w:r>
          </w:p>
        </w:tc>
        <w:tc>
          <w:tcPr>
            <w:tcW w:w="5953" w:type="dxa"/>
          </w:tcPr>
          <w:p w14:paraId="49D04D08" w14:textId="77777777" w:rsidR="001A6AB1" w:rsidRPr="00953F7D" w:rsidRDefault="001A6AB1" w:rsidP="00D42FCE">
            <w:pPr>
              <w:ind w:left="0" w:firstLine="0"/>
              <w:jc w:val="both"/>
            </w:pPr>
            <w:r w:rsidRPr="00953F7D">
              <w:t xml:space="preserve">Adjustment for off-balance sheet </w:t>
            </w:r>
            <w:r w:rsidR="000F3311" w:rsidRPr="00953F7D">
              <w:t>exposure</w:t>
            </w:r>
            <w:r w:rsidRPr="00953F7D">
              <w:t>s (i</w:t>
            </w:r>
            <w:r w:rsidR="00497FF0" w:rsidRPr="00953F7D">
              <w:t>.</w:t>
            </w:r>
            <w:r w:rsidRPr="00953F7D">
              <w:t>e</w:t>
            </w:r>
            <w:r w:rsidR="00497FF0" w:rsidRPr="00953F7D">
              <w:t>.</w:t>
            </w:r>
            <w:r w:rsidRPr="00953F7D">
              <w:t xml:space="preserve"> conversion to credit equivalent amounts of off-balance sheet exposures)</w:t>
            </w:r>
            <w:r w:rsidR="005B66F9" w:rsidRPr="00953F7D">
              <w:rPr>
                <w:rStyle w:val="FootnoteReference"/>
              </w:rPr>
              <w:footnoteReference w:id="59"/>
            </w:r>
            <w:r w:rsidR="0048115B" w:rsidRPr="00953F7D">
              <w:t>.</w:t>
            </w:r>
          </w:p>
        </w:tc>
        <w:tc>
          <w:tcPr>
            <w:tcW w:w="2052" w:type="dxa"/>
          </w:tcPr>
          <w:p w14:paraId="49D04D09" w14:textId="77777777" w:rsidR="001A6AB1" w:rsidRPr="00953F7D" w:rsidRDefault="001A6AB1" w:rsidP="00E969FA"/>
        </w:tc>
      </w:tr>
      <w:tr w:rsidR="001A6AB1" w:rsidRPr="00953F7D" w14:paraId="49D04D0E" w14:textId="77777777" w:rsidTr="004A5161">
        <w:tc>
          <w:tcPr>
            <w:tcW w:w="467" w:type="dxa"/>
          </w:tcPr>
          <w:p w14:paraId="49D04D0B" w14:textId="77777777" w:rsidR="001A6AB1" w:rsidRPr="00953F7D" w:rsidRDefault="001A6AB1" w:rsidP="00E969FA">
            <w:r w:rsidRPr="00953F7D">
              <w:t>7</w:t>
            </w:r>
          </w:p>
        </w:tc>
        <w:tc>
          <w:tcPr>
            <w:tcW w:w="5953" w:type="dxa"/>
          </w:tcPr>
          <w:p w14:paraId="49D04D0C" w14:textId="77777777" w:rsidR="001A6AB1" w:rsidRPr="00953F7D" w:rsidRDefault="001A6AB1" w:rsidP="00D42FCE">
            <w:pPr>
              <w:ind w:left="0" w:firstLine="0"/>
              <w:jc w:val="both"/>
            </w:pPr>
            <w:r w:rsidRPr="00953F7D">
              <w:t>Other adjustments</w:t>
            </w:r>
          </w:p>
        </w:tc>
        <w:tc>
          <w:tcPr>
            <w:tcW w:w="2052" w:type="dxa"/>
          </w:tcPr>
          <w:p w14:paraId="49D04D0D" w14:textId="77777777" w:rsidR="001A6AB1" w:rsidRPr="00953F7D" w:rsidRDefault="001A6AB1" w:rsidP="00E969FA"/>
        </w:tc>
      </w:tr>
      <w:tr w:rsidR="001A6AB1" w:rsidRPr="00953F7D" w14:paraId="49D04D12" w14:textId="77777777" w:rsidTr="004A5161">
        <w:tc>
          <w:tcPr>
            <w:tcW w:w="467" w:type="dxa"/>
            <w:shd w:val="clear" w:color="auto" w:fill="D9D9D9" w:themeFill="background1" w:themeFillShade="D9"/>
          </w:tcPr>
          <w:p w14:paraId="49D04D0F" w14:textId="77777777" w:rsidR="001A6AB1" w:rsidRPr="00953F7D" w:rsidRDefault="001A6AB1" w:rsidP="00E969FA">
            <w:r w:rsidRPr="00953F7D">
              <w:t>8</w:t>
            </w:r>
          </w:p>
        </w:tc>
        <w:tc>
          <w:tcPr>
            <w:tcW w:w="5953" w:type="dxa"/>
            <w:shd w:val="clear" w:color="auto" w:fill="D9D9D9" w:themeFill="background1" w:themeFillShade="D9"/>
          </w:tcPr>
          <w:p w14:paraId="49D04D10" w14:textId="77777777" w:rsidR="001A6AB1" w:rsidRPr="00953F7D" w:rsidRDefault="001A6AB1" w:rsidP="00D42FCE">
            <w:pPr>
              <w:ind w:left="0" w:firstLine="0"/>
              <w:jc w:val="both"/>
              <w:rPr>
                <w:b/>
              </w:rPr>
            </w:pPr>
            <w:r w:rsidRPr="00953F7D">
              <w:rPr>
                <w:b/>
              </w:rPr>
              <w:t>Leverage ratio exposure</w:t>
            </w:r>
            <w:r w:rsidR="002E6230" w:rsidRPr="00953F7D">
              <w:rPr>
                <w:rStyle w:val="FootnoteReference"/>
                <w:b/>
              </w:rPr>
              <w:footnoteReference w:id="60"/>
            </w:r>
          </w:p>
        </w:tc>
        <w:tc>
          <w:tcPr>
            <w:tcW w:w="2052" w:type="dxa"/>
            <w:shd w:val="clear" w:color="auto" w:fill="D9D9D9" w:themeFill="background1" w:themeFillShade="D9"/>
          </w:tcPr>
          <w:p w14:paraId="49D04D11" w14:textId="77777777" w:rsidR="001A6AB1" w:rsidRPr="00953F7D" w:rsidRDefault="001A6AB1" w:rsidP="00E969FA"/>
        </w:tc>
      </w:tr>
    </w:tbl>
    <w:p w14:paraId="49D04D13" w14:textId="77777777" w:rsidR="0048115B" w:rsidRPr="00953F7D" w:rsidRDefault="0048115B" w:rsidP="009C3F64">
      <w:pPr>
        <w:pStyle w:val="BodyText"/>
        <w:numPr>
          <w:ilvl w:val="0"/>
          <w:numId w:val="0"/>
        </w:numPr>
        <w:spacing w:after="0"/>
        <w:ind w:left="567"/>
      </w:pPr>
    </w:p>
    <w:p w14:paraId="49D04D14" w14:textId="77777777" w:rsidR="00911BA7" w:rsidRPr="00953F7D" w:rsidRDefault="00911BA7" w:rsidP="00E9482F">
      <w:pPr>
        <w:pStyle w:val="BodyText"/>
      </w:pPr>
      <w:r w:rsidRPr="00953F7D">
        <w:t xml:space="preserve">An </w:t>
      </w:r>
      <w:r w:rsidR="00F55FA4" w:rsidRPr="00953F7D">
        <w:t xml:space="preserve">IRB </w:t>
      </w:r>
      <w:r w:rsidRPr="00953F7D">
        <w:t xml:space="preserve">ADI must complete and disclose Table 19 to the extent applicable. An ADI must disclose and detail the source(s) of material differences between its total balance sheet assets (net of on-balance sheet derivative and securities financing transaction assets) as reported in its audited financial statements and its on-balance sheet exposures in </w:t>
      </w:r>
      <w:r w:rsidR="008B695F" w:rsidRPr="00953F7D">
        <w:t>row</w:t>
      </w:r>
      <w:r w:rsidRPr="00953F7D">
        <w:t xml:space="preserve"> 1 of Table 18 of this attachment. </w:t>
      </w:r>
    </w:p>
    <w:p w14:paraId="49D04D15" w14:textId="77777777" w:rsidR="00911BA7" w:rsidRPr="00953F7D" w:rsidRDefault="00911BA7" w:rsidP="00E9482F">
      <w:pPr>
        <w:pStyle w:val="BodyText"/>
      </w:pPr>
      <w:r w:rsidRPr="00953F7D">
        <w:t xml:space="preserve">An </w:t>
      </w:r>
      <w:r w:rsidR="00F55FA4" w:rsidRPr="00953F7D">
        <w:t xml:space="preserve">IRB </w:t>
      </w:r>
      <w:r w:rsidRPr="00953F7D">
        <w:t>ADI must explain the key drivers of material changes in its leverage ratio from the end of the previous reporting period to the end of the current reporting period (whether these changes stem from changes in the numerator and/or from ch</w:t>
      </w:r>
      <w:r w:rsidR="00E9482F" w:rsidRPr="00953F7D">
        <w:t>a</w:t>
      </w:r>
      <w:r w:rsidRPr="00953F7D">
        <w:t xml:space="preserve">nges in the denominator). </w:t>
      </w:r>
    </w:p>
    <w:p w14:paraId="49D04D16" w14:textId="77777777" w:rsidR="00911BA7" w:rsidRPr="00953F7D" w:rsidRDefault="00911BA7" w:rsidP="00E9482F">
      <w:pPr>
        <w:pStyle w:val="BodyText"/>
      </w:pPr>
      <w:r w:rsidRPr="00953F7D">
        <w:t xml:space="preserve">Where applicable, an </w:t>
      </w:r>
      <w:r w:rsidR="00F55FA4" w:rsidRPr="00953F7D">
        <w:t xml:space="preserve">IRB </w:t>
      </w:r>
      <w:r w:rsidRPr="00953F7D">
        <w:t>ADI must disclose the extent of assets held in a fiduciary capacity on the balance sheet that have been excluded from the exposure measure in accordance with APS 110 in Table 19 ‘Summary comparison of accounting assets vs leverage ratio exposure measure’.</w:t>
      </w:r>
    </w:p>
    <w:p w14:paraId="49D04D17" w14:textId="77777777" w:rsidR="00911BA7" w:rsidRPr="00953F7D" w:rsidRDefault="00911BA7" w:rsidP="00282024">
      <w:pPr>
        <w:pStyle w:val="ListParagraph"/>
        <w:ind w:left="360" w:firstLine="0"/>
      </w:pPr>
    </w:p>
    <w:p w14:paraId="49D04D18" w14:textId="77777777" w:rsidR="00B75BF6" w:rsidRPr="00953F7D" w:rsidRDefault="00B75BF6">
      <w:pPr>
        <w:rPr>
          <w:b/>
        </w:rPr>
      </w:pPr>
      <w:r w:rsidRPr="00953F7D">
        <w:rPr>
          <w:b/>
        </w:rPr>
        <w:br w:type="page"/>
      </w:r>
    </w:p>
    <w:p w14:paraId="49D04D19" w14:textId="77777777" w:rsidR="00FD2B66" w:rsidRPr="00953F7D" w:rsidRDefault="00FD2B66" w:rsidP="00E9482F">
      <w:pPr>
        <w:pStyle w:val="ListParagraph"/>
        <w:numPr>
          <w:ilvl w:val="0"/>
          <w:numId w:val="32"/>
        </w:numPr>
        <w:rPr>
          <w:b/>
        </w:rPr>
        <w:sectPr w:rsidR="00FD2B66" w:rsidRPr="00953F7D" w:rsidSect="008D3C2B">
          <w:footerReference w:type="default" r:id="rId26"/>
          <w:footerReference w:type="first" r:id="rId27"/>
          <w:pgSz w:w="11906" w:h="16838"/>
          <w:pgMar w:top="1440" w:right="1797" w:bottom="1440" w:left="1797" w:header="709" w:footer="709" w:gutter="0"/>
          <w:cols w:space="708"/>
          <w:titlePg/>
          <w:docGrid w:linePitch="360"/>
        </w:sectPr>
      </w:pPr>
    </w:p>
    <w:p w14:paraId="49D04D1A" w14:textId="77777777" w:rsidR="00F924FC" w:rsidRPr="00953F7D" w:rsidRDefault="006E15F4" w:rsidP="005D6194">
      <w:pPr>
        <w:pStyle w:val="Heading3"/>
        <w:spacing w:before="120" w:after="360"/>
        <w:jc w:val="both"/>
        <w:rPr>
          <w:b/>
          <w:sz w:val="32"/>
          <w:szCs w:val="32"/>
        </w:rPr>
      </w:pPr>
      <w:bookmarkStart w:id="193" w:name="_Toc387407369"/>
      <w:bookmarkStart w:id="194" w:name="_Toc391024786"/>
      <w:bookmarkStart w:id="195" w:name="_Toc506286046"/>
      <w:r w:rsidRPr="00953F7D">
        <w:rPr>
          <w:b/>
          <w:sz w:val="32"/>
          <w:szCs w:val="32"/>
        </w:rPr>
        <w:t xml:space="preserve">Attachment </w:t>
      </w:r>
      <w:r w:rsidR="008048A9" w:rsidRPr="00953F7D">
        <w:rPr>
          <w:b/>
          <w:sz w:val="32"/>
          <w:szCs w:val="32"/>
        </w:rPr>
        <w:t>F</w:t>
      </w:r>
      <w:bookmarkEnd w:id="193"/>
      <w:bookmarkEnd w:id="194"/>
      <w:bookmarkEnd w:id="195"/>
    </w:p>
    <w:p w14:paraId="49D04D1B" w14:textId="3F8B1DFF" w:rsidR="00F924FC" w:rsidRPr="00953F7D" w:rsidRDefault="00F924FC" w:rsidP="005D6194">
      <w:pPr>
        <w:pStyle w:val="Heading3"/>
        <w:spacing w:before="120" w:after="360"/>
        <w:jc w:val="both"/>
        <w:rPr>
          <w:b/>
          <w:sz w:val="32"/>
          <w:szCs w:val="32"/>
        </w:rPr>
      </w:pPr>
      <w:bookmarkStart w:id="196" w:name="_Toc395701862"/>
      <w:bookmarkStart w:id="197" w:name="_Toc506286047"/>
      <w:r w:rsidRPr="00953F7D">
        <w:rPr>
          <w:b/>
          <w:sz w:val="32"/>
          <w:szCs w:val="32"/>
        </w:rPr>
        <w:t>Liquidity disclosure</w:t>
      </w:r>
      <w:r w:rsidR="00A63F86">
        <w:rPr>
          <w:b/>
          <w:sz w:val="32"/>
          <w:szCs w:val="32"/>
        </w:rPr>
        <w:t>s</w:t>
      </w:r>
      <w:bookmarkEnd w:id="196"/>
      <w:bookmarkEnd w:id="197"/>
    </w:p>
    <w:p w14:paraId="49D04D1C" w14:textId="77777777" w:rsidR="00F924FC" w:rsidRPr="00953F7D" w:rsidRDefault="00F924FC" w:rsidP="00E9482F">
      <w:pPr>
        <w:pStyle w:val="BodyText"/>
        <w:numPr>
          <w:ilvl w:val="0"/>
          <w:numId w:val="36"/>
        </w:numPr>
      </w:pPr>
      <w:r w:rsidRPr="00953F7D">
        <w:t>An LCR ADI</w:t>
      </w:r>
      <w:r w:rsidR="00153921" w:rsidRPr="00953F7D">
        <w:rPr>
          <w:rStyle w:val="FootnoteReference"/>
        </w:rPr>
        <w:footnoteReference w:id="61"/>
      </w:r>
      <w:r w:rsidR="00D63172" w:rsidRPr="00953F7D">
        <w:t xml:space="preserve"> </w:t>
      </w:r>
      <w:r w:rsidRPr="00953F7D">
        <w:t>must complete and disclose</w:t>
      </w:r>
      <w:r w:rsidR="001A6AB1" w:rsidRPr="00953F7D">
        <w:t xml:space="preserve"> the items in</w:t>
      </w:r>
      <w:r w:rsidRPr="00953F7D">
        <w:t xml:space="preserve"> Table </w:t>
      </w:r>
      <w:r w:rsidR="0024463D" w:rsidRPr="00953F7D">
        <w:t>20</w:t>
      </w:r>
      <w:r w:rsidRPr="00953F7D">
        <w:t xml:space="preserve"> to the extent applicable.  </w:t>
      </w:r>
    </w:p>
    <w:p w14:paraId="49D04D1D" w14:textId="77777777" w:rsidR="00830D13" w:rsidRPr="00953F7D" w:rsidRDefault="00F924FC" w:rsidP="002F2653">
      <w:pPr>
        <w:spacing w:before="240"/>
        <w:ind w:firstLine="0"/>
      </w:pPr>
      <w:r w:rsidRPr="00953F7D">
        <w:t xml:space="preserve">Table </w:t>
      </w:r>
      <w:r w:rsidR="0024463D" w:rsidRPr="00953F7D">
        <w:t>20</w:t>
      </w:r>
      <w:r w:rsidRPr="00953F7D">
        <w:t xml:space="preserve">: LCR disclosure template </w:t>
      </w:r>
      <w:r w:rsidR="005B4644">
        <w:br/>
      </w:r>
    </w:p>
    <w:tbl>
      <w:tblPr>
        <w:tblStyle w:val="TableGrid"/>
        <w:tblW w:w="0" w:type="auto"/>
        <w:tblInd w:w="108" w:type="dxa"/>
        <w:tblLook w:val="04A0" w:firstRow="1" w:lastRow="0" w:firstColumn="1" w:lastColumn="0" w:noHBand="0" w:noVBand="1"/>
      </w:tblPr>
      <w:tblGrid>
        <w:gridCol w:w="526"/>
        <w:gridCol w:w="4583"/>
        <w:gridCol w:w="1626"/>
        <w:gridCol w:w="1459"/>
      </w:tblGrid>
      <w:tr w:rsidR="006F4530" w:rsidRPr="00953F7D" w14:paraId="49D04D23" w14:textId="77777777" w:rsidTr="004A5161">
        <w:tc>
          <w:tcPr>
            <w:tcW w:w="5310" w:type="dxa"/>
            <w:gridSpan w:val="2"/>
            <w:shd w:val="clear" w:color="auto" w:fill="BFBFBF" w:themeFill="background1" w:themeFillShade="BF"/>
            <w:vAlign w:val="center"/>
          </w:tcPr>
          <w:p w14:paraId="49D04D1E" w14:textId="77777777" w:rsidR="006F4530" w:rsidRPr="00953F7D" w:rsidRDefault="006F4530" w:rsidP="004A5161">
            <w:pPr>
              <w:jc w:val="center"/>
              <w:rPr>
                <w:b/>
              </w:rPr>
            </w:pPr>
          </w:p>
        </w:tc>
        <w:tc>
          <w:tcPr>
            <w:tcW w:w="1636" w:type="dxa"/>
            <w:shd w:val="clear" w:color="auto" w:fill="BFBFBF" w:themeFill="background1" w:themeFillShade="BF"/>
            <w:vAlign w:val="center"/>
          </w:tcPr>
          <w:p w14:paraId="49D04D1F" w14:textId="77777777" w:rsidR="006F4530" w:rsidRPr="00953F7D" w:rsidRDefault="006F4530" w:rsidP="004A5161">
            <w:pPr>
              <w:ind w:left="0" w:firstLine="0"/>
              <w:jc w:val="center"/>
            </w:pPr>
            <w:r w:rsidRPr="00953F7D">
              <w:t>Total unweighted</w:t>
            </w:r>
            <w:r w:rsidRPr="00953F7D">
              <w:rPr>
                <w:rStyle w:val="FootnoteReference"/>
              </w:rPr>
              <w:footnoteReference w:id="62"/>
            </w:r>
            <w:r w:rsidRPr="00953F7D">
              <w:t xml:space="preserve"> value (average)</w:t>
            </w:r>
          </w:p>
          <w:p w14:paraId="49D04D20" w14:textId="77777777" w:rsidR="006F4530" w:rsidRPr="00953F7D" w:rsidRDefault="006F4530" w:rsidP="004A5161">
            <w:pPr>
              <w:jc w:val="center"/>
            </w:pPr>
            <w:r w:rsidRPr="00953F7D">
              <w:t>(A$m)</w:t>
            </w:r>
          </w:p>
        </w:tc>
        <w:tc>
          <w:tcPr>
            <w:tcW w:w="1474" w:type="dxa"/>
            <w:shd w:val="clear" w:color="auto" w:fill="BFBFBF" w:themeFill="background1" w:themeFillShade="BF"/>
            <w:vAlign w:val="center"/>
          </w:tcPr>
          <w:p w14:paraId="49D04D21" w14:textId="77777777" w:rsidR="006F4530" w:rsidRPr="00953F7D" w:rsidRDefault="006F4530" w:rsidP="004A5161">
            <w:pPr>
              <w:ind w:left="0" w:firstLine="0"/>
              <w:jc w:val="center"/>
            </w:pPr>
            <w:r w:rsidRPr="00953F7D">
              <w:t>Total weighted</w:t>
            </w:r>
            <w:r w:rsidRPr="00953F7D">
              <w:rPr>
                <w:rStyle w:val="FootnoteReference"/>
              </w:rPr>
              <w:footnoteReference w:id="63"/>
            </w:r>
            <w:r w:rsidRPr="00953F7D">
              <w:t xml:space="preserve"> value (average)</w:t>
            </w:r>
          </w:p>
          <w:p w14:paraId="49D04D22" w14:textId="77777777" w:rsidR="006F4530" w:rsidRPr="00953F7D" w:rsidRDefault="006F4530" w:rsidP="004A5161">
            <w:pPr>
              <w:jc w:val="center"/>
            </w:pPr>
            <w:r w:rsidRPr="00953F7D">
              <w:t>(A$m)</w:t>
            </w:r>
          </w:p>
        </w:tc>
      </w:tr>
      <w:tr w:rsidR="006E15F4" w:rsidRPr="00953F7D" w14:paraId="49D04D27" w14:textId="77777777" w:rsidTr="004A5161">
        <w:tc>
          <w:tcPr>
            <w:tcW w:w="5310" w:type="dxa"/>
            <w:gridSpan w:val="2"/>
            <w:shd w:val="clear" w:color="auto" w:fill="BFBFBF" w:themeFill="background1" w:themeFillShade="BF"/>
            <w:vAlign w:val="center"/>
          </w:tcPr>
          <w:p w14:paraId="49D04D24" w14:textId="77777777" w:rsidR="006E15F4" w:rsidRPr="00953F7D" w:rsidRDefault="00497FF0" w:rsidP="00D42FCE">
            <w:pPr>
              <w:jc w:val="both"/>
              <w:rPr>
                <w:b/>
              </w:rPr>
            </w:pPr>
            <w:r w:rsidRPr="00953F7D">
              <w:rPr>
                <w:b/>
              </w:rPr>
              <w:t>L</w:t>
            </w:r>
            <w:r w:rsidR="006E15F4" w:rsidRPr="00953F7D">
              <w:rPr>
                <w:b/>
              </w:rPr>
              <w:t>iquid assets, of which:</w:t>
            </w:r>
          </w:p>
        </w:tc>
        <w:tc>
          <w:tcPr>
            <w:tcW w:w="1636" w:type="dxa"/>
            <w:shd w:val="clear" w:color="auto" w:fill="BFBFBF" w:themeFill="background1" w:themeFillShade="BF"/>
            <w:vAlign w:val="center"/>
          </w:tcPr>
          <w:p w14:paraId="49D04D25" w14:textId="77777777" w:rsidR="006E15F4" w:rsidRPr="00953F7D" w:rsidRDefault="006E15F4" w:rsidP="00F924FC"/>
        </w:tc>
        <w:tc>
          <w:tcPr>
            <w:tcW w:w="1474" w:type="dxa"/>
            <w:shd w:val="clear" w:color="auto" w:fill="BFBFBF" w:themeFill="background1" w:themeFillShade="BF"/>
            <w:vAlign w:val="center"/>
          </w:tcPr>
          <w:p w14:paraId="49D04D26" w14:textId="77777777" w:rsidR="006E15F4" w:rsidRPr="00953F7D" w:rsidRDefault="006E15F4" w:rsidP="00F924FC"/>
        </w:tc>
      </w:tr>
      <w:tr w:rsidR="006E15F4" w:rsidRPr="00953F7D" w14:paraId="49D04D2C" w14:textId="77777777" w:rsidTr="003C256A">
        <w:tc>
          <w:tcPr>
            <w:tcW w:w="531" w:type="dxa"/>
            <w:shd w:val="clear" w:color="auto" w:fill="D9D9D9" w:themeFill="background1" w:themeFillShade="D9"/>
          </w:tcPr>
          <w:p w14:paraId="49D04D28" w14:textId="77777777" w:rsidR="006E15F4" w:rsidRPr="00953F7D" w:rsidRDefault="006E15F4" w:rsidP="003C256A">
            <w:r w:rsidRPr="00953F7D">
              <w:t>1</w:t>
            </w:r>
          </w:p>
        </w:tc>
        <w:tc>
          <w:tcPr>
            <w:tcW w:w="4779" w:type="dxa"/>
            <w:shd w:val="clear" w:color="auto" w:fill="D9D9D9" w:themeFill="background1" w:themeFillShade="D9"/>
            <w:vAlign w:val="center"/>
          </w:tcPr>
          <w:p w14:paraId="49D04D29" w14:textId="77777777" w:rsidR="006E15F4" w:rsidRPr="00953F7D" w:rsidRDefault="00D705D8" w:rsidP="00D42FCE">
            <w:pPr>
              <w:ind w:left="0" w:firstLine="0"/>
              <w:jc w:val="both"/>
            </w:pPr>
            <w:r w:rsidRPr="00953F7D">
              <w:t>H</w:t>
            </w:r>
            <w:r w:rsidR="006E15F4" w:rsidRPr="00953F7D">
              <w:t>igh-quality liquid assets</w:t>
            </w:r>
            <w:r w:rsidR="00716EA5" w:rsidRPr="00953F7D">
              <w:t xml:space="preserve"> (HQLA)</w:t>
            </w:r>
          </w:p>
        </w:tc>
        <w:tc>
          <w:tcPr>
            <w:tcW w:w="1636" w:type="dxa"/>
            <w:tcBorders>
              <w:bottom w:val="single" w:sz="4" w:space="0" w:color="auto"/>
            </w:tcBorders>
            <w:shd w:val="thinHorzCross" w:color="auto" w:fill="D9D9D9" w:themeFill="background1" w:themeFillShade="D9"/>
            <w:vAlign w:val="center"/>
          </w:tcPr>
          <w:p w14:paraId="49D04D2A" w14:textId="77777777" w:rsidR="006E15F4" w:rsidRPr="00953F7D" w:rsidRDefault="006E15F4" w:rsidP="00F924FC"/>
        </w:tc>
        <w:tc>
          <w:tcPr>
            <w:tcW w:w="1474" w:type="dxa"/>
            <w:tcBorders>
              <w:bottom w:val="single" w:sz="4" w:space="0" w:color="auto"/>
            </w:tcBorders>
            <w:shd w:val="clear" w:color="auto" w:fill="D9D9D9" w:themeFill="background1" w:themeFillShade="D9"/>
            <w:vAlign w:val="center"/>
          </w:tcPr>
          <w:p w14:paraId="49D04D2B" w14:textId="77777777" w:rsidR="006E15F4" w:rsidRPr="00953F7D" w:rsidRDefault="006E15F4" w:rsidP="00F924FC"/>
        </w:tc>
      </w:tr>
      <w:tr w:rsidR="006E15F4" w:rsidRPr="00953F7D" w14:paraId="49D04D31" w14:textId="77777777" w:rsidTr="003C256A">
        <w:tc>
          <w:tcPr>
            <w:tcW w:w="531" w:type="dxa"/>
            <w:shd w:val="clear" w:color="auto" w:fill="D9D9D9" w:themeFill="background1" w:themeFillShade="D9"/>
          </w:tcPr>
          <w:p w14:paraId="49D04D2D" w14:textId="77777777" w:rsidR="006E15F4" w:rsidRPr="00953F7D" w:rsidRDefault="006E15F4" w:rsidP="003C256A">
            <w:r w:rsidRPr="00953F7D">
              <w:t>2</w:t>
            </w:r>
          </w:p>
        </w:tc>
        <w:tc>
          <w:tcPr>
            <w:tcW w:w="4779" w:type="dxa"/>
            <w:shd w:val="clear" w:color="auto" w:fill="D9D9D9" w:themeFill="background1" w:themeFillShade="D9"/>
            <w:vAlign w:val="center"/>
          </w:tcPr>
          <w:p w14:paraId="49D04D2E" w14:textId="77777777" w:rsidR="006E15F4" w:rsidRPr="00953F7D" w:rsidRDefault="006E15F4" w:rsidP="00D42FCE">
            <w:pPr>
              <w:ind w:left="0" w:firstLine="0"/>
              <w:jc w:val="both"/>
            </w:pPr>
            <w:r w:rsidRPr="00953F7D">
              <w:t>Alternative liquid assets</w:t>
            </w:r>
            <w:r w:rsidR="00BB780D" w:rsidRPr="00953F7D">
              <w:t xml:space="preserve"> (ALA)</w:t>
            </w:r>
          </w:p>
        </w:tc>
        <w:tc>
          <w:tcPr>
            <w:tcW w:w="1636" w:type="dxa"/>
            <w:shd w:val="thinHorzCross" w:color="auto" w:fill="D9D9D9" w:themeFill="background1" w:themeFillShade="D9"/>
            <w:vAlign w:val="center"/>
          </w:tcPr>
          <w:p w14:paraId="49D04D2F" w14:textId="77777777" w:rsidR="006E15F4" w:rsidRPr="00953F7D" w:rsidRDefault="006E15F4" w:rsidP="00F924FC"/>
        </w:tc>
        <w:tc>
          <w:tcPr>
            <w:tcW w:w="1474" w:type="dxa"/>
            <w:shd w:val="clear" w:color="auto" w:fill="D9D9D9" w:themeFill="background1" w:themeFillShade="D9"/>
            <w:vAlign w:val="center"/>
          </w:tcPr>
          <w:p w14:paraId="49D04D30" w14:textId="77777777" w:rsidR="006E15F4" w:rsidRPr="00953F7D" w:rsidRDefault="006E15F4" w:rsidP="00F924FC"/>
        </w:tc>
      </w:tr>
      <w:tr w:rsidR="006E15F4" w:rsidRPr="00953F7D" w14:paraId="49D04D36" w14:textId="77777777" w:rsidTr="003C256A">
        <w:tc>
          <w:tcPr>
            <w:tcW w:w="531" w:type="dxa"/>
            <w:shd w:val="clear" w:color="auto" w:fill="D9D9D9" w:themeFill="background1" w:themeFillShade="D9"/>
          </w:tcPr>
          <w:p w14:paraId="49D04D32" w14:textId="77777777" w:rsidR="006E15F4" w:rsidRPr="00953F7D" w:rsidRDefault="006E15F4" w:rsidP="003C256A">
            <w:r w:rsidRPr="00953F7D">
              <w:t>3</w:t>
            </w:r>
          </w:p>
        </w:tc>
        <w:tc>
          <w:tcPr>
            <w:tcW w:w="4779" w:type="dxa"/>
            <w:shd w:val="clear" w:color="auto" w:fill="D9D9D9" w:themeFill="background1" w:themeFillShade="D9"/>
            <w:vAlign w:val="center"/>
          </w:tcPr>
          <w:p w14:paraId="49D04D33" w14:textId="77777777" w:rsidR="006E15F4" w:rsidRPr="00953F7D" w:rsidRDefault="006E15F4" w:rsidP="00D42FCE">
            <w:pPr>
              <w:ind w:left="0" w:firstLine="0"/>
              <w:jc w:val="both"/>
            </w:pPr>
            <w:r w:rsidRPr="00953F7D">
              <w:t>Reserve Bank of New Zealand</w:t>
            </w:r>
            <w:r w:rsidR="009F4D44" w:rsidRPr="00953F7D">
              <w:t xml:space="preserve"> </w:t>
            </w:r>
            <w:r w:rsidR="00BB780D" w:rsidRPr="00953F7D">
              <w:t xml:space="preserve">(RBNZ) </w:t>
            </w:r>
            <w:r w:rsidR="009F4D44" w:rsidRPr="00953F7D">
              <w:t>securities</w:t>
            </w:r>
          </w:p>
        </w:tc>
        <w:tc>
          <w:tcPr>
            <w:tcW w:w="1636" w:type="dxa"/>
            <w:shd w:val="thinHorzCross" w:color="auto" w:fill="D9D9D9" w:themeFill="background1" w:themeFillShade="D9"/>
            <w:vAlign w:val="center"/>
          </w:tcPr>
          <w:p w14:paraId="49D04D34" w14:textId="77777777" w:rsidR="006E15F4" w:rsidRPr="00953F7D" w:rsidRDefault="006E15F4" w:rsidP="00F924FC"/>
        </w:tc>
        <w:tc>
          <w:tcPr>
            <w:tcW w:w="1474" w:type="dxa"/>
            <w:shd w:val="clear" w:color="auto" w:fill="D9D9D9" w:themeFill="background1" w:themeFillShade="D9"/>
            <w:vAlign w:val="center"/>
          </w:tcPr>
          <w:p w14:paraId="49D04D35" w14:textId="77777777" w:rsidR="006E15F4" w:rsidRPr="00953F7D" w:rsidRDefault="006E15F4" w:rsidP="00F924FC"/>
        </w:tc>
      </w:tr>
      <w:tr w:rsidR="006E15F4" w:rsidRPr="00953F7D" w14:paraId="49D04D3A" w14:textId="77777777" w:rsidTr="003C256A">
        <w:tc>
          <w:tcPr>
            <w:tcW w:w="5310" w:type="dxa"/>
            <w:gridSpan w:val="2"/>
            <w:shd w:val="clear" w:color="auto" w:fill="BFBFBF" w:themeFill="background1" w:themeFillShade="BF"/>
          </w:tcPr>
          <w:p w14:paraId="49D04D37" w14:textId="77777777" w:rsidR="006E15F4" w:rsidRPr="00953F7D" w:rsidRDefault="006E15F4" w:rsidP="003C256A">
            <w:pPr>
              <w:ind w:left="0" w:firstLine="0"/>
              <w:rPr>
                <w:b/>
              </w:rPr>
            </w:pPr>
            <w:r w:rsidRPr="00953F7D">
              <w:rPr>
                <w:b/>
              </w:rPr>
              <w:t>Cash outflows</w:t>
            </w:r>
          </w:p>
        </w:tc>
        <w:tc>
          <w:tcPr>
            <w:tcW w:w="1636" w:type="dxa"/>
            <w:shd w:val="clear" w:color="auto" w:fill="BFBFBF" w:themeFill="background1" w:themeFillShade="BF"/>
            <w:vAlign w:val="center"/>
          </w:tcPr>
          <w:p w14:paraId="49D04D38" w14:textId="77777777" w:rsidR="006E15F4" w:rsidRPr="00953F7D" w:rsidRDefault="006E15F4" w:rsidP="00F924FC"/>
        </w:tc>
        <w:tc>
          <w:tcPr>
            <w:tcW w:w="1474" w:type="dxa"/>
            <w:shd w:val="clear" w:color="auto" w:fill="BFBFBF" w:themeFill="background1" w:themeFillShade="BF"/>
            <w:vAlign w:val="center"/>
          </w:tcPr>
          <w:p w14:paraId="49D04D39" w14:textId="77777777" w:rsidR="006E15F4" w:rsidRPr="00953F7D" w:rsidRDefault="006E15F4" w:rsidP="00F924FC"/>
        </w:tc>
      </w:tr>
      <w:tr w:rsidR="006E15F4" w:rsidRPr="00953F7D" w14:paraId="49D04D3F" w14:textId="77777777" w:rsidTr="003C256A">
        <w:tc>
          <w:tcPr>
            <w:tcW w:w="531" w:type="dxa"/>
            <w:shd w:val="clear" w:color="auto" w:fill="D9D9D9" w:themeFill="background1" w:themeFillShade="D9"/>
          </w:tcPr>
          <w:p w14:paraId="49D04D3B" w14:textId="77777777" w:rsidR="006E15F4" w:rsidRPr="00953F7D" w:rsidRDefault="006E15F4" w:rsidP="003C256A">
            <w:r w:rsidRPr="00953F7D">
              <w:t>4</w:t>
            </w:r>
          </w:p>
        </w:tc>
        <w:tc>
          <w:tcPr>
            <w:tcW w:w="4779" w:type="dxa"/>
            <w:shd w:val="clear" w:color="auto" w:fill="D9D9D9" w:themeFill="background1" w:themeFillShade="D9"/>
            <w:vAlign w:val="center"/>
          </w:tcPr>
          <w:p w14:paraId="49D04D3C" w14:textId="77777777" w:rsidR="006E15F4" w:rsidRPr="00953F7D" w:rsidRDefault="006E15F4" w:rsidP="00D42FCE">
            <w:pPr>
              <w:ind w:left="0" w:firstLine="0"/>
              <w:jc w:val="both"/>
            </w:pPr>
            <w:r w:rsidRPr="00953F7D">
              <w:t>Retail deposits and deposits from small business customers, of which:</w:t>
            </w:r>
          </w:p>
        </w:tc>
        <w:tc>
          <w:tcPr>
            <w:tcW w:w="1636" w:type="dxa"/>
            <w:shd w:val="clear" w:color="auto" w:fill="D9D9D9" w:themeFill="background1" w:themeFillShade="D9"/>
            <w:vAlign w:val="center"/>
          </w:tcPr>
          <w:p w14:paraId="49D04D3D" w14:textId="77777777" w:rsidR="006E15F4" w:rsidRPr="00953F7D" w:rsidRDefault="006E15F4" w:rsidP="00F924FC"/>
        </w:tc>
        <w:tc>
          <w:tcPr>
            <w:tcW w:w="1474" w:type="dxa"/>
            <w:shd w:val="clear" w:color="auto" w:fill="D9D9D9" w:themeFill="background1" w:themeFillShade="D9"/>
            <w:vAlign w:val="center"/>
          </w:tcPr>
          <w:p w14:paraId="49D04D3E" w14:textId="77777777" w:rsidR="006E15F4" w:rsidRPr="00953F7D" w:rsidRDefault="006E15F4" w:rsidP="00F924FC"/>
        </w:tc>
      </w:tr>
      <w:tr w:rsidR="006E15F4" w:rsidRPr="00953F7D" w14:paraId="49D04D44" w14:textId="77777777" w:rsidTr="003C256A">
        <w:tc>
          <w:tcPr>
            <w:tcW w:w="531" w:type="dxa"/>
          </w:tcPr>
          <w:p w14:paraId="49D04D40" w14:textId="77777777" w:rsidR="006E15F4" w:rsidRPr="00953F7D" w:rsidRDefault="006E15F4" w:rsidP="003C256A">
            <w:r w:rsidRPr="00953F7D">
              <w:t>5</w:t>
            </w:r>
          </w:p>
        </w:tc>
        <w:tc>
          <w:tcPr>
            <w:tcW w:w="4779" w:type="dxa"/>
            <w:vAlign w:val="center"/>
          </w:tcPr>
          <w:p w14:paraId="49D04D41" w14:textId="77777777" w:rsidR="006E15F4" w:rsidRPr="00953F7D" w:rsidRDefault="00E9482F" w:rsidP="00E9482F">
            <w:pPr>
              <w:ind w:left="212" w:firstLine="0"/>
              <w:jc w:val="both"/>
              <w:rPr>
                <w:i/>
              </w:rPr>
            </w:pPr>
            <w:r w:rsidRPr="00953F7D">
              <w:rPr>
                <w:i/>
              </w:rPr>
              <w:t>s</w:t>
            </w:r>
            <w:r w:rsidR="006E15F4" w:rsidRPr="00953F7D">
              <w:rPr>
                <w:i/>
              </w:rPr>
              <w:t>table deposits</w:t>
            </w:r>
          </w:p>
        </w:tc>
        <w:tc>
          <w:tcPr>
            <w:tcW w:w="1636" w:type="dxa"/>
            <w:vAlign w:val="center"/>
          </w:tcPr>
          <w:p w14:paraId="49D04D42" w14:textId="77777777" w:rsidR="006E15F4" w:rsidRPr="00953F7D" w:rsidRDefault="006E15F4" w:rsidP="00F924FC"/>
        </w:tc>
        <w:tc>
          <w:tcPr>
            <w:tcW w:w="1474" w:type="dxa"/>
            <w:vAlign w:val="center"/>
          </w:tcPr>
          <w:p w14:paraId="49D04D43" w14:textId="77777777" w:rsidR="006E15F4" w:rsidRPr="00953F7D" w:rsidRDefault="006E15F4" w:rsidP="00F924FC"/>
        </w:tc>
      </w:tr>
      <w:tr w:rsidR="006E15F4" w:rsidRPr="00953F7D" w14:paraId="49D04D49" w14:textId="77777777" w:rsidTr="003C256A">
        <w:tc>
          <w:tcPr>
            <w:tcW w:w="531" w:type="dxa"/>
          </w:tcPr>
          <w:p w14:paraId="49D04D45" w14:textId="77777777" w:rsidR="006E15F4" w:rsidRPr="00953F7D" w:rsidRDefault="006E15F4" w:rsidP="003C256A">
            <w:r w:rsidRPr="00953F7D">
              <w:t>6</w:t>
            </w:r>
          </w:p>
        </w:tc>
        <w:tc>
          <w:tcPr>
            <w:tcW w:w="4779" w:type="dxa"/>
            <w:vAlign w:val="center"/>
          </w:tcPr>
          <w:p w14:paraId="49D04D46" w14:textId="77777777" w:rsidR="006E15F4" w:rsidRPr="00953F7D" w:rsidRDefault="00E9482F" w:rsidP="00E9482F">
            <w:pPr>
              <w:ind w:left="212" w:firstLine="0"/>
              <w:jc w:val="both"/>
              <w:rPr>
                <w:i/>
              </w:rPr>
            </w:pPr>
            <w:r w:rsidRPr="00953F7D">
              <w:rPr>
                <w:i/>
              </w:rPr>
              <w:t>l</w:t>
            </w:r>
            <w:r w:rsidR="006E15F4" w:rsidRPr="00953F7D">
              <w:rPr>
                <w:i/>
              </w:rPr>
              <w:t>ess stable deposits</w:t>
            </w:r>
          </w:p>
        </w:tc>
        <w:tc>
          <w:tcPr>
            <w:tcW w:w="1636" w:type="dxa"/>
            <w:vAlign w:val="center"/>
          </w:tcPr>
          <w:p w14:paraId="49D04D47" w14:textId="77777777" w:rsidR="006E15F4" w:rsidRPr="00953F7D" w:rsidRDefault="006E15F4" w:rsidP="00F924FC"/>
        </w:tc>
        <w:tc>
          <w:tcPr>
            <w:tcW w:w="1474" w:type="dxa"/>
            <w:vAlign w:val="center"/>
          </w:tcPr>
          <w:p w14:paraId="49D04D48" w14:textId="77777777" w:rsidR="006E15F4" w:rsidRPr="00953F7D" w:rsidRDefault="006E15F4" w:rsidP="00F924FC"/>
        </w:tc>
      </w:tr>
      <w:tr w:rsidR="006E15F4" w:rsidRPr="00953F7D" w14:paraId="49D04D4E" w14:textId="77777777" w:rsidTr="003C256A">
        <w:tc>
          <w:tcPr>
            <w:tcW w:w="531" w:type="dxa"/>
            <w:shd w:val="clear" w:color="auto" w:fill="F2F2F2" w:themeFill="background1" w:themeFillShade="F2"/>
          </w:tcPr>
          <w:p w14:paraId="49D04D4A" w14:textId="77777777" w:rsidR="006E15F4" w:rsidRPr="00953F7D" w:rsidRDefault="006E15F4" w:rsidP="003C256A">
            <w:r w:rsidRPr="00953F7D">
              <w:t>7</w:t>
            </w:r>
          </w:p>
        </w:tc>
        <w:tc>
          <w:tcPr>
            <w:tcW w:w="4779" w:type="dxa"/>
            <w:shd w:val="clear" w:color="auto" w:fill="F2F2F2" w:themeFill="background1" w:themeFillShade="F2"/>
            <w:vAlign w:val="center"/>
          </w:tcPr>
          <w:p w14:paraId="49D04D4B" w14:textId="77777777" w:rsidR="006E15F4" w:rsidRPr="00953F7D" w:rsidRDefault="006E15F4" w:rsidP="00D42FCE">
            <w:pPr>
              <w:ind w:left="0" w:firstLine="0"/>
              <w:jc w:val="both"/>
            </w:pPr>
            <w:r w:rsidRPr="00953F7D">
              <w:t>Unsecured wholesale funding, of which:</w:t>
            </w:r>
          </w:p>
        </w:tc>
        <w:tc>
          <w:tcPr>
            <w:tcW w:w="1636" w:type="dxa"/>
            <w:shd w:val="clear" w:color="auto" w:fill="F2F2F2" w:themeFill="background1" w:themeFillShade="F2"/>
            <w:vAlign w:val="center"/>
          </w:tcPr>
          <w:p w14:paraId="49D04D4C" w14:textId="77777777" w:rsidR="006E15F4" w:rsidRPr="00953F7D" w:rsidRDefault="006E15F4" w:rsidP="00F924FC"/>
        </w:tc>
        <w:tc>
          <w:tcPr>
            <w:tcW w:w="1474" w:type="dxa"/>
            <w:shd w:val="clear" w:color="auto" w:fill="F2F2F2" w:themeFill="background1" w:themeFillShade="F2"/>
            <w:vAlign w:val="center"/>
          </w:tcPr>
          <w:p w14:paraId="49D04D4D" w14:textId="77777777" w:rsidR="006E15F4" w:rsidRPr="00953F7D" w:rsidRDefault="006E15F4" w:rsidP="00F924FC"/>
        </w:tc>
      </w:tr>
      <w:tr w:rsidR="00CA127B" w:rsidRPr="00953F7D" w14:paraId="49D04D53" w14:textId="77777777" w:rsidTr="003C256A">
        <w:tc>
          <w:tcPr>
            <w:tcW w:w="531" w:type="dxa"/>
          </w:tcPr>
          <w:p w14:paraId="49D04D4F" w14:textId="77777777" w:rsidR="006E15F4" w:rsidRPr="00953F7D" w:rsidRDefault="006E15F4" w:rsidP="003C256A">
            <w:r w:rsidRPr="00953F7D">
              <w:t>8</w:t>
            </w:r>
          </w:p>
        </w:tc>
        <w:tc>
          <w:tcPr>
            <w:tcW w:w="4779" w:type="dxa"/>
            <w:vAlign w:val="center"/>
          </w:tcPr>
          <w:p w14:paraId="49D04D50" w14:textId="77777777" w:rsidR="006E15F4" w:rsidRPr="00953F7D" w:rsidRDefault="00AD45AC" w:rsidP="003A1A67">
            <w:pPr>
              <w:ind w:left="212" w:firstLine="0"/>
              <w:jc w:val="both"/>
              <w:rPr>
                <w:i/>
              </w:rPr>
            </w:pPr>
            <w:r w:rsidRPr="00953F7D">
              <w:rPr>
                <w:i/>
              </w:rPr>
              <w:t>o</w:t>
            </w:r>
            <w:r w:rsidR="006E15F4" w:rsidRPr="00953F7D">
              <w:rPr>
                <w:i/>
              </w:rPr>
              <w:t>perational deposits (all counterparties) and deposits in networks for cooperative banks</w:t>
            </w:r>
          </w:p>
        </w:tc>
        <w:tc>
          <w:tcPr>
            <w:tcW w:w="1636" w:type="dxa"/>
            <w:vAlign w:val="center"/>
          </w:tcPr>
          <w:p w14:paraId="49D04D51" w14:textId="77777777" w:rsidR="006E15F4" w:rsidRPr="00953F7D" w:rsidRDefault="006E15F4" w:rsidP="00F924FC"/>
        </w:tc>
        <w:tc>
          <w:tcPr>
            <w:tcW w:w="1474" w:type="dxa"/>
            <w:vAlign w:val="center"/>
          </w:tcPr>
          <w:p w14:paraId="49D04D52" w14:textId="77777777" w:rsidR="006E15F4" w:rsidRPr="00953F7D" w:rsidRDefault="006E15F4" w:rsidP="00F924FC"/>
        </w:tc>
      </w:tr>
      <w:tr w:rsidR="00CA127B" w:rsidRPr="00953F7D" w14:paraId="49D04D58" w14:textId="77777777" w:rsidTr="003C256A">
        <w:tc>
          <w:tcPr>
            <w:tcW w:w="531" w:type="dxa"/>
          </w:tcPr>
          <w:p w14:paraId="49D04D54" w14:textId="77777777" w:rsidR="006E15F4" w:rsidRPr="00953F7D" w:rsidRDefault="006E15F4" w:rsidP="003C256A">
            <w:r w:rsidRPr="00953F7D">
              <w:t>9</w:t>
            </w:r>
          </w:p>
        </w:tc>
        <w:tc>
          <w:tcPr>
            <w:tcW w:w="4779" w:type="dxa"/>
            <w:vAlign w:val="center"/>
          </w:tcPr>
          <w:p w14:paraId="49D04D55" w14:textId="77777777" w:rsidR="006E15F4" w:rsidRPr="00953F7D" w:rsidRDefault="00AD45AC" w:rsidP="003A1A67">
            <w:pPr>
              <w:ind w:left="212" w:firstLine="0"/>
              <w:jc w:val="both"/>
              <w:rPr>
                <w:i/>
              </w:rPr>
            </w:pPr>
            <w:r w:rsidRPr="00953F7D">
              <w:rPr>
                <w:i/>
              </w:rPr>
              <w:t>n</w:t>
            </w:r>
            <w:r w:rsidR="006E15F4" w:rsidRPr="00953F7D">
              <w:rPr>
                <w:i/>
              </w:rPr>
              <w:t>on-operational deposits (all counterparties)</w:t>
            </w:r>
          </w:p>
        </w:tc>
        <w:tc>
          <w:tcPr>
            <w:tcW w:w="1636" w:type="dxa"/>
            <w:vAlign w:val="center"/>
          </w:tcPr>
          <w:p w14:paraId="49D04D56" w14:textId="77777777" w:rsidR="006E15F4" w:rsidRPr="00953F7D" w:rsidRDefault="006E15F4" w:rsidP="00F924FC"/>
        </w:tc>
        <w:tc>
          <w:tcPr>
            <w:tcW w:w="1474" w:type="dxa"/>
            <w:vAlign w:val="center"/>
          </w:tcPr>
          <w:p w14:paraId="49D04D57" w14:textId="77777777" w:rsidR="006E15F4" w:rsidRPr="00953F7D" w:rsidRDefault="006E15F4" w:rsidP="00F924FC"/>
        </w:tc>
      </w:tr>
      <w:tr w:rsidR="00CA127B" w:rsidRPr="00953F7D" w14:paraId="49D04D5D" w14:textId="77777777" w:rsidTr="003C256A">
        <w:tc>
          <w:tcPr>
            <w:tcW w:w="531" w:type="dxa"/>
          </w:tcPr>
          <w:p w14:paraId="49D04D59" w14:textId="77777777" w:rsidR="006E15F4" w:rsidRPr="00953F7D" w:rsidRDefault="006E15F4" w:rsidP="003C256A">
            <w:r w:rsidRPr="00953F7D">
              <w:t>10</w:t>
            </w:r>
          </w:p>
        </w:tc>
        <w:tc>
          <w:tcPr>
            <w:tcW w:w="4779" w:type="dxa"/>
            <w:vAlign w:val="center"/>
          </w:tcPr>
          <w:p w14:paraId="49D04D5A" w14:textId="77777777" w:rsidR="006E15F4" w:rsidRPr="00953F7D" w:rsidRDefault="00AD45AC" w:rsidP="003A1A67">
            <w:pPr>
              <w:ind w:left="212" w:firstLine="0"/>
              <w:jc w:val="both"/>
              <w:rPr>
                <w:i/>
              </w:rPr>
            </w:pPr>
            <w:r w:rsidRPr="00953F7D">
              <w:rPr>
                <w:i/>
              </w:rPr>
              <w:t>u</w:t>
            </w:r>
            <w:r w:rsidR="006E15F4" w:rsidRPr="00953F7D">
              <w:rPr>
                <w:i/>
              </w:rPr>
              <w:t>nsecured debt</w:t>
            </w:r>
          </w:p>
        </w:tc>
        <w:tc>
          <w:tcPr>
            <w:tcW w:w="1636" w:type="dxa"/>
            <w:vAlign w:val="center"/>
          </w:tcPr>
          <w:p w14:paraId="49D04D5B" w14:textId="77777777" w:rsidR="006E15F4" w:rsidRPr="00953F7D" w:rsidRDefault="006E15F4" w:rsidP="00F924FC"/>
        </w:tc>
        <w:tc>
          <w:tcPr>
            <w:tcW w:w="1474" w:type="dxa"/>
            <w:vAlign w:val="center"/>
          </w:tcPr>
          <w:p w14:paraId="49D04D5C" w14:textId="77777777" w:rsidR="006E15F4" w:rsidRPr="00953F7D" w:rsidRDefault="006E15F4" w:rsidP="00F924FC"/>
        </w:tc>
      </w:tr>
      <w:tr w:rsidR="006E15F4" w:rsidRPr="00953F7D" w14:paraId="49D04D62" w14:textId="77777777" w:rsidTr="003C256A">
        <w:tc>
          <w:tcPr>
            <w:tcW w:w="531" w:type="dxa"/>
            <w:shd w:val="clear" w:color="auto" w:fill="D9D9D9" w:themeFill="background1" w:themeFillShade="D9"/>
          </w:tcPr>
          <w:p w14:paraId="49D04D5E" w14:textId="77777777" w:rsidR="006E15F4" w:rsidRPr="00953F7D" w:rsidRDefault="006E15F4" w:rsidP="003C256A">
            <w:r w:rsidRPr="00953F7D">
              <w:t>11</w:t>
            </w:r>
          </w:p>
        </w:tc>
        <w:tc>
          <w:tcPr>
            <w:tcW w:w="4779" w:type="dxa"/>
            <w:shd w:val="clear" w:color="auto" w:fill="D9D9D9" w:themeFill="background1" w:themeFillShade="D9"/>
            <w:vAlign w:val="center"/>
          </w:tcPr>
          <w:p w14:paraId="49D04D5F" w14:textId="77777777" w:rsidR="006E15F4" w:rsidRPr="00953F7D" w:rsidRDefault="006E15F4" w:rsidP="00D42FCE">
            <w:pPr>
              <w:ind w:left="0" w:firstLine="0"/>
              <w:jc w:val="both"/>
            </w:pPr>
            <w:r w:rsidRPr="00953F7D">
              <w:t>Secured wholesale funding</w:t>
            </w:r>
          </w:p>
        </w:tc>
        <w:tc>
          <w:tcPr>
            <w:tcW w:w="1636" w:type="dxa"/>
            <w:shd w:val="thinHorzCross" w:color="auto" w:fill="D9D9D9" w:themeFill="background1" w:themeFillShade="D9"/>
            <w:vAlign w:val="center"/>
          </w:tcPr>
          <w:p w14:paraId="49D04D60" w14:textId="77777777" w:rsidR="006E15F4" w:rsidRPr="00953F7D" w:rsidRDefault="006E15F4" w:rsidP="00F924FC"/>
        </w:tc>
        <w:tc>
          <w:tcPr>
            <w:tcW w:w="1474" w:type="dxa"/>
            <w:shd w:val="clear" w:color="auto" w:fill="D9D9D9" w:themeFill="background1" w:themeFillShade="D9"/>
            <w:vAlign w:val="center"/>
          </w:tcPr>
          <w:p w14:paraId="49D04D61" w14:textId="77777777" w:rsidR="006E15F4" w:rsidRPr="00953F7D" w:rsidRDefault="006E15F4" w:rsidP="00F924FC"/>
        </w:tc>
      </w:tr>
      <w:tr w:rsidR="006E15F4" w:rsidRPr="00953F7D" w14:paraId="49D04D67" w14:textId="77777777" w:rsidTr="003C256A">
        <w:tc>
          <w:tcPr>
            <w:tcW w:w="531" w:type="dxa"/>
            <w:shd w:val="clear" w:color="auto" w:fill="D9D9D9" w:themeFill="background1" w:themeFillShade="D9"/>
          </w:tcPr>
          <w:p w14:paraId="49D04D63" w14:textId="77777777" w:rsidR="006E15F4" w:rsidRPr="00953F7D" w:rsidRDefault="006E15F4" w:rsidP="003C256A">
            <w:r w:rsidRPr="00953F7D">
              <w:t>12</w:t>
            </w:r>
          </w:p>
        </w:tc>
        <w:tc>
          <w:tcPr>
            <w:tcW w:w="4779" w:type="dxa"/>
            <w:shd w:val="clear" w:color="auto" w:fill="D9D9D9" w:themeFill="background1" w:themeFillShade="D9"/>
            <w:vAlign w:val="center"/>
          </w:tcPr>
          <w:p w14:paraId="49D04D64" w14:textId="77777777" w:rsidR="006E15F4" w:rsidRPr="00953F7D" w:rsidRDefault="006E15F4" w:rsidP="00D42FCE">
            <w:pPr>
              <w:ind w:left="0" w:firstLine="0"/>
              <w:jc w:val="both"/>
            </w:pPr>
            <w:r w:rsidRPr="00953F7D">
              <w:t>Additional requirements, of which</w:t>
            </w:r>
          </w:p>
        </w:tc>
        <w:tc>
          <w:tcPr>
            <w:tcW w:w="1636" w:type="dxa"/>
            <w:shd w:val="clear" w:color="auto" w:fill="D9D9D9" w:themeFill="background1" w:themeFillShade="D9"/>
            <w:vAlign w:val="center"/>
          </w:tcPr>
          <w:p w14:paraId="49D04D65" w14:textId="77777777" w:rsidR="006E15F4" w:rsidRPr="00953F7D" w:rsidRDefault="006E15F4" w:rsidP="00F924FC"/>
        </w:tc>
        <w:tc>
          <w:tcPr>
            <w:tcW w:w="1474" w:type="dxa"/>
            <w:shd w:val="clear" w:color="auto" w:fill="D9D9D9" w:themeFill="background1" w:themeFillShade="D9"/>
            <w:vAlign w:val="center"/>
          </w:tcPr>
          <w:p w14:paraId="49D04D66" w14:textId="77777777" w:rsidR="006E15F4" w:rsidRPr="00953F7D" w:rsidRDefault="006E15F4" w:rsidP="00F924FC"/>
        </w:tc>
      </w:tr>
      <w:tr w:rsidR="00CA127B" w:rsidRPr="00953F7D" w14:paraId="49D04D6C" w14:textId="77777777" w:rsidTr="003C256A">
        <w:tc>
          <w:tcPr>
            <w:tcW w:w="531" w:type="dxa"/>
          </w:tcPr>
          <w:p w14:paraId="49D04D68" w14:textId="77777777" w:rsidR="006E15F4" w:rsidRPr="00953F7D" w:rsidRDefault="006E15F4" w:rsidP="003C256A">
            <w:r w:rsidRPr="00953F7D">
              <w:t>13</w:t>
            </w:r>
          </w:p>
        </w:tc>
        <w:tc>
          <w:tcPr>
            <w:tcW w:w="4779" w:type="dxa"/>
            <w:vAlign w:val="center"/>
          </w:tcPr>
          <w:p w14:paraId="49D04D69" w14:textId="77777777" w:rsidR="006E15F4" w:rsidRPr="00953F7D" w:rsidRDefault="00AD45AC" w:rsidP="00AD45AC">
            <w:pPr>
              <w:ind w:left="212" w:firstLine="0"/>
              <w:jc w:val="both"/>
              <w:rPr>
                <w:i/>
              </w:rPr>
            </w:pPr>
            <w:r w:rsidRPr="00953F7D">
              <w:rPr>
                <w:i/>
              </w:rPr>
              <w:t>o</w:t>
            </w:r>
            <w:r w:rsidR="006E15F4" w:rsidRPr="00953F7D">
              <w:rPr>
                <w:i/>
              </w:rPr>
              <w:t>utflows related to derivatives exposures and other collateral requirements</w:t>
            </w:r>
          </w:p>
        </w:tc>
        <w:tc>
          <w:tcPr>
            <w:tcW w:w="1636" w:type="dxa"/>
            <w:vAlign w:val="center"/>
          </w:tcPr>
          <w:p w14:paraId="49D04D6A" w14:textId="77777777" w:rsidR="006E15F4" w:rsidRPr="00953F7D" w:rsidRDefault="006E15F4" w:rsidP="00F924FC"/>
        </w:tc>
        <w:tc>
          <w:tcPr>
            <w:tcW w:w="1474" w:type="dxa"/>
            <w:vAlign w:val="center"/>
          </w:tcPr>
          <w:p w14:paraId="49D04D6B" w14:textId="77777777" w:rsidR="006E15F4" w:rsidRPr="00953F7D" w:rsidRDefault="006E15F4" w:rsidP="00F924FC"/>
        </w:tc>
      </w:tr>
      <w:tr w:rsidR="00CA127B" w:rsidRPr="00953F7D" w14:paraId="49D04D71" w14:textId="77777777" w:rsidTr="003C256A">
        <w:tc>
          <w:tcPr>
            <w:tcW w:w="531" w:type="dxa"/>
          </w:tcPr>
          <w:p w14:paraId="49D04D6D" w14:textId="77777777" w:rsidR="006E15F4" w:rsidRPr="00953F7D" w:rsidRDefault="006E15F4" w:rsidP="003C256A">
            <w:r w:rsidRPr="00953F7D">
              <w:t>14</w:t>
            </w:r>
          </w:p>
        </w:tc>
        <w:tc>
          <w:tcPr>
            <w:tcW w:w="4779" w:type="dxa"/>
            <w:vAlign w:val="center"/>
          </w:tcPr>
          <w:p w14:paraId="49D04D6E" w14:textId="77777777" w:rsidR="006E15F4" w:rsidRPr="00953F7D" w:rsidRDefault="00AD45AC" w:rsidP="00AD45AC">
            <w:pPr>
              <w:ind w:left="212" w:firstLine="0"/>
              <w:jc w:val="both"/>
              <w:rPr>
                <w:i/>
              </w:rPr>
            </w:pPr>
            <w:r w:rsidRPr="00953F7D">
              <w:rPr>
                <w:i/>
              </w:rPr>
              <w:t>o</w:t>
            </w:r>
            <w:r w:rsidR="006E15F4" w:rsidRPr="00953F7D">
              <w:rPr>
                <w:i/>
              </w:rPr>
              <w:t>utflows related to loss of funding on debt products</w:t>
            </w:r>
          </w:p>
        </w:tc>
        <w:tc>
          <w:tcPr>
            <w:tcW w:w="1636" w:type="dxa"/>
            <w:vAlign w:val="center"/>
          </w:tcPr>
          <w:p w14:paraId="49D04D6F" w14:textId="77777777" w:rsidR="006E15F4" w:rsidRPr="00953F7D" w:rsidRDefault="006E15F4" w:rsidP="00F924FC"/>
        </w:tc>
        <w:tc>
          <w:tcPr>
            <w:tcW w:w="1474" w:type="dxa"/>
            <w:vAlign w:val="center"/>
          </w:tcPr>
          <w:p w14:paraId="49D04D70" w14:textId="77777777" w:rsidR="006E15F4" w:rsidRPr="00953F7D" w:rsidRDefault="006E15F4" w:rsidP="00F924FC"/>
        </w:tc>
      </w:tr>
      <w:tr w:rsidR="00CA127B" w:rsidRPr="00953F7D" w14:paraId="49D04D76" w14:textId="77777777" w:rsidTr="003C256A">
        <w:tc>
          <w:tcPr>
            <w:tcW w:w="531" w:type="dxa"/>
          </w:tcPr>
          <w:p w14:paraId="49D04D72" w14:textId="77777777" w:rsidR="006E15F4" w:rsidRPr="00953F7D" w:rsidRDefault="006E15F4" w:rsidP="003C256A">
            <w:r w:rsidRPr="00953F7D">
              <w:t>15</w:t>
            </w:r>
          </w:p>
        </w:tc>
        <w:tc>
          <w:tcPr>
            <w:tcW w:w="4779" w:type="dxa"/>
            <w:vAlign w:val="center"/>
          </w:tcPr>
          <w:p w14:paraId="49D04D73" w14:textId="77777777" w:rsidR="006E15F4" w:rsidRPr="00953F7D" w:rsidRDefault="00AD45AC" w:rsidP="00AD45AC">
            <w:pPr>
              <w:ind w:left="212" w:firstLine="0"/>
              <w:jc w:val="both"/>
              <w:rPr>
                <w:i/>
              </w:rPr>
            </w:pPr>
            <w:r w:rsidRPr="00953F7D">
              <w:rPr>
                <w:i/>
              </w:rPr>
              <w:t>c</w:t>
            </w:r>
            <w:r w:rsidR="006E15F4" w:rsidRPr="00953F7D">
              <w:rPr>
                <w:i/>
              </w:rPr>
              <w:t>redit and liquidity facilities</w:t>
            </w:r>
          </w:p>
        </w:tc>
        <w:tc>
          <w:tcPr>
            <w:tcW w:w="1636" w:type="dxa"/>
            <w:vAlign w:val="center"/>
          </w:tcPr>
          <w:p w14:paraId="49D04D74" w14:textId="77777777" w:rsidR="006E15F4" w:rsidRPr="00953F7D" w:rsidRDefault="006E15F4" w:rsidP="00F924FC"/>
        </w:tc>
        <w:tc>
          <w:tcPr>
            <w:tcW w:w="1474" w:type="dxa"/>
            <w:vAlign w:val="center"/>
          </w:tcPr>
          <w:p w14:paraId="49D04D75" w14:textId="77777777" w:rsidR="006E15F4" w:rsidRPr="00953F7D" w:rsidRDefault="006E15F4" w:rsidP="00F924FC"/>
        </w:tc>
      </w:tr>
      <w:tr w:rsidR="006E15F4" w:rsidRPr="00953F7D" w14:paraId="49D04D7B" w14:textId="77777777" w:rsidTr="003C256A">
        <w:tc>
          <w:tcPr>
            <w:tcW w:w="531" w:type="dxa"/>
            <w:shd w:val="clear" w:color="auto" w:fill="D9D9D9" w:themeFill="background1" w:themeFillShade="D9"/>
          </w:tcPr>
          <w:p w14:paraId="49D04D77" w14:textId="77777777" w:rsidR="006E15F4" w:rsidRPr="00953F7D" w:rsidRDefault="006E15F4" w:rsidP="003C256A">
            <w:r w:rsidRPr="00953F7D">
              <w:t>16</w:t>
            </w:r>
          </w:p>
        </w:tc>
        <w:tc>
          <w:tcPr>
            <w:tcW w:w="4779" w:type="dxa"/>
            <w:shd w:val="clear" w:color="auto" w:fill="D9D9D9" w:themeFill="background1" w:themeFillShade="D9"/>
            <w:vAlign w:val="center"/>
          </w:tcPr>
          <w:p w14:paraId="49D04D78" w14:textId="77777777" w:rsidR="006E15F4" w:rsidRPr="00953F7D" w:rsidRDefault="006E15F4" w:rsidP="00D42FCE">
            <w:pPr>
              <w:ind w:left="0" w:firstLine="0"/>
              <w:jc w:val="both"/>
            </w:pPr>
            <w:r w:rsidRPr="00953F7D">
              <w:t>Other contractual funding obligations</w:t>
            </w:r>
          </w:p>
        </w:tc>
        <w:tc>
          <w:tcPr>
            <w:tcW w:w="1636" w:type="dxa"/>
            <w:shd w:val="clear" w:color="auto" w:fill="D9D9D9" w:themeFill="background1" w:themeFillShade="D9"/>
            <w:vAlign w:val="center"/>
          </w:tcPr>
          <w:p w14:paraId="49D04D79" w14:textId="77777777" w:rsidR="006E15F4" w:rsidRPr="00953F7D" w:rsidRDefault="006E15F4" w:rsidP="00F924FC"/>
        </w:tc>
        <w:tc>
          <w:tcPr>
            <w:tcW w:w="1474" w:type="dxa"/>
            <w:shd w:val="clear" w:color="auto" w:fill="D9D9D9" w:themeFill="background1" w:themeFillShade="D9"/>
            <w:vAlign w:val="center"/>
          </w:tcPr>
          <w:p w14:paraId="49D04D7A" w14:textId="77777777" w:rsidR="006E15F4" w:rsidRPr="00953F7D" w:rsidRDefault="006E15F4" w:rsidP="00F924FC"/>
        </w:tc>
      </w:tr>
      <w:tr w:rsidR="006E15F4" w:rsidRPr="00953F7D" w14:paraId="49D04D80" w14:textId="77777777" w:rsidTr="003C256A">
        <w:tc>
          <w:tcPr>
            <w:tcW w:w="531" w:type="dxa"/>
            <w:shd w:val="clear" w:color="auto" w:fill="D9D9D9" w:themeFill="background1" w:themeFillShade="D9"/>
          </w:tcPr>
          <w:p w14:paraId="49D04D7C" w14:textId="77777777" w:rsidR="006E15F4" w:rsidRPr="00953F7D" w:rsidRDefault="006E15F4" w:rsidP="003C256A">
            <w:r w:rsidRPr="00953F7D">
              <w:t>17</w:t>
            </w:r>
          </w:p>
        </w:tc>
        <w:tc>
          <w:tcPr>
            <w:tcW w:w="4779" w:type="dxa"/>
            <w:shd w:val="clear" w:color="auto" w:fill="D9D9D9" w:themeFill="background1" w:themeFillShade="D9"/>
            <w:vAlign w:val="center"/>
          </w:tcPr>
          <w:p w14:paraId="49D04D7D" w14:textId="77777777" w:rsidR="006E15F4" w:rsidRPr="00953F7D" w:rsidRDefault="006E15F4" w:rsidP="00D42FCE">
            <w:pPr>
              <w:ind w:left="0" w:firstLine="0"/>
              <w:jc w:val="both"/>
            </w:pPr>
            <w:r w:rsidRPr="00953F7D">
              <w:t>Other contingent funding obligations</w:t>
            </w:r>
          </w:p>
        </w:tc>
        <w:tc>
          <w:tcPr>
            <w:tcW w:w="1636" w:type="dxa"/>
            <w:shd w:val="clear" w:color="auto" w:fill="D9D9D9" w:themeFill="background1" w:themeFillShade="D9"/>
            <w:vAlign w:val="center"/>
          </w:tcPr>
          <w:p w14:paraId="49D04D7E" w14:textId="77777777" w:rsidR="006E15F4" w:rsidRPr="00953F7D" w:rsidRDefault="006E15F4" w:rsidP="00F924FC"/>
        </w:tc>
        <w:tc>
          <w:tcPr>
            <w:tcW w:w="1474" w:type="dxa"/>
            <w:shd w:val="clear" w:color="auto" w:fill="D9D9D9" w:themeFill="background1" w:themeFillShade="D9"/>
            <w:vAlign w:val="center"/>
          </w:tcPr>
          <w:p w14:paraId="49D04D7F" w14:textId="77777777" w:rsidR="006E15F4" w:rsidRPr="00953F7D" w:rsidRDefault="006E15F4" w:rsidP="00F924FC"/>
        </w:tc>
      </w:tr>
      <w:tr w:rsidR="006E15F4" w:rsidRPr="00953F7D" w14:paraId="49D04D85" w14:textId="77777777" w:rsidTr="003C256A">
        <w:tc>
          <w:tcPr>
            <w:tcW w:w="531" w:type="dxa"/>
            <w:shd w:val="clear" w:color="auto" w:fill="D9D9D9" w:themeFill="background1" w:themeFillShade="D9"/>
          </w:tcPr>
          <w:p w14:paraId="49D04D81" w14:textId="77777777" w:rsidR="006E15F4" w:rsidRPr="00953F7D" w:rsidRDefault="006E15F4" w:rsidP="003C256A">
            <w:r w:rsidRPr="00953F7D">
              <w:t>18</w:t>
            </w:r>
          </w:p>
        </w:tc>
        <w:tc>
          <w:tcPr>
            <w:tcW w:w="4779" w:type="dxa"/>
            <w:shd w:val="clear" w:color="auto" w:fill="D9D9D9" w:themeFill="background1" w:themeFillShade="D9"/>
            <w:vAlign w:val="center"/>
          </w:tcPr>
          <w:p w14:paraId="49D04D82" w14:textId="77777777" w:rsidR="006E15F4" w:rsidRPr="00953F7D" w:rsidRDefault="006E15F4" w:rsidP="00D42FCE">
            <w:pPr>
              <w:jc w:val="both"/>
              <w:rPr>
                <w:b/>
              </w:rPr>
            </w:pPr>
            <w:r w:rsidRPr="00953F7D">
              <w:rPr>
                <w:b/>
              </w:rPr>
              <w:t>Total cash outflows</w:t>
            </w:r>
          </w:p>
        </w:tc>
        <w:tc>
          <w:tcPr>
            <w:tcW w:w="1636" w:type="dxa"/>
            <w:shd w:val="thinHorzCross" w:color="auto" w:fill="D9D9D9" w:themeFill="background1" w:themeFillShade="D9"/>
            <w:vAlign w:val="center"/>
          </w:tcPr>
          <w:p w14:paraId="49D04D83" w14:textId="77777777" w:rsidR="006E15F4" w:rsidRPr="00953F7D" w:rsidRDefault="006E15F4" w:rsidP="00F924FC"/>
        </w:tc>
        <w:tc>
          <w:tcPr>
            <w:tcW w:w="1474" w:type="dxa"/>
            <w:shd w:val="clear" w:color="auto" w:fill="D9D9D9" w:themeFill="background1" w:themeFillShade="D9"/>
            <w:vAlign w:val="center"/>
          </w:tcPr>
          <w:p w14:paraId="49D04D84" w14:textId="77777777" w:rsidR="006E15F4" w:rsidRPr="00953F7D" w:rsidRDefault="006E15F4" w:rsidP="00F924FC"/>
        </w:tc>
      </w:tr>
    </w:tbl>
    <w:p w14:paraId="49D04D86" w14:textId="77777777" w:rsidR="00A94D27" w:rsidRDefault="00A94D27">
      <w:r>
        <w:br w:type="page"/>
      </w:r>
    </w:p>
    <w:tbl>
      <w:tblPr>
        <w:tblStyle w:val="TableGrid"/>
        <w:tblW w:w="0" w:type="auto"/>
        <w:tblInd w:w="108" w:type="dxa"/>
        <w:tblLook w:val="04A0" w:firstRow="1" w:lastRow="0" w:firstColumn="1" w:lastColumn="0" w:noHBand="0" w:noVBand="1"/>
      </w:tblPr>
      <w:tblGrid>
        <w:gridCol w:w="527"/>
        <w:gridCol w:w="4639"/>
        <w:gridCol w:w="1568"/>
        <w:gridCol w:w="1460"/>
      </w:tblGrid>
      <w:tr w:rsidR="00CA127B" w:rsidRPr="00953F7D" w14:paraId="49D04D8A" w14:textId="77777777" w:rsidTr="004A5161">
        <w:tc>
          <w:tcPr>
            <w:tcW w:w="5310" w:type="dxa"/>
            <w:gridSpan w:val="2"/>
            <w:shd w:val="clear" w:color="auto" w:fill="BFBFBF" w:themeFill="background1" w:themeFillShade="BF"/>
            <w:vAlign w:val="center"/>
          </w:tcPr>
          <w:p w14:paraId="49D04D87" w14:textId="77777777" w:rsidR="006E15F4" w:rsidRPr="00953F7D" w:rsidRDefault="006E15F4" w:rsidP="009C64F4">
            <w:pPr>
              <w:ind w:left="0" w:firstLine="0"/>
              <w:jc w:val="both"/>
              <w:rPr>
                <w:b/>
              </w:rPr>
            </w:pPr>
            <w:r w:rsidRPr="00953F7D">
              <w:rPr>
                <w:b/>
              </w:rPr>
              <w:t>Cash inflows</w:t>
            </w:r>
          </w:p>
        </w:tc>
        <w:tc>
          <w:tcPr>
            <w:tcW w:w="1636" w:type="dxa"/>
            <w:shd w:val="clear" w:color="auto" w:fill="BFBFBF" w:themeFill="background1" w:themeFillShade="BF"/>
            <w:vAlign w:val="center"/>
          </w:tcPr>
          <w:p w14:paraId="49D04D88" w14:textId="77777777" w:rsidR="006E15F4" w:rsidRPr="00953F7D" w:rsidRDefault="006E15F4" w:rsidP="00F924FC"/>
        </w:tc>
        <w:tc>
          <w:tcPr>
            <w:tcW w:w="1474" w:type="dxa"/>
            <w:shd w:val="clear" w:color="auto" w:fill="BFBFBF" w:themeFill="background1" w:themeFillShade="BF"/>
            <w:vAlign w:val="center"/>
          </w:tcPr>
          <w:p w14:paraId="49D04D89" w14:textId="77777777" w:rsidR="006E15F4" w:rsidRPr="00953F7D" w:rsidRDefault="006E15F4" w:rsidP="00F924FC"/>
        </w:tc>
      </w:tr>
      <w:tr w:rsidR="006E15F4" w:rsidRPr="00953F7D" w14:paraId="49D04D8F" w14:textId="77777777" w:rsidTr="003C256A">
        <w:tc>
          <w:tcPr>
            <w:tcW w:w="531" w:type="dxa"/>
            <w:shd w:val="clear" w:color="auto" w:fill="D9D9D9" w:themeFill="background1" w:themeFillShade="D9"/>
          </w:tcPr>
          <w:p w14:paraId="49D04D8B" w14:textId="77777777" w:rsidR="006E15F4" w:rsidRPr="00953F7D" w:rsidRDefault="006E15F4" w:rsidP="003C256A">
            <w:r w:rsidRPr="00953F7D">
              <w:t>19</w:t>
            </w:r>
          </w:p>
        </w:tc>
        <w:tc>
          <w:tcPr>
            <w:tcW w:w="4779" w:type="dxa"/>
            <w:shd w:val="clear" w:color="auto" w:fill="D9D9D9" w:themeFill="background1" w:themeFillShade="D9"/>
            <w:vAlign w:val="center"/>
          </w:tcPr>
          <w:p w14:paraId="49D04D8C" w14:textId="77777777" w:rsidR="006E15F4" w:rsidRPr="00953F7D" w:rsidRDefault="006E15F4" w:rsidP="00D42FCE">
            <w:pPr>
              <w:jc w:val="both"/>
            </w:pPr>
            <w:r w:rsidRPr="00953F7D">
              <w:t>Secured lending (e</w:t>
            </w:r>
            <w:r w:rsidR="006D2758" w:rsidRPr="00953F7D">
              <w:t>.</w:t>
            </w:r>
            <w:r w:rsidRPr="00953F7D">
              <w:t>g. reverse repos)</w:t>
            </w:r>
          </w:p>
        </w:tc>
        <w:tc>
          <w:tcPr>
            <w:tcW w:w="1636" w:type="dxa"/>
            <w:shd w:val="clear" w:color="auto" w:fill="D9D9D9" w:themeFill="background1" w:themeFillShade="D9"/>
            <w:vAlign w:val="center"/>
          </w:tcPr>
          <w:p w14:paraId="49D04D8D" w14:textId="77777777" w:rsidR="006E15F4" w:rsidRPr="00953F7D" w:rsidRDefault="006E15F4" w:rsidP="00F924FC"/>
        </w:tc>
        <w:tc>
          <w:tcPr>
            <w:tcW w:w="1474" w:type="dxa"/>
            <w:shd w:val="clear" w:color="auto" w:fill="D9D9D9" w:themeFill="background1" w:themeFillShade="D9"/>
            <w:vAlign w:val="center"/>
          </w:tcPr>
          <w:p w14:paraId="49D04D8E" w14:textId="77777777" w:rsidR="006E15F4" w:rsidRPr="00953F7D" w:rsidRDefault="006E15F4" w:rsidP="00F924FC"/>
        </w:tc>
      </w:tr>
      <w:tr w:rsidR="006E15F4" w:rsidRPr="00953F7D" w14:paraId="49D04D94" w14:textId="77777777" w:rsidTr="003C256A">
        <w:tc>
          <w:tcPr>
            <w:tcW w:w="531" w:type="dxa"/>
            <w:shd w:val="clear" w:color="auto" w:fill="D9D9D9" w:themeFill="background1" w:themeFillShade="D9"/>
          </w:tcPr>
          <w:p w14:paraId="49D04D90" w14:textId="77777777" w:rsidR="006E15F4" w:rsidRPr="00953F7D" w:rsidRDefault="006E15F4" w:rsidP="003C256A">
            <w:r w:rsidRPr="00953F7D">
              <w:t>20</w:t>
            </w:r>
          </w:p>
        </w:tc>
        <w:tc>
          <w:tcPr>
            <w:tcW w:w="4779" w:type="dxa"/>
            <w:shd w:val="clear" w:color="auto" w:fill="D9D9D9" w:themeFill="background1" w:themeFillShade="D9"/>
            <w:vAlign w:val="center"/>
          </w:tcPr>
          <w:p w14:paraId="49D04D91" w14:textId="77777777" w:rsidR="006E15F4" w:rsidRPr="00953F7D" w:rsidRDefault="006E15F4" w:rsidP="00D42FCE">
            <w:pPr>
              <w:jc w:val="both"/>
            </w:pPr>
            <w:r w:rsidRPr="00953F7D">
              <w:t>Inflows from fully performing exposures</w:t>
            </w:r>
          </w:p>
        </w:tc>
        <w:tc>
          <w:tcPr>
            <w:tcW w:w="1636" w:type="dxa"/>
            <w:shd w:val="clear" w:color="auto" w:fill="D9D9D9" w:themeFill="background1" w:themeFillShade="D9"/>
            <w:vAlign w:val="center"/>
          </w:tcPr>
          <w:p w14:paraId="49D04D92" w14:textId="77777777" w:rsidR="006E15F4" w:rsidRPr="00953F7D" w:rsidRDefault="006E15F4" w:rsidP="00F924FC"/>
        </w:tc>
        <w:tc>
          <w:tcPr>
            <w:tcW w:w="1474" w:type="dxa"/>
            <w:shd w:val="clear" w:color="auto" w:fill="D9D9D9" w:themeFill="background1" w:themeFillShade="D9"/>
            <w:vAlign w:val="center"/>
          </w:tcPr>
          <w:p w14:paraId="49D04D93" w14:textId="77777777" w:rsidR="006E15F4" w:rsidRPr="00953F7D" w:rsidRDefault="006E15F4" w:rsidP="00F924FC"/>
        </w:tc>
      </w:tr>
      <w:tr w:rsidR="006E15F4" w:rsidRPr="00953F7D" w14:paraId="49D04D99" w14:textId="77777777" w:rsidTr="003C256A">
        <w:tc>
          <w:tcPr>
            <w:tcW w:w="531" w:type="dxa"/>
            <w:shd w:val="clear" w:color="auto" w:fill="D9D9D9" w:themeFill="background1" w:themeFillShade="D9"/>
          </w:tcPr>
          <w:p w14:paraId="49D04D95" w14:textId="77777777" w:rsidR="006E15F4" w:rsidRPr="00953F7D" w:rsidRDefault="006E15F4" w:rsidP="003C256A">
            <w:r w:rsidRPr="00953F7D">
              <w:t>21</w:t>
            </w:r>
          </w:p>
        </w:tc>
        <w:tc>
          <w:tcPr>
            <w:tcW w:w="4779" w:type="dxa"/>
            <w:shd w:val="clear" w:color="auto" w:fill="D9D9D9" w:themeFill="background1" w:themeFillShade="D9"/>
            <w:vAlign w:val="center"/>
          </w:tcPr>
          <w:p w14:paraId="49D04D96" w14:textId="77777777" w:rsidR="006E15F4" w:rsidRPr="00953F7D" w:rsidRDefault="006E15F4" w:rsidP="00D42FCE">
            <w:pPr>
              <w:jc w:val="both"/>
            </w:pPr>
            <w:r w:rsidRPr="00953F7D">
              <w:t>Other cash inflows</w:t>
            </w:r>
          </w:p>
        </w:tc>
        <w:tc>
          <w:tcPr>
            <w:tcW w:w="1636" w:type="dxa"/>
            <w:shd w:val="clear" w:color="auto" w:fill="D9D9D9" w:themeFill="background1" w:themeFillShade="D9"/>
            <w:vAlign w:val="center"/>
          </w:tcPr>
          <w:p w14:paraId="49D04D97" w14:textId="77777777" w:rsidR="006E15F4" w:rsidRPr="00953F7D" w:rsidRDefault="006E15F4" w:rsidP="00F924FC"/>
        </w:tc>
        <w:tc>
          <w:tcPr>
            <w:tcW w:w="1474" w:type="dxa"/>
            <w:shd w:val="clear" w:color="auto" w:fill="D9D9D9" w:themeFill="background1" w:themeFillShade="D9"/>
            <w:vAlign w:val="center"/>
          </w:tcPr>
          <w:p w14:paraId="49D04D98" w14:textId="77777777" w:rsidR="006E15F4" w:rsidRPr="00953F7D" w:rsidRDefault="006E15F4" w:rsidP="00F924FC"/>
        </w:tc>
      </w:tr>
      <w:tr w:rsidR="006E15F4" w:rsidRPr="00953F7D" w14:paraId="49D04D9E" w14:textId="77777777" w:rsidTr="003C256A">
        <w:tc>
          <w:tcPr>
            <w:tcW w:w="531" w:type="dxa"/>
            <w:tcBorders>
              <w:bottom w:val="nil"/>
            </w:tcBorders>
            <w:shd w:val="clear" w:color="auto" w:fill="D9D9D9" w:themeFill="background1" w:themeFillShade="D9"/>
          </w:tcPr>
          <w:p w14:paraId="49D04D9A" w14:textId="77777777" w:rsidR="006E15F4" w:rsidRPr="00953F7D" w:rsidRDefault="006E15F4" w:rsidP="003C256A">
            <w:r w:rsidRPr="00953F7D">
              <w:t>22</w:t>
            </w:r>
          </w:p>
        </w:tc>
        <w:tc>
          <w:tcPr>
            <w:tcW w:w="4779" w:type="dxa"/>
            <w:tcBorders>
              <w:bottom w:val="nil"/>
            </w:tcBorders>
            <w:shd w:val="clear" w:color="auto" w:fill="D9D9D9" w:themeFill="background1" w:themeFillShade="D9"/>
            <w:vAlign w:val="center"/>
          </w:tcPr>
          <w:p w14:paraId="49D04D9B" w14:textId="77777777" w:rsidR="006E15F4" w:rsidRPr="00953F7D" w:rsidRDefault="006E15F4" w:rsidP="00D42FCE">
            <w:pPr>
              <w:jc w:val="both"/>
            </w:pPr>
            <w:r w:rsidRPr="00953F7D">
              <w:t>Total cash inflows</w:t>
            </w:r>
          </w:p>
        </w:tc>
        <w:tc>
          <w:tcPr>
            <w:tcW w:w="1636" w:type="dxa"/>
            <w:tcBorders>
              <w:bottom w:val="nil"/>
            </w:tcBorders>
            <w:shd w:val="clear" w:color="auto" w:fill="D9D9D9" w:themeFill="background1" w:themeFillShade="D9"/>
            <w:vAlign w:val="center"/>
          </w:tcPr>
          <w:p w14:paraId="49D04D9C" w14:textId="77777777" w:rsidR="006E15F4" w:rsidRPr="00953F7D" w:rsidRDefault="006E15F4" w:rsidP="00F924FC"/>
        </w:tc>
        <w:tc>
          <w:tcPr>
            <w:tcW w:w="1474" w:type="dxa"/>
            <w:tcBorders>
              <w:bottom w:val="nil"/>
            </w:tcBorders>
            <w:shd w:val="clear" w:color="auto" w:fill="D9D9D9" w:themeFill="background1" w:themeFillShade="D9"/>
            <w:vAlign w:val="center"/>
          </w:tcPr>
          <w:p w14:paraId="49D04D9D" w14:textId="77777777" w:rsidR="006E15F4" w:rsidRPr="00953F7D" w:rsidRDefault="006E15F4" w:rsidP="00F924FC"/>
        </w:tc>
      </w:tr>
      <w:tr w:rsidR="006E15F4" w:rsidRPr="00953F7D" w14:paraId="49D04DA3" w14:textId="77777777" w:rsidTr="003C256A">
        <w:tc>
          <w:tcPr>
            <w:tcW w:w="531" w:type="dxa"/>
            <w:tcBorders>
              <w:top w:val="nil"/>
              <w:left w:val="single" w:sz="4" w:space="0" w:color="auto"/>
              <w:bottom w:val="single" w:sz="4" w:space="0" w:color="auto"/>
              <w:right w:val="single" w:sz="4" w:space="0" w:color="auto"/>
            </w:tcBorders>
            <w:shd w:val="clear" w:color="auto" w:fill="FFFFFF" w:themeFill="background1"/>
          </w:tcPr>
          <w:p w14:paraId="49D04D9F" w14:textId="77777777" w:rsidR="006E15F4" w:rsidRPr="00953F7D" w:rsidRDefault="006E15F4" w:rsidP="003C256A"/>
        </w:tc>
        <w:tc>
          <w:tcPr>
            <w:tcW w:w="4779" w:type="dxa"/>
            <w:tcBorders>
              <w:top w:val="nil"/>
              <w:left w:val="single" w:sz="4" w:space="0" w:color="auto"/>
              <w:bottom w:val="single" w:sz="4" w:space="0" w:color="auto"/>
              <w:right w:val="single" w:sz="4" w:space="0" w:color="auto"/>
            </w:tcBorders>
            <w:shd w:val="clear" w:color="auto" w:fill="FFFFFF" w:themeFill="background1"/>
            <w:vAlign w:val="center"/>
          </w:tcPr>
          <w:p w14:paraId="49D04DA0" w14:textId="77777777" w:rsidR="006E15F4" w:rsidRPr="00953F7D" w:rsidRDefault="006E15F4" w:rsidP="00D42FCE">
            <w:pPr>
              <w:jc w:val="both"/>
            </w:pPr>
          </w:p>
        </w:tc>
        <w:tc>
          <w:tcPr>
            <w:tcW w:w="1636" w:type="dxa"/>
            <w:tcBorders>
              <w:top w:val="nil"/>
              <w:left w:val="single" w:sz="4" w:space="0" w:color="auto"/>
              <w:bottom w:val="single" w:sz="4" w:space="0" w:color="auto"/>
              <w:right w:val="single" w:sz="4" w:space="0" w:color="auto"/>
            </w:tcBorders>
            <w:shd w:val="clear" w:color="auto" w:fill="FFFFFF" w:themeFill="background1"/>
            <w:vAlign w:val="center"/>
          </w:tcPr>
          <w:p w14:paraId="49D04DA1" w14:textId="77777777" w:rsidR="006E15F4" w:rsidRPr="00953F7D" w:rsidRDefault="006E15F4" w:rsidP="00F924FC"/>
        </w:tc>
        <w:tc>
          <w:tcPr>
            <w:tcW w:w="1474" w:type="dxa"/>
            <w:tcBorders>
              <w:top w:val="nil"/>
              <w:left w:val="single" w:sz="4" w:space="0" w:color="auto"/>
            </w:tcBorders>
            <w:shd w:val="clear" w:color="auto" w:fill="FFFFFF" w:themeFill="background1"/>
            <w:vAlign w:val="center"/>
          </w:tcPr>
          <w:p w14:paraId="49D04DA2" w14:textId="77777777" w:rsidR="006E15F4" w:rsidRPr="00953F7D" w:rsidRDefault="006E15F4" w:rsidP="00DE4EDE">
            <w:pPr>
              <w:ind w:left="0" w:firstLine="0"/>
            </w:pPr>
            <w:r w:rsidRPr="00953F7D">
              <w:t>Total adjusted</w:t>
            </w:r>
            <w:r w:rsidRPr="00953F7D">
              <w:rPr>
                <w:rStyle w:val="FootnoteReference"/>
              </w:rPr>
              <w:footnoteReference w:id="64"/>
            </w:r>
            <w:r w:rsidRPr="00953F7D">
              <w:t xml:space="preserve"> value</w:t>
            </w:r>
          </w:p>
        </w:tc>
      </w:tr>
      <w:tr w:rsidR="00CA127B" w:rsidRPr="00953F7D" w14:paraId="49D04DA8" w14:textId="77777777" w:rsidTr="003C256A">
        <w:tc>
          <w:tcPr>
            <w:tcW w:w="531" w:type="dxa"/>
            <w:tcBorders>
              <w:top w:val="single" w:sz="4" w:space="0" w:color="auto"/>
            </w:tcBorders>
            <w:shd w:val="clear" w:color="auto" w:fill="D9D9D9" w:themeFill="background1" w:themeFillShade="D9"/>
          </w:tcPr>
          <w:p w14:paraId="49D04DA4" w14:textId="77777777" w:rsidR="006E15F4" w:rsidRPr="00953F7D" w:rsidRDefault="006E15F4" w:rsidP="003C256A">
            <w:pPr>
              <w:rPr>
                <w:b/>
              </w:rPr>
            </w:pPr>
            <w:r w:rsidRPr="00953F7D">
              <w:rPr>
                <w:b/>
              </w:rPr>
              <w:t>23</w:t>
            </w:r>
          </w:p>
        </w:tc>
        <w:tc>
          <w:tcPr>
            <w:tcW w:w="4779" w:type="dxa"/>
            <w:tcBorders>
              <w:top w:val="single" w:sz="4" w:space="0" w:color="auto"/>
            </w:tcBorders>
            <w:shd w:val="clear" w:color="auto" w:fill="D9D9D9" w:themeFill="background1" w:themeFillShade="D9"/>
            <w:vAlign w:val="center"/>
          </w:tcPr>
          <w:p w14:paraId="49D04DA5" w14:textId="77777777" w:rsidR="006E15F4" w:rsidRPr="00953F7D" w:rsidRDefault="006E15F4" w:rsidP="00D42FCE">
            <w:pPr>
              <w:jc w:val="both"/>
              <w:rPr>
                <w:b/>
              </w:rPr>
            </w:pPr>
            <w:r w:rsidRPr="00953F7D">
              <w:rPr>
                <w:b/>
              </w:rPr>
              <w:t xml:space="preserve">Total </w:t>
            </w:r>
            <w:r w:rsidR="00A90EDD" w:rsidRPr="00953F7D">
              <w:rPr>
                <w:b/>
              </w:rPr>
              <w:t>liquid assets</w:t>
            </w:r>
          </w:p>
        </w:tc>
        <w:tc>
          <w:tcPr>
            <w:tcW w:w="1636" w:type="dxa"/>
            <w:shd w:val="thinHorzCross" w:color="auto" w:fill="D9D9D9" w:themeFill="background1" w:themeFillShade="D9"/>
            <w:vAlign w:val="center"/>
          </w:tcPr>
          <w:p w14:paraId="49D04DA6" w14:textId="77777777" w:rsidR="006E15F4" w:rsidRPr="00953F7D" w:rsidRDefault="006E15F4" w:rsidP="00F924FC"/>
        </w:tc>
        <w:tc>
          <w:tcPr>
            <w:tcW w:w="1474" w:type="dxa"/>
            <w:shd w:val="clear" w:color="auto" w:fill="D9D9D9" w:themeFill="background1" w:themeFillShade="D9"/>
            <w:vAlign w:val="center"/>
          </w:tcPr>
          <w:p w14:paraId="49D04DA7" w14:textId="77777777" w:rsidR="006E15F4" w:rsidRPr="00953F7D" w:rsidRDefault="006E15F4" w:rsidP="00F924FC"/>
        </w:tc>
      </w:tr>
      <w:tr w:rsidR="006F4530" w:rsidRPr="00953F7D" w14:paraId="49D04DAD" w14:textId="77777777" w:rsidTr="003C256A">
        <w:tc>
          <w:tcPr>
            <w:tcW w:w="531" w:type="dxa"/>
            <w:shd w:val="clear" w:color="auto" w:fill="D9D9D9" w:themeFill="background1" w:themeFillShade="D9"/>
          </w:tcPr>
          <w:p w14:paraId="49D04DA9" w14:textId="77777777" w:rsidR="006E15F4" w:rsidRPr="00953F7D" w:rsidRDefault="006E15F4" w:rsidP="003C256A">
            <w:pPr>
              <w:rPr>
                <w:b/>
              </w:rPr>
            </w:pPr>
            <w:r w:rsidRPr="00953F7D">
              <w:rPr>
                <w:b/>
              </w:rPr>
              <w:t>24</w:t>
            </w:r>
          </w:p>
        </w:tc>
        <w:tc>
          <w:tcPr>
            <w:tcW w:w="4779" w:type="dxa"/>
            <w:shd w:val="clear" w:color="auto" w:fill="D9D9D9" w:themeFill="background1" w:themeFillShade="D9"/>
            <w:vAlign w:val="center"/>
          </w:tcPr>
          <w:p w14:paraId="49D04DAA" w14:textId="77777777" w:rsidR="006E15F4" w:rsidRPr="00953F7D" w:rsidRDefault="006E15F4" w:rsidP="00D42FCE">
            <w:pPr>
              <w:jc w:val="both"/>
              <w:rPr>
                <w:b/>
              </w:rPr>
            </w:pPr>
            <w:r w:rsidRPr="00953F7D">
              <w:rPr>
                <w:b/>
              </w:rPr>
              <w:t>Total net cash outflows</w:t>
            </w:r>
          </w:p>
        </w:tc>
        <w:tc>
          <w:tcPr>
            <w:tcW w:w="1636" w:type="dxa"/>
            <w:shd w:val="thinHorzCross" w:color="auto" w:fill="D9D9D9" w:themeFill="background1" w:themeFillShade="D9"/>
            <w:vAlign w:val="center"/>
          </w:tcPr>
          <w:p w14:paraId="49D04DAB" w14:textId="77777777" w:rsidR="006E15F4" w:rsidRPr="00953F7D" w:rsidRDefault="006E15F4" w:rsidP="00F924FC"/>
        </w:tc>
        <w:tc>
          <w:tcPr>
            <w:tcW w:w="1474" w:type="dxa"/>
            <w:shd w:val="clear" w:color="auto" w:fill="D9D9D9" w:themeFill="background1" w:themeFillShade="D9"/>
            <w:vAlign w:val="center"/>
          </w:tcPr>
          <w:p w14:paraId="49D04DAC" w14:textId="77777777" w:rsidR="006E15F4" w:rsidRPr="00953F7D" w:rsidRDefault="006E15F4" w:rsidP="00F924FC"/>
        </w:tc>
      </w:tr>
      <w:tr w:rsidR="006F4530" w:rsidRPr="00953F7D" w14:paraId="49D04DB2" w14:textId="77777777" w:rsidTr="003C256A">
        <w:tc>
          <w:tcPr>
            <w:tcW w:w="531" w:type="dxa"/>
            <w:shd w:val="clear" w:color="auto" w:fill="D9D9D9" w:themeFill="background1" w:themeFillShade="D9"/>
          </w:tcPr>
          <w:p w14:paraId="49D04DAE" w14:textId="77777777" w:rsidR="006E15F4" w:rsidRPr="00953F7D" w:rsidRDefault="006E15F4" w:rsidP="003C256A">
            <w:pPr>
              <w:rPr>
                <w:b/>
              </w:rPr>
            </w:pPr>
            <w:r w:rsidRPr="00953F7D">
              <w:rPr>
                <w:b/>
              </w:rPr>
              <w:t>25</w:t>
            </w:r>
          </w:p>
        </w:tc>
        <w:tc>
          <w:tcPr>
            <w:tcW w:w="4779" w:type="dxa"/>
            <w:shd w:val="clear" w:color="auto" w:fill="D9D9D9" w:themeFill="background1" w:themeFillShade="D9"/>
            <w:vAlign w:val="center"/>
          </w:tcPr>
          <w:p w14:paraId="49D04DAF" w14:textId="77777777" w:rsidR="006E15F4" w:rsidRPr="00953F7D" w:rsidRDefault="006E15F4" w:rsidP="00D42FCE">
            <w:pPr>
              <w:jc w:val="both"/>
              <w:rPr>
                <w:b/>
              </w:rPr>
            </w:pPr>
            <w:r w:rsidRPr="00953F7D">
              <w:rPr>
                <w:b/>
              </w:rPr>
              <w:t>Liquidity Coverage Ratio (%)</w:t>
            </w:r>
          </w:p>
        </w:tc>
        <w:tc>
          <w:tcPr>
            <w:tcW w:w="1636" w:type="dxa"/>
            <w:shd w:val="thinHorzCross" w:color="auto" w:fill="D9D9D9" w:themeFill="background1" w:themeFillShade="D9"/>
            <w:vAlign w:val="center"/>
          </w:tcPr>
          <w:p w14:paraId="49D04DB0" w14:textId="77777777" w:rsidR="006E15F4" w:rsidRPr="00953F7D" w:rsidRDefault="006E15F4" w:rsidP="00F924FC"/>
        </w:tc>
        <w:tc>
          <w:tcPr>
            <w:tcW w:w="1474" w:type="dxa"/>
            <w:shd w:val="clear" w:color="auto" w:fill="D9D9D9" w:themeFill="background1" w:themeFillShade="D9"/>
            <w:vAlign w:val="center"/>
          </w:tcPr>
          <w:p w14:paraId="49D04DB1" w14:textId="77777777" w:rsidR="006E15F4" w:rsidRPr="00953F7D" w:rsidRDefault="006E15F4" w:rsidP="00F924FC"/>
        </w:tc>
      </w:tr>
    </w:tbl>
    <w:p w14:paraId="49D04DB3" w14:textId="77777777" w:rsidR="00CA127B" w:rsidRPr="00953F7D" w:rsidRDefault="00CA127B" w:rsidP="00CA127B">
      <w:pPr>
        <w:rPr>
          <w:b/>
        </w:rPr>
      </w:pPr>
    </w:p>
    <w:p w14:paraId="49D04DB4" w14:textId="77777777" w:rsidR="00CA127B" w:rsidRPr="00953F7D" w:rsidRDefault="00CA127B" w:rsidP="0024463D">
      <w:pPr>
        <w:jc w:val="both"/>
        <w:rPr>
          <w:b/>
        </w:rPr>
      </w:pPr>
      <w:r w:rsidRPr="00953F7D">
        <w:rPr>
          <w:b/>
        </w:rPr>
        <w:t>Guidelines for the LCR disclosure template</w:t>
      </w:r>
    </w:p>
    <w:p w14:paraId="49D04DB5" w14:textId="77777777" w:rsidR="00E9482F" w:rsidRPr="00953F7D" w:rsidRDefault="00E9482F" w:rsidP="0024463D">
      <w:pPr>
        <w:jc w:val="both"/>
        <w:rPr>
          <w:b/>
        </w:rPr>
      </w:pPr>
    </w:p>
    <w:p w14:paraId="49D04DB6" w14:textId="12511B79" w:rsidR="00CA127B" w:rsidRPr="00953F7D" w:rsidRDefault="00CA127B" w:rsidP="00E9482F">
      <w:pPr>
        <w:pStyle w:val="BodyText"/>
      </w:pPr>
      <w:r w:rsidRPr="00953F7D">
        <w:t xml:space="preserve">Data </w:t>
      </w:r>
      <w:r w:rsidR="00716EA5" w:rsidRPr="00953F7D">
        <w:t xml:space="preserve">in Table 20 </w:t>
      </w:r>
      <w:r w:rsidRPr="00953F7D">
        <w:t xml:space="preserve">must be </w:t>
      </w:r>
      <w:r w:rsidR="00D00251" w:rsidRPr="00953F7D">
        <w:t xml:space="preserve">calculated </w:t>
      </w:r>
      <w:r w:rsidRPr="00953F7D">
        <w:t>as simple averages of daily observations over the previous quarter (i.e. the average is calculated over a period of, typically, 90 days)</w:t>
      </w:r>
      <w:r w:rsidR="00662B58" w:rsidRPr="00953F7D">
        <w:t>.</w:t>
      </w:r>
      <w:r w:rsidRPr="00953F7D">
        <w:t xml:space="preserve"> </w:t>
      </w:r>
    </w:p>
    <w:p w14:paraId="49D04DB7" w14:textId="77777777" w:rsidR="0024463D" w:rsidRPr="00953F7D" w:rsidRDefault="00CA127B" w:rsidP="00E9482F">
      <w:pPr>
        <w:pStyle w:val="BodyText"/>
      </w:pPr>
      <w:r w:rsidRPr="00953F7D">
        <w:t xml:space="preserve">An </w:t>
      </w:r>
      <w:r w:rsidR="00E154AA" w:rsidRPr="00953F7D">
        <w:t xml:space="preserve">LCR </w:t>
      </w:r>
      <w:r w:rsidRPr="00953F7D">
        <w:t xml:space="preserve">ADI must publish the number of data points used in calculating the average figures in Table </w:t>
      </w:r>
      <w:r w:rsidR="0024463D" w:rsidRPr="00953F7D">
        <w:t>20</w:t>
      </w:r>
      <w:r w:rsidRPr="00953F7D">
        <w:t>.</w:t>
      </w:r>
      <w:r w:rsidR="00694D4E" w:rsidRPr="00953F7D">
        <w:t xml:space="preserve"> </w:t>
      </w:r>
    </w:p>
    <w:p w14:paraId="49D04DB8" w14:textId="77777777" w:rsidR="00CA127B" w:rsidRPr="00953F7D" w:rsidRDefault="0024463D" w:rsidP="002F2653">
      <w:pPr>
        <w:pStyle w:val="BodyText"/>
      </w:pPr>
      <w:r w:rsidRPr="00953F7D">
        <w:t xml:space="preserve">In completing Table 20, an </w:t>
      </w:r>
      <w:r w:rsidR="00E154AA" w:rsidRPr="00953F7D">
        <w:t xml:space="preserve">LCR </w:t>
      </w:r>
      <w:r w:rsidRPr="00953F7D">
        <w:t xml:space="preserve">ADI must have regard to Table 20A, which sets out an explanation of each row of Table 20. </w:t>
      </w:r>
    </w:p>
    <w:p w14:paraId="49D04DB9" w14:textId="77777777" w:rsidR="00CA127B" w:rsidRDefault="00CA127B" w:rsidP="000963BD">
      <w:pPr>
        <w:spacing w:before="240"/>
        <w:ind w:firstLine="360"/>
      </w:pPr>
      <w:r w:rsidRPr="00953F7D">
        <w:t xml:space="preserve">Table </w:t>
      </w:r>
      <w:r w:rsidR="001D7589" w:rsidRPr="00953F7D">
        <w:t>20</w:t>
      </w:r>
      <w:r w:rsidRPr="00953F7D">
        <w:t>A: Explanation of each row in the LCR disclosure template</w:t>
      </w:r>
    </w:p>
    <w:p w14:paraId="49D04DBA" w14:textId="77777777" w:rsidR="006F4530" w:rsidRPr="00953F7D" w:rsidRDefault="006F4530" w:rsidP="009C3F64">
      <w:pPr>
        <w:ind w:firstLine="360"/>
      </w:pPr>
    </w:p>
    <w:tbl>
      <w:tblPr>
        <w:tblStyle w:val="TableGrid"/>
        <w:tblW w:w="0" w:type="auto"/>
        <w:tblLook w:val="04A0" w:firstRow="1" w:lastRow="0" w:firstColumn="1" w:lastColumn="0" w:noHBand="0" w:noVBand="1"/>
      </w:tblPr>
      <w:tblGrid>
        <w:gridCol w:w="1030"/>
        <w:gridCol w:w="7272"/>
      </w:tblGrid>
      <w:tr w:rsidR="00CA127B" w:rsidRPr="00953F7D" w14:paraId="49D04DBC" w14:textId="77777777" w:rsidTr="00F924FC">
        <w:trPr>
          <w:trHeight w:val="283"/>
        </w:trPr>
        <w:tc>
          <w:tcPr>
            <w:tcW w:w="9180" w:type="dxa"/>
            <w:gridSpan w:val="2"/>
            <w:shd w:val="clear" w:color="auto" w:fill="D9D9D9" w:themeFill="background1" w:themeFillShade="D9"/>
          </w:tcPr>
          <w:p w14:paraId="49D04DBB" w14:textId="77777777" w:rsidR="00CA127B" w:rsidRPr="00953F7D" w:rsidRDefault="00CA127B" w:rsidP="008D3313">
            <w:pPr>
              <w:spacing w:before="240"/>
              <w:rPr>
                <w:b/>
              </w:rPr>
            </w:pPr>
            <w:r w:rsidRPr="00953F7D">
              <w:rPr>
                <w:b/>
              </w:rPr>
              <w:t>Explanation of each row of the LCR disclosure template</w:t>
            </w:r>
          </w:p>
        </w:tc>
      </w:tr>
      <w:tr w:rsidR="00CA127B" w:rsidRPr="00953F7D" w14:paraId="49D04DBF" w14:textId="77777777" w:rsidTr="00F924FC">
        <w:trPr>
          <w:trHeight w:val="374"/>
        </w:trPr>
        <w:tc>
          <w:tcPr>
            <w:tcW w:w="1014" w:type="dxa"/>
            <w:vAlign w:val="center"/>
          </w:tcPr>
          <w:p w14:paraId="49D04DBD" w14:textId="77777777" w:rsidR="00CA127B" w:rsidRPr="00953F7D" w:rsidRDefault="00CA127B" w:rsidP="001C4F6D">
            <w:pPr>
              <w:ind w:left="0" w:firstLine="0"/>
              <w:rPr>
                <w:b/>
              </w:rPr>
            </w:pPr>
            <w:r w:rsidRPr="00953F7D">
              <w:rPr>
                <w:b/>
              </w:rPr>
              <w:t>Row number</w:t>
            </w:r>
          </w:p>
        </w:tc>
        <w:tc>
          <w:tcPr>
            <w:tcW w:w="8166" w:type="dxa"/>
            <w:vAlign w:val="center"/>
          </w:tcPr>
          <w:p w14:paraId="49D04DBE" w14:textId="77777777" w:rsidR="00CA127B" w:rsidRPr="00953F7D" w:rsidRDefault="00CA127B" w:rsidP="00430119">
            <w:pPr>
              <w:rPr>
                <w:b/>
              </w:rPr>
            </w:pPr>
            <w:r w:rsidRPr="00953F7D">
              <w:rPr>
                <w:b/>
              </w:rPr>
              <w:t>Explanation</w:t>
            </w:r>
          </w:p>
        </w:tc>
      </w:tr>
      <w:tr w:rsidR="00CA127B" w:rsidRPr="00953F7D" w14:paraId="49D04DC2" w14:textId="77777777" w:rsidTr="003C256A">
        <w:trPr>
          <w:trHeight w:val="374"/>
        </w:trPr>
        <w:tc>
          <w:tcPr>
            <w:tcW w:w="1014" w:type="dxa"/>
          </w:tcPr>
          <w:p w14:paraId="49D04DC0" w14:textId="77777777" w:rsidR="00CA127B" w:rsidRPr="00953F7D" w:rsidRDefault="00CA127B" w:rsidP="003C256A">
            <w:r w:rsidRPr="00953F7D">
              <w:t>1</w:t>
            </w:r>
          </w:p>
        </w:tc>
        <w:tc>
          <w:tcPr>
            <w:tcW w:w="8166" w:type="dxa"/>
          </w:tcPr>
          <w:p w14:paraId="49D04DC1" w14:textId="77777777" w:rsidR="00CA127B" w:rsidRPr="00953F7D" w:rsidRDefault="00CA127B" w:rsidP="00D42FCE">
            <w:pPr>
              <w:ind w:left="0" w:firstLine="0"/>
              <w:jc w:val="both"/>
            </w:pPr>
            <w:r w:rsidRPr="00953F7D">
              <w:t xml:space="preserve">Sum of all eligible HQLA, as defined in APS 210, before the application of any limits, excluding assets that do not meet the operational requirements and, where applicable, assets qualifying under alternative liquidity approaches. </w:t>
            </w:r>
          </w:p>
        </w:tc>
      </w:tr>
      <w:tr w:rsidR="00CA127B" w:rsidRPr="00953F7D" w14:paraId="49D04DC5" w14:textId="77777777" w:rsidTr="003C256A">
        <w:trPr>
          <w:trHeight w:val="374"/>
        </w:trPr>
        <w:tc>
          <w:tcPr>
            <w:tcW w:w="1014" w:type="dxa"/>
          </w:tcPr>
          <w:p w14:paraId="49D04DC3" w14:textId="77777777" w:rsidR="00CA127B" w:rsidRPr="00953F7D" w:rsidRDefault="00CA127B" w:rsidP="003C256A">
            <w:r w:rsidRPr="00953F7D">
              <w:t>2</w:t>
            </w:r>
          </w:p>
        </w:tc>
        <w:tc>
          <w:tcPr>
            <w:tcW w:w="8166" w:type="dxa"/>
          </w:tcPr>
          <w:p w14:paraId="49D04DC4" w14:textId="77777777" w:rsidR="00CA127B" w:rsidRPr="00953F7D" w:rsidRDefault="00BB780D" w:rsidP="00D42FCE">
            <w:pPr>
              <w:ind w:left="0" w:firstLine="0"/>
              <w:jc w:val="both"/>
            </w:pPr>
            <w:r w:rsidRPr="00953F7D">
              <w:t>ALA are made available in jurisdictions where there is insufficient supply of HQLA1 (or both HQLA1 and HQLA2) in the domestic currency to meet the aggregate demand of banks with significant exposures in the domestic currency in the LCR framework.</w:t>
            </w:r>
          </w:p>
        </w:tc>
      </w:tr>
      <w:tr w:rsidR="00CA127B" w:rsidRPr="00953F7D" w14:paraId="49D04DC8" w14:textId="77777777" w:rsidTr="003C256A">
        <w:trPr>
          <w:trHeight w:val="374"/>
        </w:trPr>
        <w:tc>
          <w:tcPr>
            <w:tcW w:w="1014" w:type="dxa"/>
          </w:tcPr>
          <w:p w14:paraId="49D04DC6" w14:textId="77777777" w:rsidR="00CA127B" w:rsidRPr="00953F7D" w:rsidRDefault="00CA127B" w:rsidP="003C256A">
            <w:r w:rsidRPr="00953F7D">
              <w:t>3</w:t>
            </w:r>
          </w:p>
        </w:tc>
        <w:tc>
          <w:tcPr>
            <w:tcW w:w="8166" w:type="dxa"/>
          </w:tcPr>
          <w:p w14:paraId="49D04DC7" w14:textId="57F47555" w:rsidR="00CA127B" w:rsidRPr="00953F7D" w:rsidRDefault="00F81782" w:rsidP="00CE3241">
            <w:pPr>
              <w:keepLines/>
              <w:ind w:left="0" w:firstLine="0"/>
              <w:jc w:val="both"/>
            </w:pPr>
            <w:r w:rsidRPr="00CE3241">
              <w:t xml:space="preserve">Liquid assets contained in the RBNZ’s </w:t>
            </w:r>
            <w:r w:rsidRPr="00CE3241">
              <w:rPr>
                <w:i/>
              </w:rPr>
              <w:t>Liquidity Policy – Annex: Liquid Assets – Prudential Supervision Department Document BS13A</w:t>
            </w:r>
            <w:r w:rsidR="00390857" w:rsidRPr="00CE3241">
              <w:rPr>
                <w:i/>
              </w:rPr>
              <w:t xml:space="preserve"> </w:t>
            </w:r>
            <w:r w:rsidR="00390857" w:rsidRPr="004B19DF">
              <w:t>as implemented by the RBNZ from time to time</w:t>
            </w:r>
            <w:r w:rsidRPr="00EF60DA">
              <w:t>.</w:t>
            </w:r>
          </w:p>
        </w:tc>
      </w:tr>
      <w:tr w:rsidR="00CA127B" w:rsidRPr="00953F7D" w14:paraId="49D04DCB" w14:textId="77777777" w:rsidTr="003C256A">
        <w:trPr>
          <w:cantSplit/>
          <w:trHeight w:val="374"/>
        </w:trPr>
        <w:tc>
          <w:tcPr>
            <w:tcW w:w="1014" w:type="dxa"/>
          </w:tcPr>
          <w:p w14:paraId="49D04DC9" w14:textId="77777777" w:rsidR="00CA127B" w:rsidRPr="00953F7D" w:rsidRDefault="00CA127B" w:rsidP="003C256A">
            <w:r w:rsidRPr="00953F7D">
              <w:t>4</w:t>
            </w:r>
          </w:p>
        </w:tc>
        <w:tc>
          <w:tcPr>
            <w:tcW w:w="8166" w:type="dxa"/>
          </w:tcPr>
          <w:p w14:paraId="49D04DCA" w14:textId="77777777" w:rsidR="00CA127B" w:rsidRPr="00953F7D" w:rsidRDefault="00CA127B" w:rsidP="00E577E7">
            <w:pPr>
              <w:ind w:left="-37" w:firstLine="37"/>
              <w:jc w:val="both"/>
            </w:pPr>
            <w:r w:rsidRPr="00953F7D">
              <w:t>Retail deposits and deposits from small business customers are the sum of stable deposits, less stable deposits and any other funding sourced from (i) natural persons and/or (ii) small business customers (as defined</w:t>
            </w:r>
            <w:r w:rsidR="00EB2A93" w:rsidRPr="00953F7D">
              <w:t xml:space="preserve"> in </w:t>
            </w:r>
            <w:r w:rsidR="00C82F8C" w:rsidRPr="00953F7D">
              <w:t xml:space="preserve">paragraph </w:t>
            </w:r>
            <w:r w:rsidR="00EB2A93" w:rsidRPr="00953F7D">
              <w:t xml:space="preserve"> and footnote 6 of Attachment A </w:t>
            </w:r>
            <w:r w:rsidR="00E577E7" w:rsidRPr="00953F7D">
              <w:t xml:space="preserve">to </w:t>
            </w:r>
            <w:r w:rsidR="00EB2A93" w:rsidRPr="00953F7D">
              <w:t xml:space="preserve">APS 210, and paragraphs 117 to 120 of </w:t>
            </w:r>
            <w:r w:rsidR="00EB2A93" w:rsidRPr="00953F7D">
              <w:rPr>
                <w:i/>
              </w:rPr>
              <w:t>Prudential Practice Guide APG 210 Liquidity</w:t>
            </w:r>
            <w:r w:rsidR="00EB2A93" w:rsidRPr="00953F7D">
              <w:t>).</w:t>
            </w:r>
          </w:p>
        </w:tc>
      </w:tr>
      <w:tr w:rsidR="00CA127B" w:rsidRPr="00953F7D" w14:paraId="49D04DCE" w14:textId="77777777" w:rsidTr="003C256A">
        <w:trPr>
          <w:trHeight w:val="374"/>
        </w:trPr>
        <w:tc>
          <w:tcPr>
            <w:tcW w:w="1014" w:type="dxa"/>
          </w:tcPr>
          <w:p w14:paraId="49D04DCC" w14:textId="77777777" w:rsidR="00CA127B" w:rsidRPr="00953F7D" w:rsidRDefault="00CA127B" w:rsidP="003C256A">
            <w:r w:rsidRPr="00953F7D">
              <w:t>5</w:t>
            </w:r>
          </w:p>
        </w:tc>
        <w:tc>
          <w:tcPr>
            <w:tcW w:w="8166" w:type="dxa"/>
          </w:tcPr>
          <w:p w14:paraId="49D04DCD" w14:textId="77777777" w:rsidR="00CA127B" w:rsidRPr="00953F7D" w:rsidRDefault="00CA127B" w:rsidP="004A5161">
            <w:pPr>
              <w:ind w:left="-37" w:firstLine="0"/>
              <w:jc w:val="both"/>
            </w:pPr>
            <w:r w:rsidRPr="00953F7D">
              <w:t xml:space="preserve">Stable deposits include deposits placed with an </w:t>
            </w:r>
            <w:r w:rsidR="00E154AA" w:rsidRPr="00953F7D">
              <w:t xml:space="preserve">LCR </w:t>
            </w:r>
            <w:r w:rsidRPr="00953F7D">
              <w:t>ADI by a natural person and unsecured wholesale funding provided by small business customers, defined as ‘stable’ in APS 210.</w:t>
            </w:r>
          </w:p>
        </w:tc>
      </w:tr>
      <w:tr w:rsidR="00CA127B" w:rsidRPr="00953F7D" w14:paraId="49D04DD1" w14:textId="77777777" w:rsidTr="003C256A">
        <w:trPr>
          <w:trHeight w:val="374"/>
        </w:trPr>
        <w:tc>
          <w:tcPr>
            <w:tcW w:w="1014" w:type="dxa"/>
          </w:tcPr>
          <w:p w14:paraId="49D04DCF" w14:textId="77777777" w:rsidR="00CA127B" w:rsidRPr="00953F7D" w:rsidRDefault="00CA127B" w:rsidP="003C256A">
            <w:r w:rsidRPr="00953F7D">
              <w:t>6</w:t>
            </w:r>
          </w:p>
        </w:tc>
        <w:tc>
          <w:tcPr>
            <w:tcW w:w="8166" w:type="dxa"/>
          </w:tcPr>
          <w:p w14:paraId="49D04DD0" w14:textId="77777777" w:rsidR="00CA127B" w:rsidRPr="00953F7D" w:rsidRDefault="00CA127B" w:rsidP="004A5161">
            <w:pPr>
              <w:ind w:left="-37" w:firstLine="0"/>
              <w:jc w:val="both"/>
            </w:pPr>
            <w:r w:rsidRPr="00953F7D">
              <w:t xml:space="preserve">Less stable deposits include deposits placed with an </w:t>
            </w:r>
            <w:r w:rsidR="00E154AA" w:rsidRPr="00953F7D">
              <w:t xml:space="preserve">LCR </w:t>
            </w:r>
            <w:r w:rsidRPr="00953F7D">
              <w:t>ADI by a natural person and unsecured wholesale funding provided by small business customers, not defined as ‘stable’ in APS 210.</w:t>
            </w:r>
          </w:p>
        </w:tc>
      </w:tr>
      <w:tr w:rsidR="00CA127B" w:rsidRPr="00953F7D" w14:paraId="49D04DD4" w14:textId="77777777" w:rsidTr="003C256A">
        <w:trPr>
          <w:trHeight w:val="374"/>
        </w:trPr>
        <w:tc>
          <w:tcPr>
            <w:tcW w:w="1014" w:type="dxa"/>
          </w:tcPr>
          <w:p w14:paraId="49D04DD2" w14:textId="77777777" w:rsidR="00CA127B" w:rsidRPr="00953F7D" w:rsidRDefault="00CA127B" w:rsidP="003C256A">
            <w:r w:rsidRPr="00953F7D">
              <w:t>7</w:t>
            </w:r>
          </w:p>
        </w:tc>
        <w:tc>
          <w:tcPr>
            <w:tcW w:w="8166" w:type="dxa"/>
          </w:tcPr>
          <w:p w14:paraId="49D04DD3" w14:textId="77777777" w:rsidR="00CA127B" w:rsidRPr="00953F7D" w:rsidRDefault="00CA127B" w:rsidP="004A5161">
            <w:pPr>
              <w:ind w:left="-37" w:firstLine="0"/>
              <w:jc w:val="both"/>
            </w:pPr>
            <w:r w:rsidRPr="00953F7D">
              <w:t>Unsecured wholesale funding is defined as those liabilities and general obligations from customers other than natural persons and small business customers that are not collateralised.</w:t>
            </w:r>
          </w:p>
        </w:tc>
      </w:tr>
      <w:tr w:rsidR="00CA127B" w:rsidRPr="00953F7D" w14:paraId="49D04DD7" w14:textId="77777777" w:rsidTr="003C256A">
        <w:trPr>
          <w:trHeight w:val="374"/>
        </w:trPr>
        <w:tc>
          <w:tcPr>
            <w:tcW w:w="1014" w:type="dxa"/>
          </w:tcPr>
          <w:p w14:paraId="49D04DD5" w14:textId="77777777" w:rsidR="00CA127B" w:rsidRPr="00953F7D" w:rsidRDefault="00CA127B" w:rsidP="003C256A">
            <w:r w:rsidRPr="00953F7D">
              <w:t>8</w:t>
            </w:r>
          </w:p>
        </w:tc>
        <w:tc>
          <w:tcPr>
            <w:tcW w:w="8166" w:type="dxa"/>
          </w:tcPr>
          <w:p w14:paraId="49D04DD6" w14:textId="77777777" w:rsidR="00CA127B" w:rsidRPr="00953F7D" w:rsidRDefault="00CA127B" w:rsidP="00137D52">
            <w:pPr>
              <w:ind w:left="-37" w:firstLine="0"/>
              <w:jc w:val="both"/>
            </w:pPr>
            <w:r w:rsidRPr="00953F7D">
              <w:t xml:space="preserve">Operational deposits include deposits from </w:t>
            </w:r>
            <w:r w:rsidR="00137D52">
              <w:t xml:space="preserve">other </w:t>
            </w:r>
            <w:r w:rsidRPr="00953F7D">
              <w:t>ADI</w:t>
            </w:r>
            <w:r w:rsidR="00137D52">
              <w:t>s</w:t>
            </w:r>
            <w:r w:rsidRPr="00953F7D">
              <w:t xml:space="preserve"> where</w:t>
            </w:r>
            <w:r w:rsidR="00137D52">
              <w:t xml:space="preserve"> those</w:t>
            </w:r>
            <w:r w:rsidRPr="00953F7D">
              <w:t xml:space="preserve"> deposits are required for certain activities (i</w:t>
            </w:r>
            <w:r w:rsidR="00716EA5" w:rsidRPr="00953F7D">
              <w:t>.</w:t>
            </w:r>
            <w:r w:rsidRPr="00953F7D">
              <w:t>e</w:t>
            </w:r>
            <w:r w:rsidR="00716EA5" w:rsidRPr="00953F7D">
              <w:t>.</w:t>
            </w:r>
            <w:r w:rsidRPr="00953F7D">
              <w:t xml:space="preserve"> clearing, custody or cash management activities). Deposits in institutional networks of cooperative banks include deposits of member institutions with the central institution or specialised central service providers.</w:t>
            </w:r>
          </w:p>
        </w:tc>
      </w:tr>
      <w:tr w:rsidR="00CA127B" w:rsidRPr="00953F7D" w14:paraId="49D04DDA" w14:textId="77777777" w:rsidTr="003C256A">
        <w:trPr>
          <w:trHeight w:val="374"/>
        </w:trPr>
        <w:tc>
          <w:tcPr>
            <w:tcW w:w="1014" w:type="dxa"/>
          </w:tcPr>
          <w:p w14:paraId="49D04DD8" w14:textId="77777777" w:rsidR="00CA127B" w:rsidRPr="00953F7D" w:rsidRDefault="00CA127B" w:rsidP="003C256A">
            <w:r w:rsidRPr="00953F7D">
              <w:t>9</w:t>
            </w:r>
          </w:p>
        </w:tc>
        <w:tc>
          <w:tcPr>
            <w:tcW w:w="8166" w:type="dxa"/>
          </w:tcPr>
          <w:p w14:paraId="49D04DD9" w14:textId="77777777" w:rsidR="00CA127B" w:rsidRPr="00953F7D" w:rsidRDefault="00CA127B" w:rsidP="004A5161">
            <w:pPr>
              <w:ind w:left="-37" w:firstLine="0"/>
              <w:jc w:val="both"/>
            </w:pPr>
            <w:r w:rsidRPr="00953F7D">
              <w:t>Non-operational deposits are all other unsecured wholesale deposits, both insured and uninsured.</w:t>
            </w:r>
          </w:p>
        </w:tc>
      </w:tr>
      <w:tr w:rsidR="00CA127B" w:rsidRPr="00953F7D" w14:paraId="49D04DDD" w14:textId="77777777" w:rsidTr="003C256A">
        <w:trPr>
          <w:trHeight w:val="374"/>
        </w:trPr>
        <w:tc>
          <w:tcPr>
            <w:tcW w:w="1014" w:type="dxa"/>
          </w:tcPr>
          <w:p w14:paraId="49D04DDB" w14:textId="77777777" w:rsidR="00CA127B" w:rsidRPr="00953F7D" w:rsidRDefault="00CA127B" w:rsidP="003C256A">
            <w:r w:rsidRPr="00953F7D">
              <w:t>10</w:t>
            </w:r>
          </w:p>
        </w:tc>
        <w:tc>
          <w:tcPr>
            <w:tcW w:w="8166" w:type="dxa"/>
          </w:tcPr>
          <w:p w14:paraId="49D04DDC" w14:textId="77777777" w:rsidR="00CA127B" w:rsidRPr="00953F7D" w:rsidRDefault="00CA127B" w:rsidP="004A5161">
            <w:pPr>
              <w:ind w:left="-37" w:firstLine="0"/>
              <w:jc w:val="both"/>
            </w:pPr>
            <w:r w:rsidRPr="00953F7D">
              <w:t xml:space="preserve">Unsecured debt includes all notes, bonds and other debt securities issued by the </w:t>
            </w:r>
            <w:r w:rsidR="00E154AA" w:rsidRPr="00953F7D">
              <w:t xml:space="preserve">LCR </w:t>
            </w:r>
            <w:r w:rsidRPr="00953F7D">
              <w:t>ADI, regardless of the holder, unless the bond is sold exclusively in the retail market and held in retail accounts.</w:t>
            </w:r>
          </w:p>
        </w:tc>
      </w:tr>
      <w:tr w:rsidR="00CA127B" w:rsidRPr="00953F7D" w14:paraId="49D04DE0" w14:textId="77777777" w:rsidTr="003C256A">
        <w:trPr>
          <w:trHeight w:val="374"/>
        </w:trPr>
        <w:tc>
          <w:tcPr>
            <w:tcW w:w="1014" w:type="dxa"/>
          </w:tcPr>
          <w:p w14:paraId="49D04DDE" w14:textId="77777777" w:rsidR="00CA127B" w:rsidRPr="00953F7D" w:rsidRDefault="00CA127B" w:rsidP="003C256A">
            <w:r w:rsidRPr="00953F7D">
              <w:t>11</w:t>
            </w:r>
          </w:p>
        </w:tc>
        <w:tc>
          <w:tcPr>
            <w:tcW w:w="8166" w:type="dxa"/>
          </w:tcPr>
          <w:p w14:paraId="49D04DDF" w14:textId="77777777" w:rsidR="00CA127B" w:rsidRPr="00953F7D" w:rsidRDefault="00CA127B" w:rsidP="004A5161">
            <w:pPr>
              <w:ind w:left="-37" w:firstLine="0"/>
              <w:jc w:val="both"/>
            </w:pPr>
            <w:r w:rsidRPr="00953F7D">
              <w:t>Secured wholesale funding is defined as all collateralised liabilities and general obligations.</w:t>
            </w:r>
          </w:p>
        </w:tc>
      </w:tr>
      <w:tr w:rsidR="00CA127B" w:rsidRPr="00953F7D" w14:paraId="49D04DE3" w14:textId="77777777" w:rsidTr="003C256A">
        <w:trPr>
          <w:trHeight w:val="374"/>
        </w:trPr>
        <w:tc>
          <w:tcPr>
            <w:tcW w:w="1014" w:type="dxa"/>
          </w:tcPr>
          <w:p w14:paraId="49D04DE1" w14:textId="77777777" w:rsidR="00CA127B" w:rsidRPr="00953F7D" w:rsidRDefault="00CA127B" w:rsidP="003C256A">
            <w:r w:rsidRPr="00953F7D">
              <w:t>12</w:t>
            </w:r>
          </w:p>
        </w:tc>
        <w:tc>
          <w:tcPr>
            <w:tcW w:w="8166" w:type="dxa"/>
          </w:tcPr>
          <w:p w14:paraId="49D04DE2" w14:textId="77777777" w:rsidR="00CA127B" w:rsidRPr="00953F7D" w:rsidRDefault="00CA127B" w:rsidP="004A5161">
            <w:pPr>
              <w:ind w:left="-37" w:firstLine="0"/>
              <w:jc w:val="both"/>
            </w:pPr>
            <w:r w:rsidRPr="00953F7D">
              <w:t>Additional requirements include other off-balance sheet liabilities or obligations.</w:t>
            </w:r>
          </w:p>
        </w:tc>
      </w:tr>
      <w:tr w:rsidR="00CA127B" w:rsidRPr="00953F7D" w14:paraId="49D04DE6" w14:textId="77777777" w:rsidTr="003C256A">
        <w:trPr>
          <w:trHeight w:val="374"/>
        </w:trPr>
        <w:tc>
          <w:tcPr>
            <w:tcW w:w="1014" w:type="dxa"/>
          </w:tcPr>
          <w:p w14:paraId="49D04DE4" w14:textId="77777777" w:rsidR="00CA127B" w:rsidRPr="00953F7D" w:rsidRDefault="00CA127B" w:rsidP="003C256A">
            <w:r w:rsidRPr="00953F7D">
              <w:t>13</w:t>
            </w:r>
          </w:p>
        </w:tc>
        <w:tc>
          <w:tcPr>
            <w:tcW w:w="8166" w:type="dxa"/>
          </w:tcPr>
          <w:p w14:paraId="49D04DE5" w14:textId="77777777" w:rsidR="00CA127B" w:rsidRPr="00953F7D" w:rsidRDefault="00CA127B" w:rsidP="004A5161">
            <w:pPr>
              <w:ind w:left="-37" w:firstLine="0"/>
              <w:jc w:val="both"/>
            </w:pPr>
            <w:r w:rsidRPr="00953F7D">
              <w:t xml:space="preserve">Outflows related to derivative exposures and other collateral requirements include expected contractual derivatives cash flows on a net basis. These outflows also include increased liquidity needs related to: downgrade triggers embedded in financing transactions, derivative and other contracts; the potential for valuation changes on posted collateral securing derivatives and other transactions; excess non-segregated collateral held at the </w:t>
            </w:r>
            <w:r w:rsidR="00E154AA" w:rsidRPr="00953F7D">
              <w:t xml:space="preserve">LCR </w:t>
            </w:r>
            <w:r w:rsidRPr="00953F7D">
              <w:t>ADI that could contractually be called at any time; contractually required collateral on transactions for which the counterparty has not yet demanded that the collateral be posted; contracts that allow collateral substitution to non-HQLA assets; and market valuation changes on derivatives or other transactions.</w:t>
            </w:r>
          </w:p>
        </w:tc>
      </w:tr>
      <w:tr w:rsidR="00CA127B" w:rsidRPr="00953F7D" w14:paraId="49D04DE9" w14:textId="77777777" w:rsidTr="003C256A">
        <w:trPr>
          <w:trHeight w:val="374"/>
        </w:trPr>
        <w:tc>
          <w:tcPr>
            <w:tcW w:w="1014" w:type="dxa"/>
          </w:tcPr>
          <w:p w14:paraId="49D04DE7" w14:textId="77777777" w:rsidR="00CA127B" w:rsidRPr="00953F7D" w:rsidRDefault="00CA127B" w:rsidP="003C256A">
            <w:r w:rsidRPr="00953F7D">
              <w:t>14</w:t>
            </w:r>
          </w:p>
        </w:tc>
        <w:tc>
          <w:tcPr>
            <w:tcW w:w="8166" w:type="dxa"/>
          </w:tcPr>
          <w:p w14:paraId="49D04DE8" w14:textId="77777777" w:rsidR="00CA127B" w:rsidRPr="00953F7D" w:rsidRDefault="00CA127B" w:rsidP="004A5161">
            <w:pPr>
              <w:ind w:left="-37" w:firstLine="0"/>
              <w:jc w:val="both"/>
            </w:pPr>
            <w:r w:rsidRPr="00953F7D">
              <w:t>Outflows related to loss of funding on secured debt products include loss of funding on: asset-backed securities, covered bonds and other structured financing instruments; and asset-backed commercial paper, conduits, securities investment vehicles and other such financing facilities.</w:t>
            </w:r>
          </w:p>
        </w:tc>
      </w:tr>
      <w:tr w:rsidR="00CA127B" w:rsidRPr="00953F7D" w14:paraId="49D04DEC" w14:textId="77777777" w:rsidTr="003C256A">
        <w:trPr>
          <w:trHeight w:val="374"/>
        </w:trPr>
        <w:tc>
          <w:tcPr>
            <w:tcW w:w="1014" w:type="dxa"/>
          </w:tcPr>
          <w:p w14:paraId="49D04DEA" w14:textId="77777777" w:rsidR="00CA127B" w:rsidRPr="00953F7D" w:rsidRDefault="00CA127B" w:rsidP="003C256A">
            <w:r w:rsidRPr="00953F7D">
              <w:t>15</w:t>
            </w:r>
          </w:p>
        </w:tc>
        <w:tc>
          <w:tcPr>
            <w:tcW w:w="8166" w:type="dxa"/>
          </w:tcPr>
          <w:p w14:paraId="49D04DEB" w14:textId="77777777" w:rsidR="00CA127B" w:rsidRPr="00953F7D" w:rsidRDefault="00CA127B" w:rsidP="004A5161">
            <w:pPr>
              <w:ind w:left="-37" w:firstLine="0"/>
              <w:jc w:val="both"/>
            </w:pPr>
            <w:r w:rsidRPr="00953F7D">
              <w:t>Credit and liquidity facilities include drawdowns on committed (contractually irrevocable) or conditionally revocable credit and liquidity facilities. The currently undrawn portion of these facilities is calculated net of any eligible HQLA if the HQLA have already been posted as collateral to secure the facilities or that are contractually obliged to be posted when the counterparty draws down the facility.</w:t>
            </w:r>
          </w:p>
        </w:tc>
      </w:tr>
      <w:tr w:rsidR="00CA127B" w:rsidRPr="00953F7D" w14:paraId="49D04DEF" w14:textId="77777777" w:rsidTr="003C256A">
        <w:trPr>
          <w:trHeight w:val="374"/>
        </w:trPr>
        <w:tc>
          <w:tcPr>
            <w:tcW w:w="1014" w:type="dxa"/>
          </w:tcPr>
          <w:p w14:paraId="49D04DED" w14:textId="77777777" w:rsidR="00CA127B" w:rsidRPr="00953F7D" w:rsidRDefault="00CA127B" w:rsidP="003C256A">
            <w:r w:rsidRPr="00953F7D">
              <w:t>16</w:t>
            </w:r>
          </w:p>
        </w:tc>
        <w:tc>
          <w:tcPr>
            <w:tcW w:w="8166" w:type="dxa"/>
          </w:tcPr>
          <w:p w14:paraId="49D04DEE" w14:textId="77777777" w:rsidR="00CA127B" w:rsidRPr="00953F7D" w:rsidRDefault="00CA127B" w:rsidP="004A5161">
            <w:pPr>
              <w:ind w:left="-37" w:firstLine="0"/>
              <w:jc w:val="both"/>
            </w:pPr>
            <w:r w:rsidRPr="00953F7D">
              <w:t xml:space="preserve">Other contractual funding obligations include contractual obligations to extend funds within a 30-day period and other contractual cash outflows not previously captured under </w:t>
            </w:r>
            <w:r w:rsidR="00870066" w:rsidRPr="00953F7D">
              <w:t>APS 210.</w:t>
            </w:r>
          </w:p>
        </w:tc>
      </w:tr>
      <w:tr w:rsidR="00CA127B" w:rsidRPr="00953F7D" w14:paraId="49D04DF2" w14:textId="77777777" w:rsidTr="003C256A">
        <w:trPr>
          <w:trHeight w:val="374"/>
        </w:trPr>
        <w:tc>
          <w:tcPr>
            <w:tcW w:w="1014" w:type="dxa"/>
          </w:tcPr>
          <w:p w14:paraId="49D04DF0" w14:textId="77777777" w:rsidR="00CA127B" w:rsidRPr="00953F7D" w:rsidRDefault="00CA127B" w:rsidP="003C256A">
            <w:r w:rsidRPr="00953F7D">
              <w:t>17</w:t>
            </w:r>
          </w:p>
        </w:tc>
        <w:tc>
          <w:tcPr>
            <w:tcW w:w="8166" w:type="dxa"/>
          </w:tcPr>
          <w:p w14:paraId="49D04DF1" w14:textId="77777777" w:rsidR="00CA127B" w:rsidRPr="00953F7D" w:rsidRDefault="00CA127B" w:rsidP="004A5161">
            <w:pPr>
              <w:ind w:left="-37" w:firstLine="0"/>
              <w:jc w:val="both"/>
            </w:pPr>
            <w:r w:rsidRPr="00953F7D">
              <w:t>Other contingent funding obligations, as defined in APS 210.</w:t>
            </w:r>
          </w:p>
        </w:tc>
      </w:tr>
      <w:tr w:rsidR="00CA127B" w:rsidRPr="00953F7D" w14:paraId="49D04DF5" w14:textId="77777777" w:rsidTr="003C256A">
        <w:trPr>
          <w:trHeight w:val="374"/>
        </w:trPr>
        <w:tc>
          <w:tcPr>
            <w:tcW w:w="1014" w:type="dxa"/>
          </w:tcPr>
          <w:p w14:paraId="49D04DF3" w14:textId="77777777" w:rsidR="00CA127B" w:rsidRPr="00953F7D" w:rsidRDefault="00CA127B" w:rsidP="003C256A">
            <w:r w:rsidRPr="00953F7D">
              <w:t>18</w:t>
            </w:r>
          </w:p>
        </w:tc>
        <w:tc>
          <w:tcPr>
            <w:tcW w:w="8166" w:type="dxa"/>
          </w:tcPr>
          <w:p w14:paraId="49D04DF4" w14:textId="77777777" w:rsidR="00CA127B" w:rsidRPr="00953F7D" w:rsidRDefault="00CA127B" w:rsidP="004A5161">
            <w:pPr>
              <w:ind w:left="-37" w:firstLine="0"/>
              <w:jc w:val="both"/>
            </w:pPr>
            <w:r w:rsidRPr="00953F7D">
              <w:t xml:space="preserve">Total cash outflows: sum of </w:t>
            </w:r>
            <w:r w:rsidR="007405E0" w:rsidRPr="00953F7D">
              <w:t xml:space="preserve">rows </w:t>
            </w:r>
            <w:r w:rsidRPr="00953F7D">
              <w:t>4–17.</w:t>
            </w:r>
          </w:p>
        </w:tc>
      </w:tr>
      <w:tr w:rsidR="00CA127B" w:rsidRPr="00953F7D" w14:paraId="49D04DF8" w14:textId="77777777" w:rsidTr="003C256A">
        <w:trPr>
          <w:trHeight w:val="374"/>
        </w:trPr>
        <w:tc>
          <w:tcPr>
            <w:tcW w:w="1014" w:type="dxa"/>
          </w:tcPr>
          <w:p w14:paraId="49D04DF6" w14:textId="77777777" w:rsidR="00CA127B" w:rsidRPr="00953F7D" w:rsidRDefault="00CA127B" w:rsidP="003C256A">
            <w:r w:rsidRPr="00953F7D">
              <w:t>19</w:t>
            </w:r>
          </w:p>
        </w:tc>
        <w:tc>
          <w:tcPr>
            <w:tcW w:w="8166" w:type="dxa"/>
          </w:tcPr>
          <w:p w14:paraId="49D04DF7" w14:textId="77777777" w:rsidR="00CA127B" w:rsidRPr="00953F7D" w:rsidRDefault="00CA127B" w:rsidP="004A5161">
            <w:pPr>
              <w:ind w:left="-37" w:firstLine="0"/>
              <w:jc w:val="both"/>
            </w:pPr>
            <w:r w:rsidRPr="00953F7D">
              <w:t>Secured lending includes all maturing reverse repurchase and securities borrowing agreements.</w:t>
            </w:r>
          </w:p>
        </w:tc>
      </w:tr>
      <w:tr w:rsidR="00CA127B" w:rsidRPr="00953F7D" w14:paraId="49D04DFB" w14:textId="77777777" w:rsidTr="003C256A">
        <w:trPr>
          <w:trHeight w:val="374"/>
        </w:trPr>
        <w:tc>
          <w:tcPr>
            <w:tcW w:w="1014" w:type="dxa"/>
          </w:tcPr>
          <w:p w14:paraId="49D04DF9" w14:textId="77777777" w:rsidR="00CA127B" w:rsidRPr="00953F7D" w:rsidRDefault="00CA127B" w:rsidP="003C256A">
            <w:r w:rsidRPr="00953F7D">
              <w:t>20</w:t>
            </w:r>
          </w:p>
        </w:tc>
        <w:tc>
          <w:tcPr>
            <w:tcW w:w="8166" w:type="dxa"/>
          </w:tcPr>
          <w:p w14:paraId="49D04DFA" w14:textId="77777777" w:rsidR="00CA127B" w:rsidRPr="00953F7D" w:rsidRDefault="00CA127B" w:rsidP="009F2B7D">
            <w:pPr>
              <w:ind w:left="-37" w:firstLine="0"/>
              <w:jc w:val="both"/>
            </w:pPr>
            <w:r w:rsidRPr="00953F7D">
              <w:t xml:space="preserve">Inflows from fully performing exposures include both secured and unsecured loans </w:t>
            </w:r>
            <w:r w:rsidR="009F2B7D" w:rsidRPr="00953F7D">
              <w:t xml:space="preserve">and </w:t>
            </w:r>
            <w:r w:rsidRPr="00953F7D">
              <w:t>other payments that are fully performing and contractually due within 30 calendar days from retail and small business customers</w:t>
            </w:r>
            <w:r w:rsidR="002D7F42" w:rsidRPr="00953F7D">
              <w:t xml:space="preserve"> and </w:t>
            </w:r>
            <w:r w:rsidRPr="00953F7D">
              <w:t>other wholesale customers</w:t>
            </w:r>
            <w:r w:rsidR="00A3499D" w:rsidRPr="00953F7D">
              <w:t>.</w:t>
            </w:r>
          </w:p>
        </w:tc>
      </w:tr>
      <w:tr w:rsidR="00CA127B" w:rsidRPr="00953F7D" w14:paraId="49D04DFE" w14:textId="77777777" w:rsidTr="003C256A">
        <w:trPr>
          <w:trHeight w:val="374"/>
        </w:trPr>
        <w:tc>
          <w:tcPr>
            <w:tcW w:w="1014" w:type="dxa"/>
          </w:tcPr>
          <w:p w14:paraId="49D04DFC" w14:textId="77777777" w:rsidR="00CA127B" w:rsidRPr="00953F7D" w:rsidRDefault="00CA127B" w:rsidP="003C256A">
            <w:r w:rsidRPr="00953F7D">
              <w:t>21</w:t>
            </w:r>
          </w:p>
        </w:tc>
        <w:tc>
          <w:tcPr>
            <w:tcW w:w="8166" w:type="dxa"/>
          </w:tcPr>
          <w:p w14:paraId="49D04DFD" w14:textId="77777777" w:rsidR="00CA127B" w:rsidRPr="00953F7D" w:rsidRDefault="00CA127B" w:rsidP="004A5161">
            <w:pPr>
              <w:ind w:left="-37" w:firstLine="0"/>
              <w:jc w:val="both"/>
            </w:pPr>
            <w:r w:rsidRPr="00953F7D">
              <w:t>Other cash inflows include derivatives cash inflows and other contractual cash inflows.</w:t>
            </w:r>
          </w:p>
        </w:tc>
      </w:tr>
      <w:tr w:rsidR="00CA127B" w:rsidRPr="00953F7D" w14:paraId="49D04E01" w14:textId="77777777" w:rsidTr="003C256A">
        <w:trPr>
          <w:trHeight w:val="374"/>
        </w:trPr>
        <w:tc>
          <w:tcPr>
            <w:tcW w:w="1014" w:type="dxa"/>
          </w:tcPr>
          <w:p w14:paraId="49D04DFF" w14:textId="77777777" w:rsidR="00CA127B" w:rsidRPr="00953F7D" w:rsidRDefault="00CA127B" w:rsidP="003C256A">
            <w:r w:rsidRPr="00953F7D">
              <w:t>22</w:t>
            </w:r>
          </w:p>
        </w:tc>
        <w:tc>
          <w:tcPr>
            <w:tcW w:w="8166" w:type="dxa"/>
          </w:tcPr>
          <w:p w14:paraId="49D04E00" w14:textId="77777777" w:rsidR="00CA127B" w:rsidRPr="00953F7D" w:rsidRDefault="00CA127B" w:rsidP="004A5161">
            <w:pPr>
              <w:ind w:left="-37" w:firstLine="0"/>
              <w:jc w:val="both"/>
            </w:pPr>
            <w:r w:rsidRPr="00953F7D">
              <w:t xml:space="preserve">Total cash inflows: sum of </w:t>
            </w:r>
            <w:r w:rsidR="007405E0" w:rsidRPr="00953F7D">
              <w:t xml:space="preserve">rows </w:t>
            </w:r>
            <w:r w:rsidRPr="00953F7D">
              <w:t>19–21.</w:t>
            </w:r>
          </w:p>
        </w:tc>
      </w:tr>
      <w:tr w:rsidR="00CA127B" w:rsidRPr="00953F7D" w14:paraId="49D04E04" w14:textId="77777777" w:rsidTr="003C256A">
        <w:trPr>
          <w:trHeight w:val="374"/>
        </w:trPr>
        <w:tc>
          <w:tcPr>
            <w:tcW w:w="1014" w:type="dxa"/>
          </w:tcPr>
          <w:p w14:paraId="49D04E02" w14:textId="77777777" w:rsidR="00CA127B" w:rsidRPr="00953F7D" w:rsidRDefault="00CA127B" w:rsidP="003C256A">
            <w:r w:rsidRPr="00953F7D">
              <w:t>23</w:t>
            </w:r>
          </w:p>
        </w:tc>
        <w:tc>
          <w:tcPr>
            <w:tcW w:w="8166" w:type="dxa"/>
          </w:tcPr>
          <w:p w14:paraId="49D04E03" w14:textId="77777777" w:rsidR="00CA127B" w:rsidRPr="00953F7D" w:rsidRDefault="00CA127B" w:rsidP="004A5161">
            <w:pPr>
              <w:ind w:left="-37" w:firstLine="0"/>
              <w:jc w:val="both"/>
            </w:pPr>
            <w:r w:rsidRPr="00953F7D">
              <w:t xml:space="preserve">Total </w:t>
            </w:r>
            <w:r w:rsidR="001F3C82" w:rsidRPr="00953F7D">
              <w:t>liquid assets</w:t>
            </w:r>
            <w:r w:rsidRPr="00953F7D">
              <w:t xml:space="preserve"> (after the application of any cap on</w:t>
            </w:r>
            <w:r w:rsidR="00EB2A93" w:rsidRPr="00953F7D">
              <w:t xml:space="preserve"> HQLA2).</w:t>
            </w:r>
          </w:p>
        </w:tc>
      </w:tr>
      <w:tr w:rsidR="00CA127B" w:rsidRPr="00953F7D" w14:paraId="49D04E07" w14:textId="77777777" w:rsidTr="003C256A">
        <w:trPr>
          <w:trHeight w:val="374"/>
        </w:trPr>
        <w:tc>
          <w:tcPr>
            <w:tcW w:w="1014" w:type="dxa"/>
          </w:tcPr>
          <w:p w14:paraId="49D04E05" w14:textId="77777777" w:rsidR="00CA127B" w:rsidRPr="00953F7D" w:rsidRDefault="00CA127B" w:rsidP="003C256A">
            <w:r w:rsidRPr="00953F7D">
              <w:t>24</w:t>
            </w:r>
          </w:p>
        </w:tc>
        <w:tc>
          <w:tcPr>
            <w:tcW w:w="8166" w:type="dxa"/>
          </w:tcPr>
          <w:p w14:paraId="49D04E06" w14:textId="77777777" w:rsidR="00CA127B" w:rsidRPr="00953F7D" w:rsidRDefault="00CA127B" w:rsidP="004A5161">
            <w:pPr>
              <w:ind w:left="-37" w:firstLine="0"/>
              <w:jc w:val="both"/>
            </w:pPr>
            <w:r w:rsidRPr="00953F7D">
              <w:t>Total net cash outflows (after the application of any cap on cash inflows).</w:t>
            </w:r>
          </w:p>
        </w:tc>
      </w:tr>
      <w:tr w:rsidR="00CA127B" w:rsidRPr="00953F7D" w14:paraId="49D04E0A" w14:textId="77777777" w:rsidTr="003C256A">
        <w:trPr>
          <w:trHeight w:val="374"/>
        </w:trPr>
        <w:tc>
          <w:tcPr>
            <w:tcW w:w="1014" w:type="dxa"/>
          </w:tcPr>
          <w:p w14:paraId="49D04E08" w14:textId="77777777" w:rsidR="00CA127B" w:rsidRPr="00953F7D" w:rsidRDefault="00CA127B" w:rsidP="003C256A">
            <w:r w:rsidRPr="00953F7D">
              <w:t>25</w:t>
            </w:r>
          </w:p>
        </w:tc>
        <w:tc>
          <w:tcPr>
            <w:tcW w:w="8166" w:type="dxa"/>
          </w:tcPr>
          <w:p w14:paraId="49D04E09" w14:textId="77777777" w:rsidR="00CA127B" w:rsidRPr="00953F7D" w:rsidRDefault="00CA127B" w:rsidP="004A5161">
            <w:pPr>
              <w:ind w:left="-37" w:firstLine="0"/>
              <w:jc w:val="both"/>
            </w:pPr>
            <w:r w:rsidRPr="00953F7D">
              <w:t>Liquidity Coverage Ratio (after the application of any cap on</w:t>
            </w:r>
            <w:r w:rsidR="00EB2A93" w:rsidRPr="00953F7D">
              <w:t xml:space="preserve"> HQLA2</w:t>
            </w:r>
            <w:r w:rsidRPr="00953F7D">
              <w:t xml:space="preserve"> and caps on cash inflows).</w:t>
            </w:r>
          </w:p>
        </w:tc>
      </w:tr>
    </w:tbl>
    <w:p w14:paraId="49D04E0B" w14:textId="77777777" w:rsidR="00CA127B" w:rsidRPr="00953F7D" w:rsidRDefault="00CA127B" w:rsidP="002F2653">
      <w:pPr>
        <w:spacing w:before="240"/>
      </w:pPr>
    </w:p>
    <w:p w14:paraId="49D04E0C" w14:textId="77777777" w:rsidR="00390857" w:rsidRPr="00953F7D" w:rsidRDefault="00390857" w:rsidP="00390857">
      <w:pPr>
        <w:spacing w:before="240"/>
      </w:pPr>
    </w:p>
    <w:p w14:paraId="49D04E0D" w14:textId="77777777" w:rsidR="00390857" w:rsidRPr="00953F7D" w:rsidRDefault="00390857" w:rsidP="00390857">
      <w:pPr>
        <w:pStyle w:val="BodyText"/>
      </w:pPr>
      <w:r w:rsidRPr="00953F7D">
        <w:t>An LCR ADI must complete and disclose the items in Table</w:t>
      </w:r>
      <w:r>
        <w:t xml:space="preserve"> 21 </w:t>
      </w:r>
      <w:r w:rsidRPr="00953F7D">
        <w:t xml:space="preserve">to the extent applicable.  </w:t>
      </w:r>
    </w:p>
    <w:p w14:paraId="49D04E0E" w14:textId="77777777" w:rsidR="00390857" w:rsidRPr="00953F7D" w:rsidRDefault="00390857" w:rsidP="00390857">
      <w:pPr>
        <w:spacing w:before="240"/>
        <w:ind w:firstLine="0"/>
      </w:pPr>
      <w:r w:rsidRPr="00953F7D">
        <w:t xml:space="preserve">Table </w:t>
      </w:r>
      <w:r>
        <w:t>21</w:t>
      </w:r>
      <w:r w:rsidRPr="00953F7D">
        <w:t xml:space="preserve">: </w:t>
      </w:r>
      <w:r>
        <w:t>NSFR d</w:t>
      </w:r>
      <w:r w:rsidRPr="00953F7D">
        <w:t>isclosure template</w:t>
      </w:r>
    </w:p>
    <w:p w14:paraId="49D04E0F" w14:textId="77777777" w:rsidR="00390857" w:rsidRPr="00953F7D" w:rsidRDefault="00390857" w:rsidP="00390857"/>
    <w:tbl>
      <w:tblPr>
        <w:tblStyle w:val="TableGrid"/>
        <w:tblW w:w="0" w:type="auto"/>
        <w:tblInd w:w="108" w:type="dxa"/>
        <w:tblLayout w:type="fixed"/>
        <w:tblLook w:val="04A0" w:firstRow="1" w:lastRow="0" w:firstColumn="1" w:lastColumn="0" w:noHBand="0" w:noVBand="1"/>
      </w:tblPr>
      <w:tblGrid>
        <w:gridCol w:w="436"/>
        <w:gridCol w:w="2744"/>
        <w:gridCol w:w="1002"/>
        <w:gridCol w:w="1003"/>
        <w:gridCol w:w="1003"/>
        <w:gridCol w:w="1003"/>
        <w:gridCol w:w="1003"/>
      </w:tblGrid>
      <w:tr w:rsidR="00390857" w:rsidRPr="00C96F04" w14:paraId="49D04E14" w14:textId="77777777" w:rsidTr="00D826C4">
        <w:tc>
          <w:tcPr>
            <w:tcW w:w="3180" w:type="dxa"/>
            <w:gridSpan w:val="2"/>
            <w:vMerge w:val="restart"/>
            <w:shd w:val="clear" w:color="auto" w:fill="FFFFFF" w:themeFill="background1"/>
          </w:tcPr>
          <w:p w14:paraId="49D04E10" w14:textId="77777777" w:rsidR="00390857" w:rsidRPr="00C96F04" w:rsidRDefault="00390857" w:rsidP="00390857">
            <w:pPr>
              <w:ind w:left="0" w:firstLine="0"/>
              <w:jc w:val="both"/>
              <w:rPr>
                <w:sz w:val="22"/>
                <w:szCs w:val="22"/>
              </w:rPr>
            </w:pPr>
          </w:p>
        </w:tc>
        <w:tc>
          <w:tcPr>
            <w:tcW w:w="4011" w:type="dxa"/>
            <w:gridSpan w:val="4"/>
            <w:shd w:val="clear" w:color="auto" w:fill="FFFFFF" w:themeFill="background1"/>
          </w:tcPr>
          <w:p w14:paraId="49D04E11" w14:textId="77777777" w:rsidR="00390857" w:rsidRPr="00905DB3" w:rsidRDefault="00390857" w:rsidP="00390857">
            <w:pPr>
              <w:ind w:left="0" w:firstLine="0"/>
              <w:jc w:val="both"/>
            </w:pPr>
            <w:r w:rsidRPr="00905DB3">
              <w:t>Unweighted value by residual maturity</w:t>
            </w:r>
          </w:p>
          <w:p w14:paraId="49D04E12" w14:textId="77777777" w:rsidR="00390857" w:rsidRPr="00C96F04" w:rsidRDefault="00390857" w:rsidP="00390857">
            <w:pPr>
              <w:ind w:left="0" w:firstLine="0"/>
              <w:jc w:val="both"/>
              <w:rPr>
                <w:sz w:val="22"/>
                <w:szCs w:val="22"/>
              </w:rPr>
            </w:pPr>
          </w:p>
        </w:tc>
        <w:tc>
          <w:tcPr>
            <w:tcW w:w="1003" w:type="dxa"/>
            <w:vMerge w:val="restart"/>
            <w:shd w:val="clear" w:color="auto" w:fill="FFFFFF" w:themeFill="background1"/>
          </w:tcPr>
          <w:p w14:paraId="49D04E13" w14:textId="77777777" w:rsidR="00390857" w:rsidRPr="00905DB3" w:rsidRDefault="00390857" w:rsidP="00390857">
            <w:pPr>
              <w:ind w:left="0" w:firstLine="0"/>
              <w:jc w:val="both"/>
              <w:rPr>
                <w:sz w:val="20"/>
                <w:szCs w:val="20"/>
              </w:rPr>
            </w:pPr>
            <w:r w:rsidRPr="00905DB3">
              <w:rPr>
                <w:sz w:val="20"/>
                <w:szCs w:val="20"/>
              </w:rPr>
              <w:t>Weighted value</w:t>
            </w:r>
          </w:p>
        </w:tc>
      </w:tr>
      <w:tr w:rsidR="00390857" w:rsidRPr="00C96F04" w14:paraId="49D04E1C" w14:textId="77777777" w:rsidTr="00D826C4">
        <w:tc>
          <w:tcPr>
            <w:tcW w:w="3180" w:type="dxa"/>
            <w:gridSpan w:val="2"/>
            <w:vMerge/>
            <w:shd w:val="clear" w:color="auto" w:fill="BFBFBF" w:themeFill="background1" w:themeFillShade="BF"/>
          </w:tcPr>
          <w:p w14:paraId="49D04E15" w14:textId="77777777" w:rsidR="00390857" w:rsidRPr="00C96F04" w:rsidRDefault="00390857" w:rsidP="00390857">
            <w:pPr>
              <w:ind w:left="0" w:firstLine="0"/>
              <w:jc w:val="both"/>
              <w:rPr>
                <w:sz w:val="22"/>
                <w:szCs w:val="22"/>
              </w:rPr>
            </w:pPr>
          </w:p>
        </w:tc>
        <w:tc>
          <w:tcPr>
            <w:tcW w:w="1002" w:type="dxa"/>
            <w:shd w:val="clear" w:color="auto" w:fill="FFFFFF" w:themeFill="background1"/>
          </w:tcPr>
          <w:p w14:paraId="49D04E16" w14:textId="3E412BAA" w:rsidR="00390857" w:rsidRPr="00C96F04" w:rsidRDefault="00390857" w:rsidP="00390857">
            <w:pPr>
              <w:ind w:left="0" w:firstLine="0"/>
              <w:jc w:val="both"/>
              <w:rPr>
                <w:sz w:val="22"/>
                <w:szCs w:val="22"/>
              </w:rPr>
            </w:pPr>
            <w:r>
              <w:rPr>
                <w:sz w:val="22"/>
                <w:szCs w:val="22"/>
              </w:rPr>
              <w:t>No maturity</w:t>
            </w:r>
            <w:r w:rsidR="00686350">
              <w:rPr>
                <w:rStyle w:val="FootnoteReference"/>
                <w:sz w:val="22"/>
                <w:szCs w:val="22"/>
              </w:rPr>
              <w:footnoteReference w:id="65"/>
            </w:r>
          </w:p>
        </w:tc>
        <w:tc>
          <w:tcPr>
            <w:tcW w:w="1003" w:type="dxa"/>
            <w:shd w:val="clear" w:color="auto" w:fill="FFFFFF" w:themeFill="background1"/>
          </w:tcPr>
          <w:p w14:paraId="49D04E17" w14:textId="77777777" w:rsidR="00390857" w:rsidRPr="00C96F04" w:rsidRDefault="00390857" w:rsidP="00390857">
            <w:pPr>
              <w:ind w:left="0" w:firstLine="0"/>
              <w:jc w:val="both"/>
              <w:rPr>
                <w:sz w:val="22"/>
                <w:szCs w:val="22"/>
              </w:rPr>
            </w:pPr>
            <w:r>
              <w:rPr>
                <w:sz w:val="22"/>
                <w:szCs w:val="22"/>
              </w:rPr>
              <w:t>&lt; 6 months</w:t>
            </w:r>
          </w:p>
        </w:tc>
        <w:tc>
          <w:tcPr>
            <w:tcW w:w="1003" w:type="dxa"/>
            <w:shd w:val="clear" w:color="auto" w:fill="FFFFFF" w:themeFill="background1"/>
          </w:tcPr>
          <w:p w14:paraId="49D04E18" w14:textId="77777777" w:rsidR="00390857" w:rsidRPr="00C96F04" w:rsidRDefault="00390857" w:rsidP="00390857">
            <w:pPr>
              <w:ind w:left="0" w:firstLine="0"/>
              <w:jc w:val="both"/>
              <w:rPr>
                <w:sz w:val="22"/>
                <w:szCs w:val="22"/>
              </w:rPr>
            </w:pPr>
            <w:r>
              <w:rPr>
                <w:sz w:val="22"/>
                <w:szCs w:val="22"/>
              </w:rPr>
              <w:t>6 months to &lt; 1yr</w:t>
            </w:r>
          </w:p>
        </w:tc>
        <w:tc>
          <w:tcPr>
            <w:tcW w:w="1003" w:type="dxa"/>
            <w:shd w:val="clear" w:color="auto" w:fill="FFFFFF" w:themeFill="background1"/>
          </w:tcPr>
          <w:p w14:paraId="49D04E19" w14:textId="77777777" w:rsidR="00390857" w:rsidRPr="00C96F04" w:rsidRDefault="00390857" w:rsidP="00390857">
            <w:pPr>
              <w:jc w:val="both"/>
              <w:rPr>
                <w:sz w:val="22"/>
                <w:szCs w:val="22"/>
              </w:rPr>
            </w:pPr>
            <w:r w:rsidRPr="00C96F04">
              <w:rPr>
                <w:sz w:val="22"/>
                <w:szCs w:val="22"/>
              </w:rPr>
              <w:t>≥ 1yr</w:t>
            </w:r>
          </w:p>
          <w:p w14:paraId="49D04E1A" w14:textId="77777777" w:rsidR="00390857" w:rsidRPr="00C96F04" w:rsidRDefault="00390857" w:rsidP="00390857">
            <w:pPr>
              <w:ind w:left="0" w:firstLine="0"/>
              <w:jc w:val="both"/>
              <w:rPr>
                <w:sz w:val="22"/>
                <w:szCs w:val="22"/>
              </w:rPr>
            </w:pPr>
          </w:p>
        </w:tc>
        <w:tc>
          <w:tcPr>
            <w:tcW w:w="1003" w:type="dxa"/>
            <w:vMerge/>
            <w:shd w:val="clear" w:color="auto" w:fill="BFBFBF" w:themeFill="background1" w:themeFillShade="BF"/>
          </w:tcPr>
          <w:p w14:paraId="49D04E1B" w14:textId="77777777" w:rsidR="00390857" w:rsidRPr="00EF10F3" w:rsidRDefault="00390857" w:rsidP="00390857">
            <w:pPr>
              <w:ind w:left="0" w:firstLine="0"/>
              <w:jc w:val="both"/>
              <w:rPr>
                <w:sz w:val="20"/>
                <w:szCs w:val="20"/>
              </w:rPr>
            </w:pPr>
          </w:p>
        </w:tc>
      </w:tr>
      <w:tr w:rsidR="00390857" w:rsidRPr="00C96F04" w14:paraId="49D04E1E" w14:textId="77777777" w:rsidTr="008E622D">
        <w:tc>
          <w:tcPr>
            <w:tcW w:w="8194" w:type="dxa"/>
            <w:gridSpan w:val="7"/>
            <w:shd w:val="clear" w:color="auto" w:fill="BFBFBF" w:themeFill="background1" w:themeFillShade="BF"/>
          </w:tcPr>
          <w:p w14:paraId="49D04E1D" w14:textId="77777777" w:rsidR="00390857" w:rsidRPr="00504118" w:rsidRDefault="00390857" w:rsidP="00390857">
            <w:pPr>
              <w:ind w:left="0" w:firstLine="0"/>
              <w:jc w:val="both"/>
              <w:rPr>
                <w:b/>
              </w:rPr>
            </w:pPr>
            <w:r w:rsidRPr="00504118">
              <w:rPr>
                <w:b/>
              </w:rPr>
              <w:t>Available Stable Funding (ASF) Item</w:t>
            </w:r>
          </w:p>
        </w:tc>
      </w:tr>
      <w:tr w:rsidR="00390857" w:rsidRPr="00C96F04" w14:paraId="49D04E26" w14:textId="77777777" w:rsidTr="00CB3D11">
        <w:tc>
          <w:tcPr>
            <w:tcW w:w="436" w:type="dxa"/>
            <w:shd w:val="clear" w:color="auto" w:fill="D9D9D9" w:themeFill="background1" w:themeFillShade="D9"/>
          </w:tcPr>
          <w:p w14:paraId="49D04E1F" w14:textId="77777777" w:rsidR="00390857" w:rsidRPr="00C96F04" w:rsidRDefault="00390857" w:rsidP="00390857">
            <w:pPr>
              <w:ind w:left="0" w:firstLine="0"/>
              <w:jc w:val="both"/>
              <w:rPr>
                <w:sz w:val="22"/>
                <w:szCs w:val="22"/>
              </w:rPr>
            </w:pPr>
            <w:r w:rsidRPr="00C96F04">
              <w:rPr>
                <w:sz w:val="22"/>
                <w:szCs w:val="22"/>
              </w:rPr>
              <w:t>1</w:t>
            </w:r>
          </w:p>
        </w:tc>
        <w:tc>
          <w:tcPr>
            <w:tcW w:w="2744" w:type="dxa"/>
            <w:shd w:val="clear" w:color="auto" w:fill="D9D9D9" w:themeFill="background1" w:themeFillShade="D9"/>
          </w:tcPr>
          <w:p w14:paraId="49D04E20" w14:textId="77777777" w:rsidR="00390857" w:rsidRPr="00905DB3" w:rsidRDefault="00390857" w:rsidP="00390857">
            <w:pPr>
              <w:ind w:left="0" w:firstLine="0"/>
            </w:pPr>
            <w:r w:rsidRPr="00905DB3">
              <w:t>Capital</w:t>
            </w:r>
          </w:p>
        </w:tc>
        <w:tc>
          <w:tcPr>
            <w:tcW w:w="1002" w:type="dxa"/>
            <w:shd w:val="clear" w:color="auto" w:fill="D9D9D9" w:themeFill="background1" w:themeFillShade="D9"/>
          </w:tcPr>
          <w:p w14:paraId="49D04E21"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22"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23"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24"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25" w14:textId="77777777" w:rsidR="00390857" w:rsidRPr="00C96F04" w:rsidRDefault="00390857" w:rsidP="00390857">
            <w:pPr>
              <w:ind w:left="0" w:firstLine="0"/>
              <w:jc w:val="both"/>
              <w:rPr>
                <w:sz w:val="22"/>
                <w:szCs w:val="22"/>
              </w:rPr>
            </w:pPr>
          </w:p>
        </w:tc>
      </w:tr>
      <w:tr w:rsidR="00390857" w:rsidRPr="00C96F04" w14:paraId="49D04E2E" w14:textId="77777777" w:rsidTr="00390857">
        <w:tc>
          <w:tcPr>
            <w:tcW w:w="436" w:type="dxa"/>
          </w:tcPr>
          <w:p w14:paraId="49D04E27" w14:textId="77777777" w:rsidR="00390857" w:rsidRPr="00C96F04" w:rsidRDefault="00390857" w:rsidP="00390857">
            <w:pPr>
              <w:ind w:left="0" w:firstLine="0"/>
              <w:jc w:val="both"/>
              <w:rPr>
                <w:sz w:val="22"/>
                <w:szCs w:val="22"/>
              </w:rPr>
            </w:pPr>
            <w:r w:rsidRPr="00C96F04">
              <w:rPr>
                <w:sz w:val="22"/>
                <w:szCs w:val="22"/>
              </w:rPr>
              <w:t>2</w:t>
            </w:r>
          </w:p>
        </w:tc>
        <w:tc>
          <w:tcPr>
            <w:tcW w:w="2744" w:type="dxa"/>
          </w:tcPr>
          <w:p w14:paraId="49D04E28" w14:textId="77777777" w:rsidR="00390857" w:rsidRPr="00B365E9" w:rsidRDefault="00390857" w:rsidP="00390857">
            <w:pPr>
              <w:ind w:left="720" w:hanging="403"/>
              <w:rPr>
                <w:i/>
              </w:rPr>
            </w:pPr>
            <w:r w:rsidRPr="00B365E9">
              <w:rPr>
                <w:i/>
              </w:rPr>
              <w:t>Regulatory capital</w:t>
            </w:r>
          </w:p>
        </w:tc>
        <w:tc>
          <w:tcPr>
            <w:tcW w:w="1002" w:type="dxa"/>
          </w:tcPr>
          <w:p w14:paraId="49D04E29" w14:textId="77777777" w:rsidR="00390857" w:rsidRPr="00C96F04" w:rsidRDefault="00390857" w:rsidP="00390857">
            <w:pPr>
              <w:ind w:left="0" w:firstLine="0"/>
              <w:jc w:val="both"/>
              <w:rPr>
                <w:sz w:val="22"/>
                <w:szCs w:val="22"/>
              </w:rPr>
            </w:pPr>
          </w:p>
        </w:tc>
        <w:tc>
          <w:tcPr>
            <w:tcW w:w="1003" w:type="dxa"/>
          </w:tcPr>
          <w:p w14:paraId="49D04E2A" w14:textId="77777777" w:rsidR="00390857" w:rsidRPr="00C96F04" w:rsidRDefault="00390857" w:rsidP="00390857">
            <w:pPr>
              <w:ind w:left="0" w:firstLine="0"/>
              <w:jc w:val="both"/>
              <w:rPr>
                <w:sz w:val="22"/>
                <w:szCs w:val="22"/>
              </w:rPr>
            </w:pPr>
          </w:p>
        </w:tc>
        <w:tc>
          <w:tcPr>
            <w:tcW w:w="1003" w:type="dxa"/>
          </w:tcPr>
          <w:p w14:paraId="49D04E2B" w14:textId="77777777" w:rsidR="00390857" w:rsidRPr="00C96F04" w:rsidRDefault="00390857" w:rsidP="00390857">
            <w:pPr>
              <w:ind w:left="0" w:firstLine="0"/>
              <w:jc w:val="both"/>
              <w:rPr>
                <w:sz w:val="22"/>
                <w:szCs w:val="22"/>
              </w:rPr>
            </w:pPr>
          </w:p>
        </w:tc>
        <w:tc>
          <w:tcPr>
            <w:tcW w:w="1003" w:type="dxa"/>
          </w:tcPr>
          <w:p w14:paraId="49D04E2C" w14:textId="77777777" w:rsidR="00390857" w:rsidRPr="00C96F04" w:rsidRDefault="00390857" w:rsidP="00390857">
            <w:pPr>
              <w:ind w:left="0" w:firstLine="0"/>
              <w:jc w:val="both"/>
              <w:rPr>
                <w:sz w:val="22"/>
                <w:szCs w:val="22"/>
              </w:rPr>
            </w:pPr>
          </w:p>
        </w:tc>
        <w:tc>
          <w:tcPr>
            <w:tcW w:w="1003" w:type="dxa"/>
          </w:tcPr>
          <w:p w14:paraId="49D04E2D" w14:textId="77777777" w:rsidR="00390857" w:rsidRPr="00C96F04" w:rsidRDefault="00390857" w:rsidP="00390857">
            <w:pPr>
              <w:ind w:left="0" w:firstLine="0"/>
              <w:jc w:val="both"/>
              <w:rPr>
                <w:sz w:val="22"/>
                <w:szCs w:val="22"/>
              </w:rPr>
            </w:pPr>
          </w:p>
        </w:tc>
      </w:tr>
      <w:tr w:rsidR="00390857" w:rsidRPr="00C96F04" w14:paraId="49D04E36" w14:textId="77777777" w:rsidTr="00390857">
        <w:tc>
          <w:tcPr>
            <w:tcW w:w="436" w:type="dxa"/>
          </w:tcPr>
          <w:p w14:paraId="49D04E2F" w14:textId="77777777" w:rsidR="00390857" w:rsidRPr="00C96F04" w:rsidRDefault="00390857" w:rsidP="00390857">
            <w:pPr>
              <w:ind w:left="0" w:firstLine="0"/>
              <w:jc w:val="both"/>
              <w:rPr>
                <w:sz w:val="22"/>
                <w:szCs w:val="22"/>
              </w:rPr>
            </w:pPr>
            <w:r w:rsidRPr="00C96F04">
              <w:rPr>
                <w:sz w:val="22"/>
                <w:szCs w:val="22"/>
              </w:rPr>
              <w:t>3</w:t>
            </w:r>
          </w:p>
        </w:tc>
        <w:tc>
          <w:tcPr>
            <w:tcW w:w="2744" w:type="dxa"/>
          </w:tcPr>
          <w:p w14:paraId="49D04E30" w14:textId="77777777" w:rsidR="00390857" w:rsidRPr="00B365E9" w:rsidRDefault="00390857" w:rsidP="00390857">
            <w:pPr>
              <w:ind w:left="317" w:firstLine="0"/>
              <w:rPr>
                <w:i/>
              </w:rPr>
            </w:pPr>
            <w:r w:rsidRPr="00B365E9">
              <w:rPr>
                <w:i/>
              </w:rPr>
              <w:t>Other capital instruments</w:t>
            </w:r>
          </w:p>
        </w:tc>
        <w:tc>
          <w:tcPr>
            <w:tcW w:w="1002" w:type="dxa"/>
          </w:tcPr>
          <w:p w14:paraId="49D04E31" w14:textId="77777777" w:rsidR="00390857" w:rsidRPr="00C96F04" w:rsidRDefault="00390857" w:rsidP="00390857">
            <w:pPr>
              <w:ind w:left="0" w:firstLine="0"/>
              <w:jc w:val="both"/>
              <w:rPr>
                <w:sz w:val="22"/>
                <w:szCs w:val="22"/>
              </w:rPr>
            </w:pPr>
          </w:p>
        </w:tc>
        <w:tc>
          <w:tcPr>
            <w:tcW w:w="1003" w:type="dxa"/>
          </w:tcPr>
          <w:p w14:paraId="49D04E32" w14:textId="77777777" w:rsidR="00390857" w:rsidRPr="00C96F04" w:rsidRDefault="00390857" w:rsidP="00390857">
            <w:pPr>
              <w:ind w:left="0" w:firstLine="0"/>
              <w:jc w:val="both"/>
              <w:rPr>
                <w:sz w:val="22"/>
                <w:szCs w:val="22"/>
              </w:rPr>
            </w:pPr>
          </w:p>
        </w:tc>
        <w:tc>
          <w:tcPr>
            <w:tcW w:w="1003" w:type="dxa"/>
          </w:tcPr>
          <w:p w14:paraId="49D04E33" w14:textId="77777777" w:rsidR="00390857" w:rsidRPr="00C96F04" w:rsidRDefault="00390857" w:rsidP="00390857">
            <w:pPr>
              <w:ind w:left="0" w:firstLine="0"/>
              <w:jc w:val="both"/>
              <w:rPr>
                <w:sz w:val="22"/>
                <w:szCs w:val="22"/>
              </w:rPr>
            </w:pPr>
          </w:p>
        </w:tc>
        <w:tc>
          <w:tcPr>
            <w:tcW w:w="1003" w:type="dxa"/>
          </w:tcPr>
          <w:p w14:paraId="49D04E34" w14:textId="77777777" w:rsidR="00390857" w:rsidRPr="00C96F04" w:rsidRDefault="00390857" w:rsidP="00390857">
            <w:pPr>
              <w:ind w:left="0" w:firstLine="0"/>
              <w:jc w:val="both"/>
              <w:rPr>
                <w:sz w:val="22"/>
                <w:szCs w:val="22"/>
              </w:rPr>
            </w:pPr>
          </w:p>
        </w:tc>
        <w:tc>
          <w:tcPr>
            <w:tcW w:w="1003" w:type="dxa"/>
          </w:tcPr>
          <w:p w14:paraId="49D04E35" w14:textId="77777777" w:rsidR="00390857" w:rsidRPr="00C96F04" w:rsidRDefault="00390857" w:rsidP="00390857">
            <w:pPr>
              <w:ind w:left="0" w:firstLine="0"/>
              <w:jc w:val="both"/>
              <w:rPr>
                <w:sz w:val="22"/>
                <w:szCs w:val="22"/>
              </w:rPr>
            </w:pPr>
          </w:p>
        </w:tc>
      </w:tr>
      <w:tr w:rsidR="00390857" w:rsidRPr="00C96F04" w14:paraId="49D04E3E" w14:textId="77777777" w:rsidTr="00CB3D11">
        <w:tc>
          <w:tcPr>
            <w:tcW w:w="436" w:type="dxa"/>
            <w:shd w:val="clear" w:color="auto" w:fill="D9D9D9" w:themeFill="background1" w:themeFillShade="D9"/>
          </w:tcPr>
          <w:p w14:paraId="49D04E37" w14:textId="77777777" w:rsidR="00390857" w:rsidRPr="00C96F04" w:rsidRDefault="00390857" w:rsidP="00390857">
            <w:pPr>
              <w:ind w:left="0" w:firstLine="0"/>
              <w:jc w:val="both"/>
              <w:rPr>
                <w:sz w:val="22"/>
                <w:szCs w:val="22"/>
              </w:rPr>
            </w:pPr>
            <w:r w:rsidRPr="00C96F04">
              <w:rPr>
                <w:sz w:val="22"/>
                <w:szCs w:val="22"/>
              </w:rPr>
              <w:t>4</w:t>
            </w:r>
          </w:p>
        </w:tc>
        <w:tc>
          <w:tcPr>
            <w:tcW w:w="2744" w:type="dxa"/>
            <w:shd w:val="clear" w:color="auto" w:fill="D9D9D9" w:themeFill="background1" w:themeFillShade="D9"/>
          </w:tcPr>
          <w:p w14:paraId="49D04E38" w14:textId="77777777" w:rsidR="00390857" w:rsidRPr="00905DB3" w:rsidRDefault="00390857" w:rsidP="00390857">
            <w:pPr>
              <w:ind w:left="0" w:firstLine="0"/>
            </w:pPr>
            <w:r w:rsidRPr="00905DB3">
              <w:t>Retail deposits and deposits from small business customers</w:t>
            </w:r>
          </w:p>
        </w:tc>
        <w:tc>
          <w:tcPr>
            <w:tcW w:w="1002" w:type="dxa"/>
            <w:shd w:val="clear" w:color="auto" w:fill="D9D9D9" w:themeFill="background1" w:themeFillShade="D9"/>
          </w:tcPr>
          <w:p w14:paraId="49D04E39"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3A"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3B"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3C"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3D" w14:textId="77777777" w:rsidR="00390857" w:rsidRPr="00C96F04" w:rsidRDefault="00390857" w:rsidP="00390857">
            <w:pPr>
              <w:ind w:left="0" w:firstLine="0"/>
              <w:jc w:val="both"/>
              <w:rPr>
                <w:sz w:val="22"/>
                <w:szCs w:val="22"/>
              </w:rPr>
            </w:pPr>
          </w:p>
        </w:tc>
      </w:tr>
      <w:tr w:rsidR="00390857" w:rsidRPr="00C96F04" w14:paraId="49D04E46" w14:textId="77777777" w:rsidTr="00390857">
        <w:tc>
          <w:tcPr>
            <w:tcW w:w="436" w:type="dxa"/>
          </w:tcPr>
          <w:p w14:paraId="49D04E3F" w14:textId="77777777" w:rsidR="00390857" w:rsidRPr="00C96F04" w:rsidRDefault="00390857" w:rsidP="00390857">
            <w:pPr>
              <w:ind w:left="0" w:firstLine="0"/>
              <w:jc w:val="both"/>
              <w:rPr>
                <w:sz w:val="22"/>
                <w:szCs w:val="22"/>
              </w:rPr>
            </w:pPr>
            <w:r w:rsidRPr="00C96F04">
              <w:rPr>
                <w:sz w:val="22"/>
                <w:szCs w:val="22"/>
              </w:rPr>
              <w:t>5</w:t>
            </w:r>
          </w:p>
        </w:tc>
        <w:tc>
          <w:tcPr>
            <w:tcW w:w="2744" w:type="dxa"/>
          </w:tcPr>
          <w:p w14:paraId="49D04E40" w14:textId="77777777" w:rsidR="00390857" w:rsidRPr="00B365E9" w:rsidRDefault="00390857" w:rsidP="00CB3D11">
            <w:pPr>
              <w:ind w:left="721" w:hanging="403"/>
              <w:rPr>
                <w:i/>
              </w:rPr>
            </w:pPr>
            <w:r w:rsidRPr="00B365E9">
              <w:rPr>
                <w:i/>
              </w:rPr>
              <w:t>Stable deposits</w:t>
            </w:r>
          </w:p>
        </w:tc>
        <w:tc>
          <w:tcPr>
            <w:tcW w:w="1002" w:type="dxa"/>
          </w:tcPr>
          <w:p w14:paraId="49D04E41" w14:textId="77777777" w:rsidR="00390857" w:rsidRPr="00C96F04" w:rsidRDefault="00390857" w:rsidP="00390857">
            <w:pPr>
              <w:ind w:left="0" w:firstLine="0"/>
              <w:jc w:val="both"/>
              <w:rPr>
                <w:sz w:val="22"/>
                <w:szCs w:val="22"/>
              </w:rPr>
            </w:pPr>
          </w:p>
        </w:tc>
        <w:tc>
          <w:tcPr>
            <w:tcW w:w="1003" w:type="dxa"/>
          </w:tcPr>
          <w:p w14:paraId="49D04E42" w14:textId="77777777" w:rsidR="00390857" w:rsidRPr="00C96F04" w:rsidRDefault="00390857" w:rsidP="00390857">
            <w:pPr>
              <w:ind w:left="0" w:firstLine="0"/>
              <w:jc w:val="both"/>
              <w:rPr>
                <w:sz w:val="22"/>
                <w:szCs w:val="22"/>
              </w:rPr>
            </w:pPr>
          </w:p>
        </w:tc>
        <w:tc>
          <w:tcPr>
            <w:tcW w:w="1003" w:type="dxa"/>
          </w:tcPr>
          <w:p w14:paraId="49D04E43" w14:textId="77777777" w:rsidR="00390857" w:rsidRPr="00C96F04" w:rsidRDefault="00390857" w:rsidP="00390857">
            <w:pPr>
              <w:ind w:left="0" w:firstLine="0"/>
              <w:jc w:val="both"/>
              <w:rPr>
                <w:sz w:val="22"/>
                <w:szCs w:val="22"/>
              </w:rPr>
            </w:pPr>
          </w:p>
        </w:tc>
        <w:tc>
          <w:tcPr>
            <w:tcW w:w="1003" w:type="dxa"/>
          </w:tcPr>
          <w:p w14:paraId="49D04E44" w14:textId="77777777" w:rsidR="00390857" w:rsidRPr="00C96F04" w:rsidRDefault="00390857" w:rsidP="00390857">
            <w:pPr>
              <w:ind w:left="0" w:firstLine="0"/>
              <w:jc w:val="both"/>
              <w:rPr>
                <w:sz w:val="22"/>
                <w:szCs w:val="22"/>
              </w:rPr>
            </w:pPr>
          </w:p>
        </w:tc>
        <w:tc>
          <w:tcPr>
            <w:tcW w:w="1003" w:type="dxa"/>
          </w:tcPr>
          <w:p w14:paraId="49D04E45" w14:textId="77777777" w:rsidR="00390857" w:rsidRPr="00C96F04" w:rsidRDefault="00390857" w:rsidP="00390857">
            <w:pPr>
              <w:ind w:left="0" w:firstLine="0"/>
              <w:jc w:val="both"/>
              <w:rPr>
                <w:sz w:val="22"/>
                <w:szCs w:val="22"/>
              </w:rPr>
            </w:pPr>
          </w:p>
        </w:tc>
      </w:tr>
      <w:tr w:rsidR="00390857" w:rsidRPr="00C96F04" w14:paraId="49D04E4E" w14:textId="77777777" w:rsidTr="00390857">
        <w:tc>
          <w:tcPr>
            <w:tcW w:w="436" w:type="dxa"/>
          </w:tcPr>
          <w:p w14:paraId="49D04E47" w14:textId="77777777" w:rsidR="00390857" w:rsidRPr="00C96F04" w:rsidRDefault="00390857" w:rsidP="00390857">
            <w:pPr>
              <w:ind w:left="0" w:firstLine="0"/>
              <w:jc w:val="both"/>
              <w:rPr>
                <w:sz w:val="22"/>
                <w:szCs w:val="22"/>
              </w:rPr>
            </w:pPr>
            <w:r w:rsidRPr="00C96F04">
              <w:rPr>
                <w:sz w:val="22"/>
                <w:szCs w:val="22"/>
              </w:rPr>
              <w:t>6</w:t>
            </w:r>
          </w:p>
        </w:tc>
        <w:tc>
          <w:tcPr>
            <w:tcW w:w="2744" w:type="dxa"/>
          </w:tcPr>
          <w:p w14:paraId="49D04E48" w14:textId="77777777" w:rsidR="00390857" w:rsidRPr="00B365E9" w:rsidRDefault="00390857" w:rsidP="00CB3D11">
            <w:pPr>
              <w:ind w:left="318" w:firstLine="0"/>
              <w:rPr>
                <w:i/>
              </w:rPr>
            </w:pPr>
            <w:r w:rsidRPr="00B365E9">
              <w:rPr>
                <w:i/>
              </w:rPr>
              <w:t>Less stable deposits</w:t>
            </w:r>
          </w:p>
        </w:tc>
        <w:tc>
          <w:tcPr>
            <w:tcW w:w="1002" w:type="dxa"/>
          </w:tcPr>
          <w:p w14:paraId="49D04E49" w14:textId="77777777" w:rsidR="00390857" w:rsidRPr="00C96F04" w:rsidRDefault="00390857" w:rsidP="00390857">
            <w:pPr>
              <w:ind w:left="0" w:firstLine="0"/>
              <w:jc w:val="both"/>
              <w:rPr>
                <w:sz w:val="22"/>
                <w:szCs w:val="22"/>
              </w:rPr>
            </w:pPr>
          </w:p>
        </w:tc>
        <w:tc>
          <w:tcPr>
            <w:tcW w:w="1003" w:type="dxa"/>
          </w:tcPr>
          <w:p w14:paraId="49D04E4A" w14:textId="77777777" w:rsidR="00390857" w:rsidRPr="00C96F04" w:rsidRDefault="00390857" w:rsidP="00390857">
            <w:pPr>
              <w:ind w:left="0" w:firstLine="0"/>
              <w:jc w:val="both"/>
              <w:rPr>
                <w:sz w:val="22"/>
                <w:szCs w:val="22"/>
              </w:rPr>
            </w:pPr>
          </w:p>
        </w:tc>
        <w:tc>
          <w:tcPr>
            <w:tcW w:w="1003" w:type="dxa"/>
          </w:tcPr>
          <w:p w14:paraId="49D04E4B" w14:textId="77777777" w:rsidR="00390857" w:rsidRPr="00C96F04" w:rsidRDefault="00390857" w:rsidP="00390857">
            <w:pPr>
              <w:ind w:left="0" w:firstLine="0"/>
              <w:jc w:val="both"/>
              <w:rPr>
                <w:sz w:val="22"/>
                <w:szCs w:val="22"/>
              </w:rPr>
            </w:pPr>
          </w:p>
        </w:tc>
        <w:tc>
          <w:tcPr>
            <w:tcW w:w="1003" w:type="dxa"/>
          </w:tcPr>
          <w:p w14:paraId="49D04E4C" w14:textId="77777777" w:rsidR="00390857" w:rsidRPr="00C96F04" w:rsidRDefault="00390857" w:rsidP="00390857">
            <w:pPr>
              <w:ind w:left="0" w:firstLine="0"/>
              <w:jc w:val="both"/>
              <w:rPr>
                <w:sz w:val="22"/>
                <w:szCs w:val="22"/>
              </w:rPr>
            </w:pPr>
          </w:p>
        </w:tc>
        <w:tc>
          <w:tcPr>
            <w:tcW w:w="1003" w:type="dxa"/>
          </w:tcPr>
          <w:p w14:paraId="49D04E4D" w14:textId="77777777" w:rsidR="00390857" w:rsidRPr="00C96F04" w:rsidRDefault="00390857" w:rsidP="00390857">
            <w:pPr>
              <w:ind w:left="0" w:firstLine="0"/>
              <w:jc w:val="both"/>
              <w:rPr>
                <w:sz w:val="22"/>
                <w:szCs w:val="22"/>
              </w:rPr>
            </w:pPr>
          </w:p>
        </w:tc>
      </w:tr>
      <w:tr w:rsidR="00390857" w:rsidRPr="00C96F04" w14:paraId="49D04E56" w14:textId="77777777" w:rsidTr="00CB3D11">
        <w:tc>
          <w:tcPr>
            <w:tcW w:w="436" w:type="dxa"/>
            <w:shd w:val="clear" w:color="auto" w:fill="D9D9D9" w:themeFill="background1" w:themeFillShade="D9"/>
          </w:tcPr>
          <w:p w14:paraId="49D04E4F" w14:textId="77777777" w:rsidR="00390857" w:rsidRPr="00C96F04" w:rsidRDefault="00390857" w:rsidP="00390857">
            <w:pPr>
              <w:ind w:left="0" w:firstLine="0"/>
              <w:jc w:val="both"/>
              <w:rPr>
                <w:sz w:val="22"/>
                <w:szCs w:val="22"/>
              </w:rPr>
            </w:pPr>
            <w:r w:rsidRPr="00C96F04">
              <w:rPr>
                <w:sz w:val="22"/>
                <w:szCs w:val="22"/>
              </w:rPr>
              <w:t>7</w:t>
            </w:r>
          </w:p>
        </w:tc>
        <w:tc>
          <w:tcPr>
            <w:tcW w:w="2744" w:type="dxa"/>
            <w:shd w:val="clear" w:color="auto" w:fill="D9D9D9" w:themeFill="background1" w:themeFillShade="D9"/>
          </w:tcPr>
          <w:p w14:paraId="49D04E50" w14:textId="77777777" w:rsidR="00390857" w:rsidRPr="00905DB3" w:rsidRDefault="00390857" w:rsidP="00390857">
            <w:pPr>
              <w:ind w:left="0" w:firstLine="0"/>
            </w:pPr>
            <w:r w:rsidRPr="00905DB3">
              <w:t>Wholesale funding</w:t>
            </w:r>
          </w:p>
        </w:tc>
        <w:tc>
          <w:tcPr>
            <w:tcW w:w="1002" w:type="dxa"/>
            <w:shd w:val="clear" w:color="auto" w:fill="D9D9D9" w:themeFill="background1" w:themeFillShade="D9"/>
          </w:tcPr>
          <w:p w14:paraId="49D04E51"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52"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53"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54"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55" w14:textId="77777777" w:rsidR="00390857" w:rsidRPr="00C96F04" w:rsidRDefault="00390857" w:rsidP="00390857">
            <w:pPr>
              <w:ind w:left="0" w:firstLine="0"/>
              <w:jc w:val="both"/>
              <w:rPr>
                <w:sz w:val="22"/>
                <w:szCs w:val="22"/>
              </w:rPr>
            </w:pPr>
          </w:p>
        </w:tc>
      </w:tr>
      <w:tr w:rsidR="00390857" w:rsidRPr="00C96F04" w14:paraId="49D04E5E" w14:textId="77777777" w:rsidTr="00390857">
        <w:tc>
          <w:tcPr>
            <w:tcW w:w="436" w:type="dxa"/>
          </w:tcPr>
          <w:p w14:paraId="49D04E57" w14:textId="77777777" w:rsidR="00390857" w:rsidRPr="00C96F04" w:rsidRDefault="00390857" w:rsidP="00390857">
            <w:pPr>
              <w:ind w:left="0" w:firstLine="0"/>
              <w:jc w:val="both"/>
              <w:rPr>
                <w:sz w:val="22"/>
                <w:szCs w:val="22"/>
              </w:rPr>
            </w:pPr>
            <w:r w:rsidRPr="00C96F04">
              <w:rPr>
                <w:sz w:val="22"/>
                <w:szCs w:val="22"/>
              </w:rPr>
              <w:t>8</w:t>
            </w:r>
          </w:p>
        </w:tc>
        <w:tc>
          <w:tcPr>
            <w:tcW w:w="2744" w:type="dxa"/>
          </w:tcPr>
          <w:p w14:paraId="49D04E58" w14:textId="77777777" w:rsidR="00390857" w:rsidRPr="00B365E9" w:rsidRDefault="00390857" w:rsidP="00CB3D11">
            <w:pPr>
              <w:ind w:left="721" w:hanging="403"/>
              <w:rPr>
                <w:i/>
              </w:rPr>
            </w:pPr>
            <w:r w:rsidRPr="00B365E9">
              <w:rPr>
                <w:i/>
              </w:rPr>
              <w:t>Operational deposits</w:t>
            </w:r>
          </w:p>
        </w:tc>
        <w:tc>
          <w:tcPr>
            <w:tcW w:w="1002" w:type="dxa"/>
          </w:tcPr>
          <w:p w14:paraId="49D04E59" w14:textId="77777777" w:rsidR="00390857" w:rsidRPr="00C96F04" w:rsidRDefault="00390857" w:rsidP="00390857">
            <w:pPr>
              <w:ind w:left="0" w:firstLine="0"/>
              <w:jc w:val="both"/>
              <w:rPr>
                <w:sz w:val="22"/>
                <w:szCs w:val="22"/>
              </w:rPr>
            </w:pPr>
          </w:p>
        </w:tc>
        <w:tc>
          <w:tcPr>
            <w:tcW w:w="1003" w:type="dxa"/>
          </w:tcPr>
          <w:p w14:paraId="49D04E5A" w14:textId="77777777" w:rsidR="00390857" w:rsidRPr="00C96F04" w:rsidRDefault="00390857" w:rsidP="00390857">
            <w:pPr>
              <w:ind w:left="0" w:firstLine="0"/>
              <w:jc w:val="both"/>
              <w:rPr>
                <w:sz w:val="22"/>
                <w:szCs w:val="22"/>
              </w:rPr>
            </w:pPr>
          </w:p>
        </w:tc>
        <w:tc>
          <w:tcPr>
            <w:tcW w:w="1003" w:type="dxa"/>
          </w:tcPr>
          <w:p w14:paraId="49D04E5B" w14:textId="77777777" w:rsidR="00390857" w:rsidRPr="00C96F04" w:rsidRDefault="00390857" w:rsidP="00390857">
            <w:pPr>
              <w:ind w:left="0" w:firstLine="0"/>
              <w:jc w:val="both"/>
              <w:rPr>
                <w:sz w:val="22"/>
                <w:szCs w:val="22"/>
              </w:rPr>
            </w:pPr>
          </w:p>
        </w:tc>
        <w:tc>
          <w:tcPr>
            <w:tcW w:w="1003" w:type="dxa"/>
          </w:tcPr>
          <w:p w14:paraId="49D04E5C" w14:textId="77777777" w:rsidR="00390857" w:rsidRPr="00C96F04" w:rsidRDefault="00390857" w:rsidP="00390857">
            <w:pPr>
              <w:ind w:left="0" w:firstLine="0"/>
              <w:jc w:val="both"/>
              <w:rPr>
                <w:sz w:val="22"/>
                <w:szCs w:val="22"/>
              </w:rPr>
            </w:pPr>
          </w:p>
        </w:tc>
        <w:tc>
          <w:tcPr>
            <w:tcW w:w="1003" w:type="dxa"/>
          </w:tcPr>
          <w:p w14:paraId="49D04E5D" w14:textId="77777777" w:rsidR="00390857" w:rsidRPr="00C96F04" w:rsidRDefault="00390857" w:rsidP="00390857">
            <w:pPr>
              <w:ind w:left="0" w:firstLine="0"/>
              <w:jc w:val="both"/>
              <w:rPr>
                <w:sz w:val="22"/>
                <w:szCs w:val="22"/>
              </w:rPr>
            </w:pPr>
          </w:p>
        </w:tc>
      </w:tr>
      <w:tr w:rsidR="00390857" w:rsidRPr="00C96F04" w14:paraId="49D04E66" w14:textId="77777777" w:rsidTr="00390857">
        <w:tc>
          <w:tcPr>
            <w:tcW w:w="436" w:type="dxa"/>
          </w:tcPr>
          <w:p w14:paraId="49D04E5F" w14:textId="77777777" w:rsidR="00390857" w:rsidRPr="00C96F04" w:rsidRDefault="00390857" w:rsidP="00390857">
            <w:pPr>
              <w:ind w:left="0" w:firstLine="0"/>
              <w:jc w:val="both"/>
              <w:rPr>
                <w:sz w:val="22"/>
                <w:szCs w:val="22"/>
              </w:rPr>
            </w:pPr>
            <w:r w:rsidRPr="00C96F04">
              <w:rPr>
                <w:sz w:val="22"/>
                <w:szCs w:val="22"/>
              </w:rPr>
              <w:t>9</w:t>
            </w:r>
          </w:p>
        </w:tc>
        <w:tc>
          <w:tcPr>
            <w:tcW w:w="2744" w:type="dxa"/>
          </w:tcPr>
          <w:p w14:paraId="49D04E60" w14:textId="77777777" w:rsidR="00390857" w:rsidRPr="00B365E9" w:rsidRDefault="00390857" w:rsidP="00307458">
            <w:pPr>
              <w:ind w:left="318" w:firstLine="0"/>
              <w:rPr>
                <w:i/>
              </w:rPr>
            </w:pPr>
            <w:r w:rsidRPr="00B365E9">
              <w:rPr>
                <w:i/>
              </w:rPr>
              <w:t>Other wholesale funding</w:t>
            </w:r>
          </w:p>
        </w:tc>
        <w:tc>
          <w:tcPr>
            <w:tcW w:w="1002" w:type="dxa"/>
          </w:tcPr>
          <w:p w14:paraId="49D04E61" w14:textId="77777777" w:rsidR="00390857" w:rsidRPr="00C96F04" w:rsidRDefault="00390857" w:rsidP="00390857">
            <w:pPr>
              <w:ind w:left="0" w:firstLine="0"/>
              <w:jc w:val="both"/>
              <w:rPr>
                <w:sz w:val="22"/>
                <w:szCs w:val="22"/>
              </w:rPr>
            </w:pPr>
          </w:p>
        </w:tc>
        <w:tc>
          <w:tcPr>
            <w:tcW w:w="1003" w:type="dxa"/>
          </w:tcPr>
          <w:p w14:paraId="49D04E62" w14:textId="77777777" w:rsidR="00390857" w:rsidRPr="00C96F04" w:rsidRDefault="00390857" w:rsidP="00390857">
            <w:pPr>
              <w:ind w:left="0" w:firstLine="0"/>
              <w:jc w:val="both"/>
              <w:rPr>
                <w:sz w:val="22"/>
                <w:szCs w:val="22"/>
              </w:rPr>
            </w:pPr>
          </w:p>
        </w:tc>
        <w:tc>
          <w:tcPr>
            <w:tcW w:w="1003" w:type="dxa"/>
          </w:tcPr>
          <w:p w14:paraId="49D04E63" w14:textId="77777777" w:rsidR="00390857" w:rsidRPr="00C96F04" w:rsidRDefault="00390857" w:rsidP="00390857">
            <w:pPr>
              <w:ind w:left="0" w:firstLine="0"/>
              <w:jc w:val="both"/>
              <w:rPr>
                <w:sz w:val="22"/>
                <w:szCs w:val="22"/>
              </w:rPr>
            </w:pPr>
          </w:p>
        </w:tc>
        <w:tc>
          <w:tcPr>
            <w:tcW w:w="1003" w:type="dxa"/>
          </w:tcPr>
          <w:p w14:paraId="49D04E64" w14:textId="77777777" w:rsidR="00390857" w:rsidRPr="00C96F04" w:rsidRDefault="00390857" w:rsidP="00390857">
            <w:pPr>
              <w:ind w:left="0" w:firstLine="0"/>
              <w:jc w:val="both"/>
              <w:rPr>
                <w:sz w:val="22"/>
                <w:szCs w:val="22"/>
              </w:rPr>
            </w:pPr>
          </w:p>
        </w:tc>
        <w:tc>
          <w:tcPr>
            <w:tcW w:w="1003" w:type="dxa"/>
          </w:tcPr>
          <w:p w14:paraId="49D04E65" w14:textId="77777777" w:rsidR="00390857" w:rsidRPr="00C96F04" w:rsidRDefault="00390857" w:rsidP="00390857">
            <w:pPr>
              <w:ind w:left="0" w:firstLine="0"/>
              <w:jc w:val="both"/>
              <w:rPr>
                <w:sz w:val="22"/>
                <w:szCs w:val="22"/>
              </w:rPr>
            </w:pPr>
          </w:p>
        </w:tc>
      </w:tr>
      <w:tr w:rsidR="00390857" w:rsidRPr="00C96F04" w14:paraId="49D04E6E" w14:textId="77777777" w:rsidTr="00307458">
        <w:tc>
          <w:tcPr>
            <w:tcW w:w="436" w:type="dxa"/>
            <w:shd w:val="clear" w:color="auto" w:fill="D9D9D9" w:themeFill="background1" w:themeFillShade="D9"/>
          </w:tcPr>
          <w:p w14:paraId="49D04E67" w14:textId="77777777" w:rsidR="00390857" w:rsidRPr="00C96F04" w:rsidRDefault="00390857" w:rsidP="00390857">
            <w:pPr>
              <w:ind w:left="0" w:firstLine="0"/>
              <w:jc w:val="both"/>
              <w:rPr>
                <w:sz w:val="22"/>
                <w:szCs w:val="22"/>
              </w:rPr>
            </w:pPr>
            <w:r w:rsidRPr="00C96F04">
              <w:rPr>
                <w:sz w:val="22"/>
                <w:szCs w:val="22"/>
              </w:rPr>
              <w:t>10</w:t>
            </w:r>
          </w:p>
        </w:tc>
        <w:tc>
          <w:tcPr>
            <w:tcW w:w="2744" w:type="dxa"/>
            <w:shd w:val="clear" w:color="auto" w:fill="D9D9D9" w:themeFill="background1" w:themeFillShade="D9"/>
          </w:tcPr>
          <w:p w14:paraId="49D04E68" w14:textId="77777777" w:rsidR="00390857" w:rsidRPr="00905DB3" w:rsidRDefault="00390857" w:rsidP="00390857">
            <w:pPr>
              <w:ind w:left="0" w:firstLine="0"/>
            </w:pPr>
            <w:r w:rsidRPr="00905DB3">
              <w:t>Liabilities with matching interdependent assets</w:t>
            </w:r>
          </w:p>
        </w:tc>
        <w:tc>
          <w:tcPr>
            <w:tcW w:w="1002" w:type="dxa"/>
            <w:shd w:val="clear" w:color="auto" w:fill="D9D9D9" w:themeFill="background1" w:themeFillShade="D9"/>
          </w:tcPr>
          <w:p w14:paraId="49D04E69"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6A"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6B"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6C"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6D" w14:textId="77777777" w:rsidR="00390857" w:rsidRPr="00C96F04" w:rsidRDefault="00390857" w:rsidP="00390857">
            <w:pPr>
              <w:ind w:left="0" w:firstLine="0"/>
              <w:jc w:val="both"/>
              <w:rPr>
                <w:sz w:val="22"/>
                <w:szCs w:val="22"/>
              </w:rPr>
            </w:pPr>
          </w:p>
        </w:tc>
      </w:tr>
      <w:tr w:rsidR="00390857" w:rsidRPr="00C96F04" w14:paraId="49D04E76" w14:textId="77777777" w:rsidTr="00307458">
        <w:tc>
          <w:tcPr>
            <w:tcW w:w="436" w:type="dxa"/>
            <w:shd w:val="clear" w:color="auto" w:fill="D9D9D9" w:themeFill="background1" w:themeFillShade="D9"/>
          </w:tcPr>
          <w:p w14:paraId="49D04E6F" w14:textId="77777777" w:rsidR="00390857" w:rsidRPr="00C96F04" w:rsidRDefault="00390857" w:rsidP="00390857">
            <w:pPr>
              <w:ind w:left="0" w:firstLine="0"/>
              <w:jc w:val="both"/>
              <w:rPr>
                <w:sz w:val="22"/>
                <w:szCs w:val="22"/>
              </w:rPr>
            </w:pPr>
            <w:r w:rsidRPr="00C96F04">
              <w:rPr>
                <w:sz w:val="22"/>
                <w:szCs w:val="22"/>
              </w:rPr>
              <w:t>11</w:t>
            </w:r>
          </w:p>
        </w:tc>
        <w:tc>
          <w:tcPr>
            <w:tcW w:w="2744" w:type="dxa"/>
            <w:shd w:val="clear" w:color="auto" w:fill="D9D9D9" w:themeFill="background1" w:themeFillShade="D9"/>
          </w:tcPr>
          <w:p w14:paraId="49D04E70" w14:textId="77777777" w:rsidR="00390857" w:rsidRPr="00905DB3" w:rsidRDefault="00390857" w:rsidP="00390857">
            <w:pPr>
              <w:ind w:left="0" w:firstLine="0"/>
            </w:pPr>
            <w:r w:rsidRPr="00905DB3">
              <w:t>Other liabilities</w:t>
            </w:r>
          </w:p>
        </w:tc>
        <w:tc>
          <w:tcPr>
            <w:tcW w:w="1002" w:type="dxa"/>
            <w:tcBorders>
              <w:bottom w:val="single" w:sz="4" w:space="0" w:color="auto"/>
            </w:tcBorders>
            <w:shd w:val="clear" w:color="auto" w:fill="D9D9D9" w:themeFill="background1" w:themeFillShade="D9"/>
          </w:tcPr>
          <w:p w14:paraId="49D04E71"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72"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73" w14:textId="77777777" w:rsidR="00390857" w:rsidRPr="00C96F04" w:rsidRDefault="00390857" w:rsidP="00390857">
            <w:pPr>
              <w:ind w:left="0" w:firstLine="0"/>
              <w:jc w:val="both"/>
              <w:rPr>
                <w:sz w:val="22"/>
                <w:szCs w:val="22"/>
              </w:rPr>
            </w:pPr>
          </w:p>
        </w:tc>
        <w:tc>
          <w:tcPr>
            <w:tcW w:w="1003" w:type="dxa"/>
            <w:shd w:val="clear" w:color="auto" w:fill="D9D9D9" w:themeFill="background1" w:themeFillShade="D9"/>
          </w:tcPr>
          <w:p w14:paraId="49D04E74" w14:textId="77777777" w:rsidR="00390857" w:rsidRPr="00C96F04" w:rsidRDefault="00390857" w:rsidP="00390857">
            <w:pPr>
              <w:ind w:left="0" w:firstLine="0"/>
              <w:jc w:val="both"/>
              <w:rPr>
                <w:sz w:val="22"/>
                <w:szCs w:val="22"/>
              </w:rPr>
            </w:pPr>
          </w:p>
        </w:tc>
        <w:tc>
          <w:tcPr>
            <w:tcW w:w="1003" w:type="dxa"/>
            <w:tcBorders>
              <w:bottom w:val="single" w:sz="4" w:space="0" w:color="auto"/>
            </w:tcBorders>
            <w:shd w:val="clear" w:color="auto" w:fill="D9D9D9" w:themeFill="background1" w:themeFillShade="D9"/>
          </w:tcPr>
          <w:p w14:paraId="49D04E75" w14:textId="77777777" w:rsidR="00390857" w:rsidRPr="00C96F04" w:rsidRDefault="00390857" w:rsidP="00390857">
            <w:pPr>
              <w:ind w:left="0" w:firstLine="0"/>
              <w:jc w:val="both"/>
              <w:rPr>
                <w:sz w:val="22"/>
                <w:szCs w:val="22"/>
              </w:rPr>
            </w:pPr>
          </w:p>
        </w:tc>
      </w:tr>
      <w:tr w:rsidR="00307458" w:rsidRPr="00C96F04" w14:paraId="49D04E7E" w14:textId="77777777" w:rsidTr="00C67966">
        <w:tc>
          <w:tcPr>
            <w:tcW w:w="436" w:type="dxa"/>
          </w:tcPr>
          <w:p w14:paraId="49D04E77" w14:textId="77777777" w:rsidR="00307458" w:rsidRPr="00C96F04" w:rsidRDefault="00307458" w:rsidP="00307458">
            <w:pPr>
              <w:ind w:left="0" w:firstLine="0"/>
              <w:jc w:val="both"/>
              <w:rPr>
                <w:sz w:val="22"/>
                <w:szCs w:val="22"/>
              </w:rPr>
            </w:pPr>
            <w:r w:rsidRPr="00C96F04">
              <w:rPr>
                <w:sz w:val="22"/>
                <w:szCs w:val="22"/>
              </w:rPr>
              <w:t>12</w:t>
            </w:r>
          </w:p>
        </w:tc>
        <w:tc>
          <w:tcPr>
            <w:tcW w:w="2744" w:type="dxa"/>
          </w:tcPr>
          <w:p w14:paraId="49D04E78" w14:textId="77777777" w:rsidR="00307458" w:rsidRPr="00B365E9" w:rsidRDefault="00307458" w:rsidP="00307458">
            <w:pPr>
              <w:ind w:left="318" w:firstLine="0"/>
              <w:rPr>
                <w:i/>
              </w:rPr>
            </w:pPr>
            <w:r w:rsidRPr="00B365E9">
              <w:rPr>
                <w:i/>
              </w:rPr>
              <w:t>NSFR derivative liabilities</w:t>
            </w:r>
          </w:p>
        </w:tc>
        <w:tc>
          <w:tcPr>
            <w:tcW w:w="1002" w:type="dxa"/>
            <w:shd w:val="thinHorzCross" w:color="auto" w:fill="D9D9D9" w:themeFill="background1" w:themeFillShade="D9"/>
            <w:vAlign w:val="center"/>
          </w:tcPr>
          <w:p w14:paraId="49D04E79" w14:textId="77777777" w:rsidR="00307458" w:rsidRPr="00C96F04" w:rsidRDefault="00307458" w:rsidP="00307458">
            <w:pPr>
              <w:ind w:left="0" w:firstLine="0"/>
              <w:jc w:val="both"/>
              <w:rPr>
                <w:sz w:val="22"/>
                <w:szCs w:val="22"/>
              </w:rPr>
            </w:pPr>
          </w:p>
        </w:tc>
        <w:tc>
          <w:tcPr>
            <w:tcW w:w="3009" w:type="dxa"/>
            <w:gridSpan w:val="3"/>
          </w:tcPr>
          <w:p w14:paraId="49D04E7C" w14:textId="77777777" w:rsidR="00307458" w:rsidRPr="00C96F04" w:rsidRDefault="00307458" w:rsidP="00307458">
            <w:pPr>
              <w:ind w:left="0" w:firstLine="0"/>
              <w:jc w:val="both"/>
              <w:rPr>
                <w:sz w:val="22"/>
                <w:szCs w:val="22"/>
              </w:rPr>
            </w:pPr>
          </w:p>
        </w:tc>
        <w:tc>
          <w:tcPr>
            <w:tcW w:w="1003" w:type="dxa"/>
            <w:shd w:val="thinHorzCross" w:color="auto" w:fill="D9D9D9" w:themeFill="background1" w:themeFillShade="D9"/>
            <w:vAlign w:val="center"/>
          </w:tcPr>
          <w:p w14:paraId="49D04E7D" w14:textId="77777777" w:rsidR="00307458" w:rsidRPr="00C96F04" w:rsidRDefault="00307458" w:rsidP="00307458">
            <w:pPr>
              <w:ind w:left="0" w:firstLine="0"/>
              <w:jc w:val="both"/>
              <w:rPr>
                <w:sz w:val="22"/>
                <w:szCs w:val="22"/>
              </w:rPr>
            </w:pPr>
          </w:p>
        </w:tc>
      </w:tr>
      <w:tr w:rsidR="00307458" w:rsidRPr="00C96F04" w14:paraId="49D04E86" w14:textId="77777777" w:rsidTr="00390857">
        <w:tc>
          <w:tcPr>
            <w:tcW w:w="436" w:type="dxa"/>
          </w:tcPr>
          <w:p w14:paraId="49D04E7F" w14:textId="77777777" w:rsidR="00307458" w:rsidRPr="00C96F04" w:rsidRDefault="00307458" w:rsidP="00307458">
            <w:pPr>
              <w:ind w:left="0" w:firstLine="0"/>
              <w:jc w:val="both"/>
              <w:rPr>
                <w:sz w:val="22"/>
                <w:szCs w:val="22"/>
              </w:rPr>
            </w:pPr>
            <w:r w:rsidRPr="00C96F04">
              <w:rPr>
                <w:sz w:val="22"/>
                <w:szCs w:val="22"/>
              </w:rPr>
              <w:t>13</w:t>
            </w:r>
          </w:p>
        </w:tc>
        <w:tc>
          <w:tcPr>
            <w:tcW w:w="2744" w:type="dxa"/>
          </w:tcPr>
          <w:p w14:paraId="49D04E80" w14:textId="77777777" w:rsidR="00307458" w:rsidRPr="00B365E9" w:rsidRDefault="00307458" w:rsidP="00C734F8">
            <w:pPr>
              <w:ind w:left="318" w:firstLine="0"/>
              <w:rPr>
                <w:i/>
              </w:rPr>
            </w:pPr>
            <w:r w:rsidRPr="00B365E9">
              <w:rPr>
                <w:i/>
              </w:rPr>
              <w:t>All other liabilities and equity not included in the above categories</w:t>
            </w:r>
          </w:p>
        </w:tc>
        <w:tc>
          <w:tcPr>
            <w:tcW w:w="1002" w:type="dxa"/>
            <w:tcBorders>
              <w:bottom w:val="single" w:sz="4" w:space="0" w:color="auto"/>
            </w:tcBorders>
          </w:tcPr>
          <w:p w14:paraId="49D04E81" w14:textId="77777777" w:rsidR="00307458" w:rsidRPr="00C96F04" w:rsidRDefault="00307458" w:rsidP="00307458">
            <w:pPr>
              <w:ind w:left="0" w:firstLine="0"/>
              <w:jc w:val="both"/>
              <w:rPr>
                <w:sz w:val="22"/>
                <w:szCs w:val="22"/>
              </w:rPr>
            </w:pPr>
          </w:p>
        </w:tc>
        <w:tc>
          <w:tcPr>
            <w:tcW w:w="1003" w:type="dxa"/>
            <w:tcBorders>
              <w:bottom w:val="single" w:sz="4" w:space="0" w:color="auto"/>
            </w:tcBorders>
          </w:tcPr>
          <w:p w14:paraId="49D04E82" w14:textId="77777777" w:rsidR="00307458" w:rsidRPr="00C96F04" w:rsidRDefault="00307458" w:rsidP="00307458">
            <w:pPr>
              <w:ind w:left="0" w:firstLine="0"/>
              <w:jc w:val="both"/>
              <w:rPr>
                <w:sz w:val="22"/>
                <w:szCs w:val="22"/>
              </w:rPr>
            </w:pPr>
          </w:p>
        </w:tc>
        <w:tc>
          <w:tcPr>
            <w:tcW w:w="1003" w:type="dxa"/>
            <w:tcBorders>
              <w:bottom w:val="single" w:sz="4" w:space="0" w:color="auto"/>
            </w:tcBorders>
          </w:tcPr>
          <w:p w14:paraId="49D04E83" w14:textId="77777777" w:rsidR="00307458" w:rsidRPr="00C96F04" w:rsidRDefault="00307458" w:rsidP="00307458">
            <w:pPr>
              <w:ind w:left="0" w:firstLine="0"/>
              <w:jc w:val="both"/>
              <w:rPr>
                <w:sz w:val="22"/>
                <w:szCs w:val="22"/>
              </w:rPr>
            </w:pPr>
          </w:p>
        </w:tc>
        <w:tc>
          <w:tcPr>
            <w:tcW w:w="1003" w:type="dxa"/>
            <w:tcBorders>
              <w:bottom w:val="single" w:sz="4" w:space="0" w:color="auto"/>
            </w:tcBorders>
          </w:tcPr>
          <w:p w14:paraId="49D04E84" w14:textId="77777777" w:rsidR="00307458" w:rsidRPr="00C96F04" w:rsidRDefault="00307458" w:rsidP="00307458">
            <w:pPr>
              <w:ind w:left="0" w:firstLine="0"/>
              <w:jc w:val="both"/>
              <w:rPr>
                <w:sz w:val="22"/>
                <w:szCs w:val="22"/>
              </w:rPr>
            </w:pPr>
          </w:p>
        </w:tc>
        <w:tc>
          <w:tcPr>
            <w:tcW w:w="1003" w:type="dxa"/>
          </w:tcPr>
          <w:p w14:paraId="49D04E85" w14:textId="77777777" w:rsidR="00307458" w:rsidRPr="00C96F04" w:rsidRDefault="00307458" w:rsidP="00307458">
            <w:pPr>
              <w:ind w:left="0" w:firstLine="0"/>
              <w:jc w:val="both"/>
              <w:rPr>
                <w:sz w:val="22"/>
                <w:szCs w:val="22"/>
              </w:rPr>
            </w:pPr>
          </w:p>
        </w:tc>
      </w:tr>
      <w:tr w:rsidR="00307458" w:rsidRPr="00C96F04" w14:paraId="49D04E8E" w14:textId="77777777" w:rsidTr="00C67966">
        <w:tc>
          <w:tcPr>
            <w:tcW w:w="436" w:type="dxa"/>
          </w:tcPr>
          <w:p w14:paraId="49D04E87" w14:textId="77777777" w:rsidR="00307458" w:rsidRPr="00504118" w:rsidRDefault="00307458" w:rsidP="00307458">
            <w:pPr>
              <w:ind w:left="0" w:firstLine="0"/>
              <w:jc w:val="both"/>
              <w:rPr>
                <w:b/>
                <w:sz w:val="22"/>
                <w:szCs w:val="22"/>
              </w:rPr>
            </w:pPr>
            <w:r w:rsidRPr="00504118">
              <w:rPr>
                <w:b/>
                <w:sz w:val="22"/>
                <w:szCs w:val="22"/>
              </w:rPr>
              <w:t xml:space="preserve">14 </w:t>
            </w:r>
          </w:p>
        </w:tc>
        <w:tc>
          <w:tcPr>
            <w:tcW w:w="2744" w:type="dxa"/>
          </w:tcPr>
          <w:p w14:paraId="49D04E88" w14:textId="77777777" w:rsidR="00307458" w:rsidRPr="00504118" w:rsidRDefault="00307458" w:rsidP="00307458">
            <w:pPr>
              <w:ind w:left="0" w:firstLine="0"/>
              <w:rPr>
                <w:b/>
              </w:rPr>
            </w:pPr>
            <w:r w:rsidRPr="00504118">
              <w:rPr>
                <w:b/>
              </w:rPr>
              <w:t>Total ASF</w:t>
            </w:r>
          </w:p>
        </w:tc>
        <w:tc>
          <w:tcPr>
            <w:tcW w:w="1002" w:type="dxa"/>
            <w:shd w:val="thinHorzCross" w:color="auto" w:fill="D9D9D9" w:themeFill="background1" w:themeFillShade="D9"/>
            <w:vAlign w:val="center"/>
          </w:tcPr>
          <w:p w14:paraId="49D04E89" w14:textId="77777777" w:rsidR="00307458" w:rsidRPr="00C96F04" w:rsidRDefault="00307458" w:rsidP="00307458">
            <w:pPr>
              <w:ind w:left="0" w:firstLine="0"/>
              <w:jc w:val="both"/>
              <w:rPr>
                <w:sz w:val="22"/>
                <w:szCs w:val="22"/>
              </w:rPr>
            </w:pPr>
          </w:p>
        </w:tc>
        <w:tc>
          <w:tcPr>
            <w:tcW w:w="1003" w:type="dxa"/>
            <w:shd w:val="thinHorzCross" w:color="auto" w:fill="D9D9D9" w:themeFill="background1" w:themeFillShade="D9"/>
            <w:vAlign w:val="center"/>
          </w:tcPr>
          <w:p w14:paraId="49D04E8A" w14:textId="77777777" w:rsidR="00307458" w:rsidRPr="00C96F04" w:rsidRDefault="00307458" w:rsidP="00307458">
            <w:pPr>
              <w:ind w:left="0" w:firstLine="0"/>
              <w:jc w:val="both"/>
              <w:rPr>
                <w:sz w:val="22"/>
                <w:szCs w:val="22"/>
              </w:rPr>
            </w:pPr>
          </w:p>
        </w:tc>
        <w:tc>
          <w:tcPr>
            <w:tcW w:w="1003" w:type="dxa"/>
            <w:shd w:val="thinHorzCross" w:color="auto" w:fill="D9D9D9" w:themeFill="background1" w:themeFillShade="D9"/>
            <w:vAlign w:val="center"/>
          </w:tcPr>
          <w:p w14:paraId="49D04E8B" w14:textId="77777777" w:rsidR="00307458" w:rsidRPr="00C96F04" w:rsidRDefault="00307458" w:rsidP="00307458">
            <w:pPr>
              <w:ind w:left="0" w:firstLine="0"/>
              <w:jc w:val="both"/>
              <w:rPr>
                <w:sz w:val="22"/>
                <w:szCs w:val="22"/>
              </w:rPr>
            </w:pPr>
          </w:p>
        </w:tc>
        <w:tc>
          <w:tcPr>
            <w:tcW w:w="1003" w:type="dxa"/>
            <w:shd w:val="thinHorzCross" w:color="auto" w:fill="D9D9D9" w:themeFill="background1" w:themeFillShade="D9"/>
            <w:vAlign w:val="center"/>
          </w:tcPr>
          <w:p w14:paraId="49D04E8C" w14:textId="77777777" w:rsidR="00307458" w:rsidRPr="00C96F04" w:rsidRDefault="00307458" w:rsidP="00307458">
            <w:pPr>
              <w:ind w:left="0" w:firstLine="0"/>
              <w:jc w:val="both"/>
              <w:rPr>
                <w:sz w:val="22"/>
                <w:szCs w:val="22"/>
              </w:rPr>
            </w:pPr>
          </w:p>
        </w:tc>
        <w:tc>
          <w:tcPr>
            <w:tcW w:w="1003" w:type="dxa"/>
            <w:shd w:val="clear" w:color="auto" w:fill="FFFFFF" w:themeFill="background1"/>
          </w:tcPr>
          <w:p w14:paraId="49D04E8D" w14:textId="77777777" w:rsidR="00307458" w:rsidRPr="00C96F04" w:rsidRDefault="00307458" w:rsidP="00307458">
            <w:pPr>
              <w:ind w:left="0" w:firstLine="0"/>
              <w:jc w:val="both"/>
              <w:rPr>
                <w:sz w:val="22"/>
                <w:szCs w:val="22"/>
              </w:rPr>
            </w:pPr>
          </w:p>
        </w:tc>
      </w:tr>
      <w:tr w:rsidR="00307458" w:rsidRPr="00C96F04" w14:paraId="49D04E90" w14:textId="77777777" w:rsidTr="008E622D">
        <w:tc>
          <w:tcPr>
            <w:tcW w:w="8194" w:type="dxa"/>
            <w:gridSpan w:val="7"/>
            <w:shd w:val="clear" w:color="auto" w:fill="BFBFBF" w:themeFill="background1" w:themeFillShade="BF"/>
          </w:tcPr>
          <w:p w14:paraId="49D04E8F" w14:textId="77777777" w:rsidR="00307458" w:rsidRPr="00504118" w:rsidRDefault="00307458" w:rsidP="00307458">
            <w:pPr>
              <w:ind w:left="0" w:firstLine="0"/>
              <w:rPr>
                <w:b/>
              </w:rPr>
            </w:pPr>
            <w:r w:rsidRPr="00504118">
              <w:rPr>
                <w:b/>
              </w:rPr>
              <w:t>Required Stable Funding (RSF) Item</w:t>
            </w:r>
          </w:p>
        </w:tc>
      </w:tr>
      <w:tr w:rsidR="00C67966" w:rsidRPr="00C96F04" w14:paraId="49D04E98" w14:textId="77777777" w:rsidTr="00C67966">
        <w:tc>
          <w:tcPr>
            <w:tcW w:w="436" w:type="dxa"/>
            <w:shd w:val="clear" w:color="auto" w:fill="D9D9D9" w:themeFill="background1" w:themeFillShade="D9"/>
          </w:tcPr>
          <w:p w14:paraId="49D04E91" w14:textId="77777777" w:rsidR="00C734F8" w:rsidRPr="00905DB3" w:rsidRDefault="00C734F8" w:rsidP="00C734F8">
            <w:pPr>
              <w:ind w:left="0" w:firstLine="0"/>
              <w:jc w:val="both"/>
              <w:rPr>
                <w:sz w:val="18"/>
                <w:szCs w:val="18"/>
              </w:rPr>
            </w:pPr>
            <w:r w:rsidRPr="00905DB3">
              <w:rPr>
                <w:sz w:val="18"/>
                <w:szCs w:val="18"/>
              </w:rPr>
              <w:t>15(a)</w:t>
            </w:r>
          </w:p>
        </w:tc>
        <w:tc>
          <w:tcPr>
            <w:tcW w:w="2744" w:type="dxa"/>
            <w:shd w:val="clear" w:color="auto" w:fill="D9D9D9" w:themeFill="background1" w:themeFillShade="D9"/>
          </w:tcPr>
          <w:p w14:paraId="49D04E92" w14:textId="77777777" w:rsidR="00C734F8" w:rsidRPr="00905DB3" w:rsidRDefault="00C734F8" w:rsidP="00C734F8">
            <w:pPr>
              <w:ind w:left="0" w:firstLine="0"/>
            </w:pPr>
            <w:r w:rsidRPr="00905DB3">
              <w:t>Total NSFR (HQLA)</w:t>
            </w:r>
          </w:p>
        </w:tc>
        <w:tc>
          <w:tcPr>
            <w:tcW w:w="1002" w:type="dxa"/>
            <w:shd w:val="thinHorzCross" w:color="auto" w:fill="D9D9D9" w:themeFill="background1" w:themeFillShade="D9"/>
            <w:vAlign w:val="center"/>
          </w:tcPr>
          <w:p w14:paraId="49D04E93" w14:textId="77777777" w:rsidR="00C734F8" w:rsidRPr="00C96F04" w:rsidRDefault="00C734F8" w:rsidP="00C734F8">
            <w:pPr>
              <w:ind w:left="0" w:firstLine="0"/>
              <w:jc w:val="both"/>
              <w:rPr>
                <w:sz w:val="22"/>
                <w:szCs w:val="22"/>
              </w:rPr>
            </w:pPr>
          </w:p>
        </w:tc>
        <w:tc>
          <w:tcPr>
            <w:tcW w:w="1003" w:type="dxa"/>
            <w:shd w:val="thinHorzCross" w:color="auto" w:fill="D9D9D9" w:themeFill="background1" w:themeFillShade="D9"/>
            <w:vAlign w:val="center"/>
          </w:tcPr>
          <w:p w14:paraId="49D04E94" w14:textId="77777777" w:rsidR="00C734F8" w:rsidRPr="00C96F04" w:rsidRDefault="00C734F8" w:rsidP="00C734F8">
            <w:pPr>
              <w:ind w:left="0" w:firstLine="0"/>
              <w:jc w:val="both"/>
              <w:rPr>
                <w:sz w:val="22"/>
                <w:szCs w:val="22"/>
              </w:rPr>
            </w:pPr>
          </w:p>
        </w:tc>
        <w:tc>
          <w:tcPr>
            <w:tcW w:w="1003" w:type="dxa"/>
            <w:shd w:val="thinHorzCross" w:color="auto" w:fill="D9D9D9" w:themeFill="background1" w:themeFillShade="D9"/>
            <w:vAlign w:val="center"/>
          </w:tcPr>
          <w:p w14:paraId="49D04E95" w14:textId="77777777" w:rsidR="00C734F8" w:rsidRPr="00C96F04" w:rsidRDefault="00C734F8" w:rsidP="00C734F8">
            <w:pPr>
              <w:ind w:left="0" w:firstLine="0"/>
              <w:jc w:val="both"/>
              <w:rPr>
                <w:sz w:val="22"/>
                <w:szCs w:val="22"/>
              </w:rPr>
            </w:pPr>
          </w:p>
        </w:tc>
        <w:tc>
          <w:tcPr>
            <w:tcW w:w="1003" w:type="dxa"/>
            <w:shd w:val="thinHorzCross" w:color="auto" w:fill="D9D9D9" w:themeFill="background1" w:themeFillShade="D9"/>
            <w:vAlign w:val="center"/>
          </w:tcPr>
          <w:p w14:paraId="49D04E96" w14:textId="77777777" w:rsidR="00C734F8" w:rsidRPr="00C96F04" w:rsidRDefault="00C734F8" w:rsidP="00C734F8">
            <w:pPr>
              <w:ind w:left="0" w:firstLine="0"/>
              <w:jc w:val="both"/>
              <w:rPr>
                <w:sz w:val="22"/>
                <w:szCs w:val="22"/>
              </w:rPr>
            </w:pPr>
          </w:p>
        </w:tc>
        <w:tc>
          <w:tcPr>
            <w:tcW w:w="1003" w:type="dxa"/>
            <w:shd w:val="clear" w:color="auto" w:fill="D9D9D9" w:themeFill="background1" w:themeFillShade="D9"/>
          </w:tcPr>
          <w:p w14:paraId="49D04E97" w14:textId="77777777" w:rsidR="00C734F8" w:rsidRPr="00C96F04" w:rsidRDefault="00C734F8" w:rsidP="00C734F8">
            <w:pPr>
              <w:ind w:left="0" w:firstLine="0"/>
              <w:jc w:val="both"/>
              <w:rPr>
                <w:sz w:val="22"/>
                <w:szCs w:val="22"/>
              </w:rPr>
            </w:pPr>
          </w:p>
        </w:tc>
      </w:tr>
      <w:tr w:rsidR="00C67966" w:rsidRPr="00C96F04" w14:paraId="49D04EA0" w14:textId="77777777" w:rsidTr="00C67966">
        <w:tc>
          <w:tcPr>
            <w:tcW w:w="436" w:type="dxa"/>
            <w:shd w:val="clear" w:color="auto" w:fill="D9D9D9" w:themeFill="background1" w:themeFillShade="D9"/>
          </w:tcPr>
          <w:p w14:paraId="49D04E99" w14:textId="77777777" w:rsidR="00C734F8" w:rsidRPr="00905DB3" w:rsidRDefault="00C734F8" w:rsidP="00C734F8">
            <w:pPr>
              <w:ind w:left="0" w:firstLine="0"/>
              <w:jc w:val="both"/>
              <w:rPr>
                <w:sz w:val="18"/>
                <w:szCs w:val="18"/>
              </w:rPr>
            </w:pPr>
            <w:r w:rsidRPr="00905DB3">
              <w:rPr>
                <w:sz w:val="18"/>
                <w:szCs w:val="18"/>
              </w:rPr>
              <w:t>15(b)</w:t>
            </w:r>
          </w:p>
        </w:tc>
        <w:tc>
          <w:tcPr>
            <w:tcW w:w="2744" w:type="dxa"/>
            <w:shd w:val="clear" w:color="auto" w:fill="D9D9D9" w:themeFill="background1" w:themeFillShade="D9"/>
          </w:tcPr>
          <w:p w14:paraId="49D04E9A" w14:textId="77777777" w:rsidR="00C734F8" w:rsidRPr="004B17E0" w:rsidRDefault="00C734F8" w:rsidP="00C734F8">
            <w:pPr>
              <w:ind w:left="0" w:firstLine="0"/>
            </w:pPr>
            <w:r w:rsidRPr="00953F7D">
              <w:t>ALA</w:t>
            </w:r>
          </w:p>
        </w:tc>
        <w:tc>
          <w:tcPr>
            <w:tcW w:w="1002" w:type="dxa"/>
            <w:shd w:val="thinHorzCross" w:color="auto" w:fill="D9D9D9" w:themeFill="background1" w:themeFillShade="D9"/>
            <w:vAlign w:val="center"/>
          </w:tcPr>
          <w:p w14:paraId="49D04E9B" w14:textId="77777777" w:rsidR="00C734F8" w:rsidRPr="00C96F04" w:rsidRDefault="00C734F8" w:rsidP="00C734F8">
            <w:pPr>
              <w:ind w:left="0" w:firstLine="0"/>
              <w:jc w:val="both"/>
              <w:rPr>
                <w:sz w:val="22"/>
                <w:szCs w:val="22"/>
              </w:rPr>
            </w:pPr>
          </w:p>
        </w:tc>
        <w:tc>
          <w:tcPr>
            <w:tcW w:w="1003" w:type="dxa"/>
            <w:shd w:val="thinHorzCross" w:color="auto" w:fill="D9D9D9" w:themeFill="background1" w:themeFillShade="D9"/>
            <w:vAlign w:val="center"/>
          </w:tcPr>
          <w:p w14:paraId="49D04E9C" w14:textId="77777777" w:rsidR="00C734F8" w:rsidRPr="00C96F04" w:rsidRDefault="00C734F8" w:rsidP="00C734F8">
            <w:pPr>
              <w:ind w:left="0" w:firstLine="0"/>
              <w:jc w:val="both"/>
              <w:rPr>
                <w:sz w:val="22"/>
                <w:szCs w:val="22"/>
              </w:rPr>
            </w:pPr>
          </w:p>
        </w:tc>
        <w:tc>
          <w:tcPr>
            <w:tcW w:w="1003" w:type="dxa"/>
            <w:shd w:val="thinHorzCross" w:color="auto" w:fill="D9D9D9" w:themeFill="background1" w:themeFillShade="D9"/>
            <w:vAlign w:val="center"/>
          </w:tcPr>
          <w:p w14:paraId="49D04E9D" w14:textId="77777777" w:rsidR="00C734F8" w:rsidRPr="00C96F04" w:rsidRDefault="00C734F8" w:rsidP="00C734F8">
            <w:pPr>
              <w:ind w:left="0" w:firstLine="0"/>
              <w:jc w:val="both"/>
              <w:rPr>
                <w:sz w:val="22"/>
                <w:szCs w:val="22"/>
              </w:rPr>
            </w:pPr>
          </w:p>
        </w:tc>
        <w:tc>
          <w:tcPr>
            <w:tcW w:w="1003" w:type="dxa"/>
            <w:shd w:val="thinHorzCross" w:color="auto" w:fill="D9D9D9" w:themeFill="background1" w:themeFillShade="D9"/>
            <w:vAlign w:val="center"/>
          </w:tcPr>
          <w:p w14:paraId="49D04E9E" w14:textId="77777777" w:rsidR="00C734F8" w:rsidRPr="00C96F04" w:rsidRDefault="00C734F8" w:rsidP="00C734F8">
            <w:pPr>
              <w:ind w:left="0" w:firstLine="0"/>
              <w:jc w:val="both"/>
              <w:rPr>
                <w:sz w:val="22"/>
                <w:szCs w:val="22"/>
              </w:rPr>
            </w:pPr>
          </w:p>
        </w:tc>
        <w:tc>
          <w:tcPr>
            <w:tcW w:w="1003" w:type="dxa"/>
            <w:shd w:val="clear" w:color="auto" w:fill="D9D9D9" w:themeFill="background1" w:themeFillShade="D9"/>
          </w:tcPr>
          <w:p w14:paraId="49D04E9F" w14:textId="77777777" w:rsidR="00C734F8" w:rsidRPr="00C96F04" w:rsidRDefault="00C734F8" w:rsidP="00C734F8">
            <w:pPr>
              <w:ind w:left="0" w:firstLine="0"/>
              <w:jc w:val="both"/>
              <w:rPr>
                <w:sz w:val="22"/>
                <w:szCs w:val="22"/>
              </w:rPr>
            </w:pPr>
          </w:p>
        </w:tc>
      </w:tr>
      <w:tr w:rsidR="00C67966" w:rsidRPr="00C96F04" w14:paraId="49D04EA8" w14:textId="77777777" w:rsidTr="00C67966">
        <w:tc>
          <w:tcPr>
            <w:tcW w:w="436" w:type="dxa"/>
            <w:shd w:val="clear" w:color="auto" w:fill="D9D9D9" w:themeFill="background1" w:themeFillShade="D9"/>
          </w:tcPr>
          <w:p w14:paraId="49D04EA1" w14:textId="77777777" w:rsidR="00C734F8" w:rsidRPr="00905DB3" w:rsidRDefault="00C734F8" w:rsidP="00C734F8">
            <w:pPr>
              <w:ind w:left="0" w:firstLine="0"/>
              <w:jc w:val="both"/>
              <w:rPr>
                <w:sz w:val="18"/>
                <w:szCs w:val="18"/>
              </w:rPr>
            </w:pPr>
            <w:r w:rsidRPr="00905DB3">
              <w:rPr>
                <w:sz w:val="18"/>
                <w:szCs w:val="18"/>
              </w:rPr>
              <w:t>15(c)</w:t>
            </w:r>
          </w:p>
        </w:tc>
        <w:tc>
          <w:tcPr>
            <w:tcW w:w="2744" w:type="dxa"/>
            <w:shd w:val="clear" w:color="auto" w:fill="D9D9D9" w:themeFill="background1" w:themeFillShade="D9"/>
          </w:tcPr>
          <w:p w14:paraId="49D04EA2" w14:textId="77777777" w:rsidR="00C734F8" w:rsidRPr="004B17E0" w:rsidRDefault="00C734F8" w:rsidP="00C734F8">
            <w:pPr>
              <w:ind w:left="0" w:firstLine="0"/>
            </w:pPr>
            <w:r w:rsidRPr="00953F7D">
              <w:t>RBNZ securities</w:t>
            </w:r>
          </w:p>
        </w:tc>
        <w:tc>
          <w:tcPr>
            <w:tcW w:w="1002" w:type="dxa"/>
            <w:shd w:val="thinHorzCross" w:color="auto" w:fill="D9D9D9" w:themeFill="background1" w:themeFillShade="D9"/>
            <w:vAlign w:val="center"/>
          </w:tcPr>
          <w:p w14:paraId="49D04EA3" w14:textId="77777777" w:rsidR="00C734F8" w:rsidRPr="00C96F04" w:rsidRDefault="00C734F8" w:rsidP="00C734F8">
            <w:pPr>
              <w:ind w:left="0" w:firstLine="0"/>
              <w:jc w:val="both"/>
              <w:rPr>
                <w:sz w:val="22"/>
                <w:szCs w:val="22"/>
              </w:rPr>
            </w:pPr>
          </w:p>
        </w:tc>
        <w:tc>
          <w:tcPr>
            <w:tcW w:w="1003" w:type="dxa"/>
            <w:shd w:val="thinHorzCross" w:color="auto" w:fill="D9D9D9" w:themeFill="background1" w:themeFillShade="D9"/>
            <w:vAlign w:val="center"/>
          </w:tcPr>
          <w:p w14:paraId="49D04EA4" w14:textId="77777777" w:rsidR="00C734F8" w:rsidRPr="00C96F04" w:rsidRDefault="00C734F8" w:rsidP="00C734F8">
            <w:pPr>
              <w:ind w:left="0" w:firstLine="0"/>
              <w:jc w:val="both"/>
              <w:rPr>
                <w:sz w:val="22"/>
                <w:szCs w:val="22"/>
              </w:rPr>
            </w:pPr>
          </w:p>
        </w:tc>
        <w:tc>
          <w:tcPr>
            <w:tcW w:w="1003" w:type="dxa"/>
            <w:shd w:val="thinHorzCross" w:color="auto" w:fill="D9D9D9" w:themeFill="background1" w:themeFillShade="D9"/>
            <w:vAlign w:val="center"/>
          </w:tcPr>
          <w:p w14:paraId="49D04EA5" w14:textId="77777777" w:rsidR="00C734F8" w:rsidRPr="00C96F04" w:rsidRDefault="00C734F8" w:rsidP="00C734F8">
            <w:pPr>
              <w:ind w:left="0" w:firstLine="0"/>
              <w:jc w:val="both"/>
              <w:rPr>
                <w:sz w:val="22"/>
                <w:szCs w:val="22"/>
              </w:rPr>
            </w:pPr>
          </w:p>
        </w:tc>
        <w:tc>
          <w:tcPr>
            <w:tcW w:w="1003" w:type="dxa"/>
            <w:shd w:val="thinHorzCross" w:color="auto" w:fill="D9D9D9" w:themeFill="background1" w:themeFillShade="D9"/>
            <w:vAlign w:val="center"/>
          </w:tcPr>
          <w:p w14:paraId="49D04EA6" w14:textId="77777777" w:rsidR="00C734F8" w:rsidRPr="00C96F04" w:rsidRDefault="00C734F8" w:rsidP="00C734F8">
            <w:pPr>
              <w:ind w:left="0" w:firstLine="0"/>
              <w:jc w:val="both"/>
              <w:rPr>
                <w:sz w:val="22"/>
                <w:szCs w:val="22"/>
              </w:rPr>
            </w:pPr>
          </w:p>
        </w:tc>
        <w:tc>
          <w:tcPr>
            <w:tcW w:w="1003" w:type="dxa"/>
            <w:shd w:val="clear" w:color="auto" w:fill="D9D9D9" w:themeFill="background1" w:themeFillShade="D9"/>
          </w:tcPr>
          <w:p w14:paraId="49D04EA7" w14:textId="77777777" w:rsidR="00C734F8" w:rsidRPr="00C96F04" w:rsidRDefault="00C734F8" w:rsidP="00C734F8">
            <w:pPr>
              <w:ind w:left="0" w:firstLine="0"/>
              <w:jc w:val="both"/>
              <w:rPr>
                <w:sz w:val="22"/>
                <w:szCs w:val="22"/>
              </w:rPr>
            </w:pPr>
          </w:p>
        </w:tc>
      </w:tr>
      <w:tr w:rsidR="00307458" w:rsidRPr="00C96F04" w14:paraId="49D04EB0" w14:textId="77777777" w:rsidTr="00C734F8">
        <w:tc>
          <w:tcPr>
            <w:tcW w:w="436" w:type="dxa"/>
            <w:shd w:val="clear" w:color="auto" w:fill="D9D9D9" w:themeFill="background1" w:themeFillShade="D9"/>
          </w:tcPr>
          <w:p w14:paraId="49D04EA9" w14:textId="77777777" w:rsidR="00307458" w:rsidRPr="00C96F04" w:rsidRDefault="00307458" w:rsidP="00307458">
            <w:pPr>
              <w:ind w:left="0" w:firstLine="0"/>
              <w:jc w:val="both"/>
              <w:rPr>
                <w:sz w:val="22"/>
                <w:szCs w:val="22"/>
              </w:rPr>
            </w:pPr>
            <w:r w:rsidRPr="00C96F04">
              <w:rPr>
                <w:sz w:val="22"/>
                <w:szCs w:val="22"/>
              </w:rPr>
              <w:t>16</w:t>
            </w:r>
          </w:p>
        </w:tc>
        <w:tc>
          <w:tcPr>
            <w:tcW w:w="2744" w:type="dxa"/>
            <w:shd w:val="clear" w:color="auto" w:fill="D9D9D9" w:themeFill="background1" w:themeFillShade="D9"/>
          </w:tcPr>
          <w:p w14:paraId="49D04EAA" w14:textId="77777777" w:rsidR="00307458" w:rsidRPr="00905DB3" w:rsidRDefault="00307458" w:rsidP="00307458">
            <w:pPr>
              <w:ind w:left="0" w:firstLine="0"/>
            </w:pPr>
            <w:r w:rsidRPr="00905DB3">
              <w:t>Deposits held at other financial institutions for operational purposes</w:t>
            </w:r>
          </w:p>
        </w:tc>
        <w:tc>
          <w:tcPr>
            <w:tcW w:w="1002" w:type="dxa"/>
            <w:shd w:val="clear" w:color="auto" w:fill="D9D9D9" w:themeFill="background1" w:themeFillShade="D9"/>
          </w:tcPr>
          <w:p w14:paraId="49D04EAB" w14:textId="77777777" w:rsidR="00307458" w:rsidRPr="00C96F04" w:rsidRDefault="00307458" w:rsidP="00307458">
            <w:pPr>
              <w:ind w:left="0" w:firstLine="0"/>
              <w:jc w:val="both"/>
              <w:rPr>
                <w:sz w:val="22"/>
                <w:szCs w:val="22"/>
              </w:rPr>
            </w:pPr>
          </w:p>
        </w:tc>
        <w:tc>
          <w:tcPr>
            <w:tcW w:w="1003" w:type="dxa"/>
            <w:shd w:val="clear" w:color="auto" w:fill="D9D9D9" w:themeFill="background1" w:themeFillShade="D9"/>
          </w:tcPr>
          <w:p w14:paraId="49D04EAC" w14:textId="77777777" w:rsidR="00307458" w:rsidRPr="00C96F04" w:rsidRDefault="00307458" w:rsidP="00307458">
            <w:pPr>
              <w:ind w:left="0" w:firstLine="0"/>
              <w:jc w:val="both"/>
              <w:rPr>
                <w:sz w:val="22"/>
                <w:szCs w:val="22"/>
              </w:rPr>
            </w:pPr>
          </w:p>
        </w:tc>
        <w:tc>
          <w:tcPr>
            <w:tcW w:w="1003" w:type="dxa"/>
            <w:shd w:val="clear" w:color="auto" w:fill="D9D9D9" w:themeFill="background1" w:themeFillShade="D9"/>
          </w:tcPr>
          <w:p w14:paraId="49D04EAD" w14:textId="77777777" w:rsidR="00307458" w:rsidRPr="00C96F04" w:rsidRDefault="00307458" w:rsidP="00307458">
            <w:pPr>
              <w:ind w:left="0" w:firstLine="0"/>
              <w:jc w:val="both"/>
              <w:rPr>
                <w:sz w:val="22"/>
                <w:szCs w:val="22"/>
              </w:rPr>
            </w:pPr>
          </w:p>
        </w:tc>
        <w:tc>
          <w:tcPr>
            <w:tcW w:w="1003" w:type="dxa"/>
            <w:shd w:val="clear" w:color="auto" w:fill="D9D9D9" w:themeFill="background1" w:themeFillShade="D9"/>
          </w:tcPr>
          <w:p w14:paraId="49D04EAE" w14:textId="77777777" w:rsidR="00307458" w:rsidRPr="00C96F04" w:rsidRDefault="00307458" w:rsidP="00307458">
            <w:pPr>
              <w:ind w:left="0" w:firstLine="0"/>
              <w:jc w:val="both"/>
              <w:rPr>
                <w:sz w:val="22"/>
                <w:szCs w:val="22"/>
              </w:rPr>
            </w:pPr>
          </w:p>
        </w:tc>
        <w:tc>
          <w:tcPr>
            <w:tcW w:w="1003" w:type="dxa"/>
            <w:shd w:val="clear" w:color="auto" w:fill="D9D9D9" w:themeFill="background1" w:themeFillShade="D9"/>
          </w:tcPr>
          <w:p w14:paraId="49D04EAF" w14:textId="77777777" w:rsidR="00307458" w:rsidRPr="00C96F04" w:rsidRDefault="00307458" w:rsidP="00307458">
            <w:pPr>
              <w:ind w:left="0" w:firstLine="0"/>
              <w:jc w:val="both"/>
              <w:rPr>
                <w:sz w:val="22"/>
                <w:szCs w:val="22"/>
              </w:rPr>
            </w:pPr>
          </w:p>
        </w:tc>
      </w:tr>
      <w:tr w:rsidR="00307458" w:rsidRPr="00C96F04" w14:paraId="49D04EB8" w14:textId="77777777" w:rsidTr="00C734F8">
        <w:tc>
          <w:tcPr>
            <w:tcW w:w="436" w:type="dxa"/>
            <w:shd w:val="clear" w:color="auto" w:fill="D9D9D9" w:themeFill="background1" w:themeFillShade="D9"/>
          </w:tcPr>
          <w:p w14:paraId="49D04EB1" w14:textId="77777777" w:rsidR="00307458" w:rsidRPr="00C96F04" w:rsidRDefault="00307458" w:rsidP="00307458">
            <w:pPr>
              <w:ind w:left="0" w:firstLine="0"/>
              <w:jc w:val="both"/>
              <w:rPr>
                <w:sz w:val="22"/>
                <w:szCs w:val="22"/>
              </w:rPr>
            </w:pPr>
            <w:r w:rsidRPr="00C96F04">
              <w:rPr>
                <w:sz w:val="22"/>
                <w:szCs w:val="22"/>
              </w:rPr>
              <w:t>17</w:t>
            </w:r>
          </w:p>
        </w:tc>
        <w:tc>
          <w:tcPr>
            <w:tcW w:w="2744" w:type="dxa"/>
            <w:shd w:val="clear" w:color="auto" w:fill="D9D9D9" w:themeFill="background1" w:themeFillShade="D9"/>
          </w:tcPr>
          <w:p w14:paraId="49D04EB2" w14:textId="77777777" w:rsidR="00307458" w:rsidRPr="00905DB3" w:rsidRDefault="00307458" w:rsidP="00307458">
            <w:pPr>
              <w:ind w:left="0" w:firstLine="0"/>
            </w:pPr>
            <w:r w:rsidRPr="00905DB3">
              <w:t>Performing loans and securities</w:t>
            </w:r>
          </w:p>
        </w:tc>
        <w:tc>
          <w:tcPr>
            <w:tcW w:w="1002" w:type="dxa"/>
            <w:shd w:val="clear" w:color="auto" w:fill="D9D9D9" w:themeFill="background1" w:themeFillShade="D9"/>
          </w:tcPr>
          <w:p w14:paraId="49D04EB3" w14:textId="77777777" w:rsidR="00307458" w:rsidRPr="00C96F04" w:rsidRDefault="00307458" w:rsidP="00307458">
            <w:pPr>
              <w:ind w:left="0" w:firstLine="0"/>
              <w:jc w:val="both"/>
              <w:rPr>
                <w:sz w:val="22"/>
                <w:szCs w:val="22"/>
              </w:rPr>
            </w:pPr>
          </w:p>
        </w:tc>
        <w:tc>
          <w:tcPr>
            <w:tcW w:w="1003" w:type="dxa"/>
            <w:shd w:val="clear" w:color="auto" w:fill="D9D9D9" w:themeFill="background1" w:themeFillShade="D9"/>
          </w:tcPr>
          <w:p w14:paraId="49D04EB4" w14:textId="77777777" w:rsidR="00307458" w:rsidRPr="00C96F04" w:rsidRDefault="00307458" w:rsidP="00307458">
            <w:pPr>
              <w:ind w:left="0" w:firstLine="0"/>
              <w:jc w:val="both"/>
              <w:rPr>
                <w:sz w:val="22"/>
                <w:szCs w:val="22"/>
              </w:rPr>
            </w:pPr>
          </w:p>
        </w:tc>
        <w:tc>
          <w:tcPr>
            <w:tcW w:w="1003" w:type="dxa"/>
            <w:shd w:val="clear" w:color="auto" w:fill="D9D9D9" w:themeFill="background1" w:themeFillShade="D9"/>
          </w:tcPr>
          <w:p w14:paraId="49D04EB5" w14:textId="77777777" w:rsidR="00307458" w:rsidRPr="00C96F04" w:rsidRDefault="00307458" w:rsidP="00307458">
            <w:pPr>
              <w:ind w:left="0" w:firstLine="0"/>
              <w:jc w:val="both"/>
              <w:rPr>
                <w:sz w:val="22"/>
                <w:szCs w:val="22"/>
              </w:rPr>
            </w:pPr>
          </w:p>
        </w:tc>
        <w:tc>
          <w:tcPr>
            <w:tcW w:w="1003" w:type="dxa"/>
            <w:shd w:val="clear" w:color="auto" w:fill="D9D9D9" w:themeFill="background1" w:themeFillShade="D9"/>
          </w:tcPr>
          <w:p w14:paraId="49D04EB6" w14:textId="77777777" w:rsidR="00307458" w:rsidRPr="00C96F04" w:rsidRDefault="00307458" w:rsidP="00307458">
            <w:pPr>
              <w:ind w:left="0" w:firstLine="0"/>
              <w:jc w:val="both"/>
              <w:rPr>
                <w:sz w:val="22"/>
                <w:szCs w:val="22"/>
              </w:rPr>
            </w:pPr>
          </w:p>
        </w:tc>
        <w:tc>
          <w:tcPr>
            <w:tcW w:w="1003" w:type="dxa"/>
            <w:shd w:val="clear" w:color="auto" w:fill="D9D9D9" w:themeFill="background1" w:themeFillShade="D9"/>
          </w:tcPr>
          <w:p w14:paraId="49D04EB7" w14:textId="77777777" w:rsidR="00307458" w:rsidRPr="00C96F04" w:rsidRDefault="00307458" w:rsidP="00307458">
            <w:pPr>
              <w:ind w:left="0" w:firstLine="0"/>
              <w:jc w:val="both"/>
              <w:rPr>
                <w:sz w:val="22"/>
                <w:szCs w:val="22"/>
              </w:rPr>
            </w:pPr>
          </w:p>
        </w:tc>
      </w:tr>
      <w:tr w:rsidR="00307458" w:rsidRPr="00C96F04" w14:paraId="49D04EC0" w14:textId="77777777" w:rsidTr="00390857">
        <w:tc>
          <w:tcPr>
            <w:tcW w:w="436" w:type="dxa"/>
          </w:tcPr>
          <w:p w14:paraId="49D04EB9" w14:textId="77777777" w:rsidR="00307458" w:rsidRPr="00C96F04" w:rsidRDefault="00307458" w:rsidP="00307458">
            <w:pPr>
              <w:ind w:left="0" w:firstLine="0"/>
              <w:jc w:val="both"/>
              <w:rPr>
                <w:sz w:val="22"/>
                <w:szCs w:val="22"/>
              </w:rPr>
            </w:pPr>
            <w:r w:rsidRPr="00C96F04">
              <w:rPr>
                <w:sz w:val="22"/>
                <w:szCs w:val="22"/>
              </w:rPr>
              <w:t>18</w:t>
            </w:r>
          </w:p>
        </w:tc>
        <w:tc>
          <w:tcPr>
            <w:tcW w:w="2744" w:type="dxa"/>
          </w:tcPr>
          <w:p w14:paraId="49D04EBA" w14:textId="77777777" w:rsidR="00307458" w:rsidRPr="00B365E9" w:rsidRDefault="00307458" w:rsidP="003D05EF">
            <w:pPr>
              <w:ind w:left="318" w:firstLine="0"/>
              <w:rPr>
                <w:i/>
              </w:rPr>
            </w:pPr>
            <w:r w:rsidRPr="00B365E9">
              <w:rPr>
                <w:i/>
              </w:rPr>
              <w:t>Performing loans to financial institutions secured by Level 1 HQLA</w:t>
            </w:r>
          </w:p>
        </w:tc>
        <w:tc>
          <w:tcPr>
            <w:tcW w:w="1002" w:type="dxa"/>
          </w:tcPr>
          <w:p w14:paraId="49D04EBB" w14:textId="77777777" w:rsidR="00307458" w:rsidRPr="00C96F04" w:rsidRDefault="00307458" w:rsidP="00307458">
            <w:pPr>
              <w:ind w:left="0" w:firstLine="0"/>
              <w:jc w:val="both"/>
              <w:rPr>
                <w:sz w:val="22"/>
                <w:szCs w:val="22"/>
              </w:rPr>
            </w:pPr>
          </w:p>
        </w:tc>
        <w:tc>
          <w:tcPr>
            <w:tcW w:w="1003" w:type="dxa"/>
          </w:tcPr>
          <w:p w14:paraId="49D04EBC" w14:textId="77777777" w:rsidR="00307458" w:rsidRPr="00C96F04" w:rsidRDefault="00307458" w:rsidP="00307458">
            <w:pPr>
              <w:ind w:left="0" w:firstLine="0"/>
              <w:jc w:val="both"/>
              <w:rPr>
                <w:sz w:val="22"/>
                <w:szCs w:val="22"/>
              </w:rPr>
            </w:pPr>
          </w:p>
        </w:tc>
        <w:tc>
          <w:tcPr>
            <w:tcW w:w="1003" w:type="dxa"/>
          </w:tcPr>
          <w:p w14:paraId="49D04EBD" w14:textId="77777777" w:rsidR="00307458" w:rsidRPr="00C96F04" w:rsidRDefault="00307458" w:rsidP="00307458">
            <w:pPr>
              <w:ind w:left="0" w:firstLine="0"/>
              <w:jc w:val="both"/>
              <w:rPr>
                <w:sz w:val="22"/>
                <w:szCs w:val="22"/>
              </w:rPr>
            </w:pPr>
          </w:p>
        </w:tc>
        <w:tc>
          <w:tcPr>
            <w:tcW w:w="1003" w:type="dxa"/>
          </w:tcPr>
          <w:p w14:paraId="49D04EBE" w14:textId="77777777" w:rsidR="00307458" w:rsidRPr="00C96F04" w:rsidRDefault="00307458" w:rsidP="00307458">
            <w:pPr>
              <w:ind w:left="0" w:firstLine="0"/>
              <w:jc w:val="both"/>
              <w:rPr>
                <w:sz w:val="22"/>
                <w:szCs w:val="22"/>
              </w:rPr>
            </w:pPr>
          </w:p>
        </w:tc>
        <w:tc>
          <w:tcPr>
            <w:tcW w:w="1003" w:type="dxa"/>
          </w:tcPr>
          <w:p w14:paraId="49D04EBF" w14:textId="77777777" w:rsidR="00307458" w:rsidRPr="00C96F04" w:rsidRDefault="00307458" w:rsidP="00307458">
            <w:pPr>
              <w:ind w:left="0" w:firstLine="0"/>
              <w:jc w:val="both"/>
              <w:rPr>
                <w:sz w:val="22"/>
                <w:szCs w:val="22"/>
              </w:rPr>
            </w:pPr>
          </w:p>
        </w:tc>
      </w:tr>
      <w:tr w:rsidR="00307458" w:rsidRPr="00C96F04" w14:paraId="49D04EC8" w14:textId="77777777" w:rsidTr="00390857">
        <w:tc>
          <w:tcPr>
            <w:tcW w:w="436" w:type="dxa"/>
          </w:tcPr>
          <w:p w14:paraId="49D04EC1" w14:textId="77777777" w:rsidR="00307458" w:rsidRPr="00C96F04" w:rsidRDefault="00307458" w:rsidP="00307458">
            <w:pPr>
              <w:ind w:left="0" w:firstLine="0"/>
              <w:jc w:val="both"/>
              <w:rPr>
                <w:sz w:val="22"/>
                <w:szCs w:val="22"/>
              </w:rPr>
            </w:pPr>
            <w:r w:rsidRPr="00C96F04">
              <w:rPr>
                <w:sz w:val="22"/>
                <w:szCs w:val="22"/>
              </w:rPr>
              <w:t>19</w:t>
            </w:r>
          </w:p>
        </w:tc>
        <w:tc>
          <w:tcPr>
            <w:tcW w:w="2744" w:type="dxa"/>
          </w:tcPr>
          <w:p w14:paraId="49D04EC2" w14:textId="77777777" w:rsidR="00307458" w:rsidRPr="00B365E9" w:rsidRDefault="00307458" w:rsidP="003D05EF">
            <w:pPr>
              <w:ind w:left="318" w:firstLine="0"/>
              <w:rPr>
                <w:i/>
              </w:rPr>
            </w:pPr>
            <w:r w:rsidRPr="00B365E9">
              <w:rPr>
                <w:i/>
              </w:rPr>
              <w:t>Performing loans to financial institutions secured by non-Level 1 HQLA and unsecured performing loans to financial institutions</w:t>
            </w:r>
          </w:p>
        </w:tc>
        <w:tc>
          <w:tcPr>
            <w:tcW w:w="1002" w:type="dxa"/>
          </w:tcPr>
          <w:p w14:paraId="49D04EC3" w14:textId="77777777" w:rsidR="00307458" w:rsidRPr="00C96F04" w:rsidRDefault="00307458" w:rsidP="00307458">
            <w:pPr>
              <w:ind w:left="0" w:firstLine="0"/>
              <w:jc w:val="both"/>
              <w:rPr>
                <w:sz w:val="22"/>
                <w:szCs w:val="22"/>
              </w:rPr>
            </w:pPr>
          </w:p>
        </w:tc>
        <w:tc>
          <w:tcPr>
            <w:tcW w:w="1003" w:type="dxa"/>
          </w:tcPr>
          <w:p w14:paraId="49D04EC4" w14:textId="77777777" w:rsidR="00307458" w:rsidRPr="00C96F04" w:rsidRDefault="00307458" w:rsidP="00307458">
            <w:pPr>
              <w:ind w:left="0" w:firstLine="0"/>
              <w:jc w:val="both"/>
              <w:rPr>
                <w:sz w:val="22"/>
                <w:szCs w:val="22"/>
              </w:rPr>
            </w:pPr>
          </w:p>
        </w:tc>
        <w:tc>
          <w:tcPr>
            <w:tcW w:w="1003" w:type="dxa"/>
          </w:tcPr>
          <w:p w14:paraId="49D04EC5" w14:textId="77777777" w:rsidR="00307458" w:rsidRPr="00C96F04" w:rsidRDefault="00307458" w:rsidP="00307458">
            <w:pPr>
              <w:ind w:left="0" w:firstLine="0"/>
              <w:jc w:val="both"/>
              <w:rPr>
                <w:sz w:val="22"/>
                <w:szCs w:val="22"/>
              </w:rPr>
            </w:pPr>
          </w:p>
        </w:tc>
        <w:tc>
          <w:tcPr>
            <w:tcW w:w="1003" w:type="dxa"/>
          </w:tcPr>
          <w:p w14:paraId="49D04EC6" w14:textId="77777777" w:rsidR="00307458" w:rsidRPr="00C96F04" w:rsidRDefault="00307458" w:rsidP="00307458">
            <w:pPr>
              <w:ind w:left="0" w:firstLine="0"/>
              <w:jc w:val="both"/>
              <w:rPr>
                <w:sz w:val="22"/>
                <w:szCs w:val="22"/>
              </w:rPr>
            </w:pPr>
          </w:p>
        </w:tc>
        <w:tc>
          <w:tcPr>
            <w:tcW w:w="1003" w:type="dxa"/>
          </w:tcPr>
          <w:p w14:paraId="49D04EC7" w14:textId="77777777" w:rsidR="00307458" w:rsidRPr="00C96F04" w:rsidRDefault="00307458" w:rsidP="00307458">
            <w:pPr>
              <w:ind w:left="0" w:firstLine="0"/>
              <w:jc w:val="both"/>
              <w:rPr>
                <w:sz w:val="22"/>
                <w:szCs w:val="22"/>
              </w:rPr>
            </w:pPr>
          </w:p>
        </w:tc>
      </w:tr>
      <w:tr w:rsidR="00307458" w:rsidRPr="00C96F04" w14:paraId="49D04ED0" w14:textId="77777777" w:rsidTr="00390857">
        <w:tc>
          <w:tcPr>
            <w:tcW w:w="436" w:type="dxa"/>
          </w:tcPr>
          <w:p w14:paraId="49D04EC9" w14:textId="77777777" w:rsidR="00307458" w:rsidRPr="00C96F04" w:rsidRDefault="00307458" w:rsidP="00307458">
            <w:pPr>
              <w:ind w:left="0" w:firstLine="0"/>
              <w:jc w:val="both"/>
              <w:rPr>
                <w:sz w:val="22"/>
                <w:szCs w:val="22"/>
              </w:rPr>
            </w:pPr>
            <w:r w:rsidRPr="00C96F04">
              <w:rPr>
                <w:sz w:val="22"/>
                <w:szCs w:val="22"/>
              </w:rPr>
              <w:t>20</w:t>
            </w:r>
          </w:p>
        </w:tc>
        <w:tc>
          <w:tcPr>
            <w:tcW w:w="2744" w:type="dxa"/>
          </w:tcPr>
          <w:p w14:paraId="49D04ECA" w14:textId="77777777" w:rsidR="00307458" w:rsidRPr="00B365E9" w:rsidRDefault="00307458" w:rsidP="003D05EF">
            <w:pPr>
              <w:ind w:left="318" w:firstLine="0"/>
              <w:rPr>
                <w:i/>
              </w:rPr>
            </w:pPr>
            <w:r w:rsidRPr="00B365E9">
              <w:rPr>
                <w:i/>
              </w:rPr>
              <w:t>Performing loans to non- financial corporate clients, loans to retail and small business customers, and loans to sovereigns, central banks and public sector entities (PSEs), of which:</w:t>
            </w:r>
          </w:p>
        </w:tc>
        <w:tc>
          <w:tcPr>
            <w:tcW w:w="1002" w:type="dxa"/>
          </w:tcPr>
          <w:p w14:paraId="49D04ECB" w14:textId="77777777" w:rsidR="00307458" w:rsidRPr="00C96F04" w:rsidRDefault="00307458" w:rsidP="00307458">
            <w:pPr>
              <w:ind w:left="0" w:firstLine="0"/>
              <w:jc w:val="both"/>
              <w:rPr>
                <w:sz w:val="22"/>
                <w:szCs w:val="22"/>
              </w:rPr>
            </w:pPr>
          </w:p>
        </w:tc>
        <w:tc>
          <w:tcPr>
            <w:tcW w:w="1003" w:type="dxa"/>
          </w:tcPr>
          <w:p w14:paraId="49D04ECC" w14:textId="77777777" w:rsidR="00307458" w:rsidRPr="00C96F04" w:rsidRDefault="00307458" w:rsidP="00307458">
            <w:pPr>
              <w:ind w:left="0" w:firstLine="0"/>
              <w:jc w:val="both"/>
              <w:rPr>
                <w:sz w:val="22"/>
                <w:szCs w:val="22"/>
              </w:rPr>
            </w:pPr>
          </w:p>
        </w:tc>
        <w:tc>
          <w:tcPr>
            <w:tcW w:w="1003" w:type="dxa"/>
          </w:tcPr>
          <w:p w14:paraId="49D04ECD" w14:textId="77777777" w:rsidR="00307458" w:rsidRPr="00C96F04" w:rsidRDefault="00307458" w:rsidP="00307458">
            <w:pPr>
              <w:ind w:left="0" w:firstLine="0"/>
              <w:jc w:val="both"/>
              <w:rPr>
                <w:sz w:val="22"/>
                <w:szCs w:val="22"/>
              </w:rPr>
            </w:pPr>
          </w:p>
        </w:tc>
        <w:tc>
          <w:tcPr>
            <w:tcW w:w="1003" w:type="dxa"/>
          </w:tcPr>
          <w:p w14:paraId="49D04ECE" w14:textId="77777777" w:rsidR="00307458" w:rsidRPr="00C96F04" w:rsidRDefault="00307458" w:rsidP="00307458">
            <w:pPr>
              <w:ind w:left="0" w:firstLine="0"/>
              <w:jc w:val="both"/>
              <w:rPr>
                <w:sz w:val="22"/>
                <w:szCs w:val="22"/>
              </w:rPr>
            </w:pPr>
          </w:p>
        </w:tc>
        <w:tc>
          <w:tcPr>
            <w:tcW w:w="1003" w:type="dxa"/>
          </w:tcPr>
          <w:p w14:paraId="49D04ECF" w14:textId="77777777" w:rsidR="00307458" w:rsidRPr="00C96F04" w:rsidRDefault="00307458" w:rsidP="00307458">
            <w:pPr>
              <w:ind w:left="0" w:firstLine="0"/>
              <w:jc w:val="both"/>
              <w:rPr>
                <w:sz w:val="22"/>
                <w:szCs w:val="22"/>
              </w:rPr>
            </w:pPr>
          </w:p>
        </w:tc>
      </w:tr>
      <w:tr w:rsidR="00307458" w:rsidRPr="00C96F04" w14:paraId="49D04ED8" w14:textId="77777777" w:rsidTr="00390857">
        <w:tc>
          <w:tcPr>
            <w:tcW w:w="436" w:type="dxa"/>
          </w:tcPr>
          <w:p w14:paraId="49D04ED1" w14:textId="77777777" w:rsidR="00307458" w:rsidRPr="00C96F04" w:rsidRDefault="00307458" w:rsidP="00307458">
            <w:pPr>
              <w:ind w:left="0" w:firstLine="0"/>
              <w:jc w:val="both"/>
              <w:rPr>
                <w:sz w:val="22"/>
                <w:szCs w:val="22"/>
              </w:rPr>
            </w:pPr>
            <w:r w:rsidRPr="00C96F04">
              <w:rPr>
                <w:sz w:val="22"/>
                <w:szCs w:val="22"/>
              </w:rPr>
              <w:t>21</w:t>
            </w:r>
          </w:p>
        </w:tc>
        <w:tc>
          <w:tcPr>
            <w:tcW w:w="2744" w:type="dxa"/>
          </w:tcPr>
          <w:p w14:paraId="49D04ED2" w14:textId="77777777" w:rsidR="00307458" w:rsidRPr="00B365E9" w:rsidRDefault="00307458" w:rsidP="000D6DFB">
            <w:pPr>
              <w:ind w:left="635" w:firstLine="0"/>
              <w:rPr>
                <w:i/>
              </w:rPr>
            </w:pPr>
            <w:r w:rsidRPr="00B365E9">
              <w:rPr>
                <w:i/>
              </w:rPr>
              <w:t>With a risk weight of less than or equal to 35% under APS 112</w:t>
            </w:r>
          </w:p>
        </w:tc>
        <w:tc>
          <w:tcPr>
            <w:tcW w:w="1002" w:type="dxa"/>
          </w:tcPr>
          <w:p w14:paraId="49D04ED3" w14:textId="77777777" w:rsidR="00307458" w:rsidRPr="00C96F04" w:rsidRDefault="00307458" w:rsidP="00307458">
            <w:pPr>
              <w:ind w:left="0" w:firstLine="0"/>
              <w:jc w:val="both"/>
              <w:rPr>
                <w:sz w:val="22"/>
                <w:szCs w:val="22"/>
              </w:rPr>
            </w:pPr>
          </w:p>
        </w:tc>
        <w:tc>
          <w:tcPr>
            <w:tcW w:w="1003" w:type="dxa"/>
          </w:tcPr>
          <w:p w14:paraId="49D04ED4" w14:textId="77777777" w:rsidR="00307458" w:rsidRPr="00C96F04" w:rsidRDefault="00307458" w:rsidP="00307458">
            <w:pPr>
              <w:ind w:left="0" w:firstLine="0"/>
              <w:jc w:val="both"/>
              <w:rPr>
                <w:sz w:val="22"/>
                <w:szCs w:val="22"/>
              </w:rPr>
            </w:pPr>
          </w:p>
        </w:tc>
        <w:tc>
          <w:tcPr>
            <w:tcW w:w="1003" w:type="dxa"/>
          </w:tcPr>
          <w:p w14:paraId="49D04ED5" w14:textId="77777777" w:rsidR="00307458" w:rsidRPr="00C96F04" w:rsidRDefault="00307458" w:rsidP="00307458">
            <w:pPr>
              <w:ind w:left="0" w:firstLine="0"/>
              <w:jc w:val="both"/>
              <w:rPr>
                <w:sz w:val="22"/>
                <w:szCs w:val="22"/>
              </w:rPr>
            </w:pPr>
          </w:p>
        </w:tc>
        <w:tc>
          <w:tcPr>
            <w:tcW w:w="1003" w:type="dxa"/>
          </w:tcPr>
          <w:p w14:paraId="49D04ED6" w14:textId="77777777" w:rsidR="00307458" w:rsidRPr="00C96F04" w:rsidRDefault="00307458" w:rsidP="00307458">
            <w:pPr>
              <w:ind w:left="0" w:firstLine="0"/>
              <w:jc w:val="both"/>
              <w:rPr>
                <w:sz w:val="22"/>
                <w:szCs w:val="22"/>
              </w:rPr>
            </w:pPr>
          </w:p>
        </w:tc>
        <w:tc>
          <w:tcPr>
            <w:tcW w:w="1003" w:type="dxa"/>
          </w:tcPr>
          <w:p w14:paraId="49D04ED7" w14:textId="77777777" w:rsidR="00307458" w:rsidRPr="00C96F04" w:rsidRDefault="00307458" w:rsidP="00307458">
            <w:pPr>
              <w:ind w:left="0" w:firstLine="0"/>
              <w:jc w:val="both"/>
              <w:rPr>
                <w:sz w:val="22"/>
                <w:szCs w:val="22"/>
              </w:rPr>
            </w:pPr>
          </w:p>
        </w:tc>
      </w:tr>
      <w:tr w:rsidR="00307458" w:rsidRPr="00C96F04" w14:paraId="49D04EE0" w14:textId="77777777" w:rsidTr="00390857">
        <w:tc>
          <w:tcPr>
            <w:tcW w:w="436" w:type="dxa"/>
          </w:tcPr>
          <w:p w14:paraId="49D04ED9" w14:textId="77777777" w:rsidR="00307458" w:rsidRPr="00C96F04" w:rsidRDefault="00307458" w:rsidP="00307458">
            <w:pPr>
              <w:ind w:left="0" w:firstLine="0"/>
              <w:jc w:val="both"/>
              <w:rPr>
                <w:sz w:val="22"/>
                <w:szCs w:val="22"/>
              </w:rPr>
            </w:pPr>
            <w:r w:rsidRPr="00C96F04">
              <w:rPr>
                <w:sz w:val="22"/>
                <w:szCs w:val="22"/>
              </w:rPr>
              <w:t>22</w:t>
            </w:r>
          </w:p>
        </w:tc>
        <w:tc>
          <w:tcPr>
            <w:tcW w:w="2744" w:type="dxa"/>
          </w:tcPr>
          <w:p w14:paraId="49D04EDA" w14:textId="77777777" w:rsidR="00307458" w:rsidRPr="00B365E9" w:rsidRDefault="00307458" w:rsidP="003D05EF">
            <w:pPr>
              <w:ind w:left="318" w:firstLine="0"/>
              <w:rPr>
                <w:i/>
              </w:rPr>
            </w:pPr>
            <w:r w:rsidRPr="00B365E9">
              <w:rPr>
                <w:i/>
              </w:rPr>
              <w:t>Performing residential mortgages, of which:</w:t>
            </w:r>
          </w:p>
        </w:tc>
        <w:tc>
          <w:tcPr>
            <w:tcW w:w="1002" w:type="dxa"/>
          </w:tcPr>
          <w:p w14:paraId="49D04EDB" w14:textId="77777777" w:rsidR="00307458" w:rsidRPr="00C96F04" w:rsidRDefault="00307458" w:rsidP="00307458">
            <w:pPr>
              <w:ind w:left="0" w:firstLine="0"/>
              <w:jc w:val="both"/>
              <w:rPr>
                <w:sz w:val="22"/>
                <w:szCs w:val="22"/>
              </w:rPr>
            </w:pPr>
          </w:p>
        </w:tc>
        <w:tc>
          <w:tcPr>
            <w:tcW w:w="1003" w:type="dxa"/>
          </w:tcPr>
          <w:p w14:paraId="49D04EDC" w14:textId="77777777" w:rsidR="00307458" w:rsidRPr="00C96F04" w:rsidRDefault="00307458" w:rsidP="00307458">
            <w:pPr>
              <w:ind w:left="0" w:firstLine="0"/>
              <w:jc w:val="both"/>
              <w:rPr>
                <w:sz w:val="22"/>
                <w:szCs w:val="22"/>
              </w:rPr>
            </w:pPr>
          </w:p>
        </w:tc>
        <w:tc>
          <w:tcPr>
            <w:tcW w:w="1003" w:type="dxa"/>
          </w:tcPr>
          <w:p w14:paraId="49D04EDD" w14:textId="77777777" w:rsidR="00307458" w:rsidRPr="00C96F04" w:rsidRDefault="00307458" w:rsidP="00307458">
            <w:pPr>
              <w:ind w:left="0" w:firstLine="0"/>
              <w:jc w:val="both"/>
              <w:rPr>
                <w:sz w:val="22"/>
                <w:szCs w:val="22"/>
              </w:rPr>
            </w:pPr>
          </w:p>
        </w:tc>
        <w:tc>
          <w:tcPr>
            <w:tcW w:w="1003" w:type="dxa"/>
          </w:tcPr>
          <w:p w14:paraId="49D04EDE" w14:textId="77777777" w:rsidR="00307458" w:rsidRPr="00C96F04" w:rsidRDefault="00307458" w:rsidP="00307458">
            <w:pPr>
              <w:ind w:left="0" w:firstLine="0"/>
              <w:jc w:val="both"/>
              <w:rPr>
                <w:sz w:val="22"/>
                <w:szCs w:val="22"/>
              </w:rPr>
            </w:pPr>
          </w:p>
        </w:tc>
        <w:tc>
          <w:tcPr>
            <w:tcW w:w="1003" w:type="dxa"/>
          </w:tcPr>
          <w:p w14:paraId="49D04EDF" w14:textId="77777777" w:rsidR="00307458" w:rsidRPr="00C96F04" w:rsidRDefault="00307458" w:rsidP="00307458">
            <w:pPr>
              <w:ind w:left="0" w:firstLine="0"/>
              <w:jc w:val="both"/>
              <w:rPr>
                <w:sz w:val="22"/>
                <w:szCs w:val="22"/>
              </w:rPr>
            </w:pPr>
          </w:p>
        </w:tc>
      </w:tr>
      <w:tr w:rsidR="00307458" w:rsidRPr="00C96F04" w14:paraId="49D04EE8" w14:textId="77777777" w:rsidTr="00390857">
        <w:tc>
          <w:tcPr>
            <w:tcW w:w="436" w:type="dxa"/>
          </w:tcPr>
          <w:p w14:paraId="49D04EE1" w14:textId="77777777" w:rsidR="00307458" w:rsidRPr="00C96F04" w:rsidRDefault="00307458" w:rsidP="00307458">
            <w:pPr>
              <w:ind w:left="0" w:firstLine="0"/>
              <w:jc w:val="both"/>
              <w:rPr>
                <w:sz w:val="22"/>
                <w:szCs w:val="22"/>
              </w:rPr>
            </w:pPr>
            <w:r w:rsidRPr="00C96F04">
              <w:rPr>
                <w:sz w:val="22"/>
                <w:szCs w:val="22"/>
              </w:rPr>
              <w:t>23</w:t>
            </w:r>
          </w:p>
        </w:tc>
        <w:tc>
          <w:tcPr>
            <w:tcW w:w="2744" w:type="dxa"/>
          </w:tcPr>
          <w:p w14:paraId="49D04EE2" w14:textId="77777777" w:rsidR="00307458" w:rsidRPr="00B365E9" w:rsidRDefault="00307458" w:rsidP="00BE7EA3">
            <w:pPr>
              <w:ind w:left="635" w:firstLine="0"/>
              <w:rPr>
                <w:i/>
              </w:rPr>
            </w:pPr>
            <w:r w:rsidRPr="00B365E9">
              <w:rPr>
                <w:i/>
              </w:rPr>
              <w:t>With a risk weight equal to 35% under APS 112</w:t>
            </w:r>
          </w:p>
        </w:tc>
        <w:tc>
          <w:tcPr>
            <w:tcW w:w="1002" w:type="dxa"/>
          </w:tcPr>
          <w:p w14:paraId="49D04EE3" w14:textId="77777777" w:rsidR="00307458" w:rsidRPr="00C96F04" w:rsidRDefault="00307458" w:rsidP="00307458">
            <w:pPr>
              <w:ind w:left="0" w:firstLine="0"/>
              <w:jc w:val="both"/>
              <w:rPr>
                <w:sz w:val="22"/>
                <w:szCs w:val="22"/>
              </w:rPr>
            </w:pPr>
          </w:p>
        </w:tc>
        <w:tc>
          <w:tcPr>
            <w:tcW w:w="1003" w:type="dxa"/>
          </w:tcPr>
          <w:p w14:paraId="49D04EE4" w14:textId="77777777" w:rsidR="00307458" w:rsidRPr="00C96F04" w:rsidRDefault="00307458" w:rsidP="00307458">
            <w:pPr>
              <w:ind w:left="0" w:firstLine="0"/>
              <w:jc w:val="both"/>
              <w:rPr>
                <w:sz w:val="22"/>
                <w:szCs w:val="22"/>
              </w:rPr>
            </w:pPr>
          </w:p>
        </w:tc>
        <w:tc>
          <w:tcPr>
            <w:tcW w:w="1003" w:type="dxa"/>
          </w:tcPr>
          <w:p w14:paraId="49D04EE5" w14:textId="77777777" w:rsidR="00307458" w:rsidRPr="00C96F04" w:rsidRDefault="00307458" w:rsidP="00307458">
            <w:pPr>
              <w:ind w:left="0" w:firstLine="0"/>
              <w:jc w:val="both"/>
              <w:rPr>
                <w:sz w:val="22"/>
                <w:szCs w:val="22"/>
              </w:rPr>
            </w:pPr>
          </w:p>
        </w:tc>
        <w:tc>
          <w:tcPr>
            <w:tcW w:w="1003" w:type="dxa"/>
          </w:tcPr>
          <w:p w14:paraId="49D04EE6" w14:textId="77777777" w:rsidR="00307458" w:rsidRPr="00C96F04" w:rsidRDefault="00307458" w:rsidP="00307458">
            <w:pPr>
              <w:ind w:left="0" w:firstLine="0"/>
              <w:jc w:val="both"/>
              <w:rPr>
                <w:sz w:val="22"/>
                <w:szCs w:val="22"/>
              </w:rPr>
            </w:pPr>
          </w:p>
        </w:tc>
        <w:tc>
          <w:tcPr>
            <w:tcW w:w="1003" w:type="dxa"/>
          </w:tcPr>
          <w:p w14:paraId="49D04EE7" w14:textId="77777777" w:rsidR="00307458" w:rsidRPr="00C96F04" w:rsidRDefault="00307458" w:rsidP="00307458">
            <w:pPr>
              <w:ind w:left="0" w:firstLine="0"/>
              <w:jc w:val="both"/>
              <w:rPr>
                <w:sz w:val="22"/>
                <w:szCs w:val="22"/>
              </w:rPr>
            </w:pPr>
          </w:p>
        </w:tc>
      </w:tr>
      <w:tr w:rsidR="00307458" w:rsidRPr="00C96F04" w14:paraId="49D04EF0" w14:textId="77777777" w:rsidTr="00390857">
        <w:tc>
          <w:tcPr>
            <w:tcW w:w="436" w:type="dxa"/>
          </w:tcPr>
          <w:p w14:paraId="49D04EE9" w14:textId="77777777" w:rsidR="00307458" w:rsidRPr="00C96F04" w:rsidRDefault="00307458" w:rsidP="00307458">
            <w:pPr>
              <w:ind w:left="0" w:firstLine="0"/>
              <w:jc w:val="both"/>
              <w:rPr>
                <w:sz w:val="22"/>
                <w:szCs w:val="22"/>
              </w:rPr>
            </w:pPr>
            <w:r w:rsidRPr="00C96F04">
              <w:rPr>
                <w:sz w:val="22"/>
                <w:szCs w:val="22"/>
              </w:rPr>
              <w:t>24</w:t>
            </w:r>
          </w:p>
        </w:tc>
        <w:tc>
          <w:tcPr>
            <w:tcW w:w="2744" w:type="dxa"/>
          </w:tcPr>
          <w:p w14:paraId="49D04EEA" w14:textId="77777777" w:rsidR="00307458" w:rsidRPr="00B365E9" w:rsidRDefault="00307458" w:rsidP="003D05EF">
            <w:pPr>
              <w:ind w:left="318" w:firstLine="0"/>
              <w:rPr>
                <w:i/>
              </w:rPr>
            </w:pPr>
            <w:r w:rsidRPr="00B365E9">
              <w:rPr>
                <w:i/>
              </w:rPr>
              <w:t>Securities that are not in default and do not qualify as HQLA, including exchange-traded equities</w:t>
            </w:r>
          </w:p>
        </w:tc>
        <w:tc>
          <w:tcPr>
            <w:tcW w:w="1002" w:type="dxa"/>
          </w:tcPr>
          <w:p w14:paraId="49D04EEB" w14:textId="77777777" w:rsidR="00307458" w:rsidRPr="00C96F04" w:rsidRDefault="00307458" w:rsidP="00307458">
            <w:pPr>
              <w:ind w:left="0" w:firstLine="0"/>
              <w:jc w:val="both"/>
              <w:rPr>
                <w:sz w:val="22"/>
                <w:szCs w:val="22"/>
              </w:rPr>
            </w:pPr>
          </w:p>
        </w:tc>
        <w:tc>
          <w:tcPr>
            <w:tcW w:w="1003" w:type="dxa"/>
          </w:tcPr>
          <w:p w14:paraId="49D04EEC" w14:textId="77777777" w:rsidR="00307458" w:rsidRPr="00C96F04" w:rsidRDefault="00307458" w:rsidP="00307458">
            <w:pPr>
              <w:ind w:left="0" w:firstLine="0"/>
              <w:jc w:val="both"/>
              <w:rPr>
                <w:sz w:val="22"/>
                <w:szCs w:val="22"/>
              </w:rPr>
            </w:pPr>
          </w:p>
        </w:tc>
        <w:tc>
          <w:tcPr>
            <w:tcW w:w="1003" w:type="dxa"/>
          </w:tcPr>
          <w:p w14:paraId="49D04EED" w14:textId="77777777" w:rsidR="00307458" w:rsidRPr="00C96F04" w:rsidRDefault="00307458" w:rsidP="00307458">
            <w:pPr>
              <w:ind w:left="0" w:firstLine="0"/>
              <w:jc w:val="both"/>
              <w:rPr>
                <w:sz w:val="22"/>
                <w:szCs w:val="22"/>
              </w:rPr>
            </w:pPr>
          </w:p>
        </w:tc>
        <w:tc>
          <w:tcPr>
            <w:tcW w:w="1003" w:type="dxa"/>
          </w:tcPr>
          <w:p w14:paraId="49D04EEE" w14:textId="77777777" w:rsidR="00307458" w:rsidRPr="00C96F04" w:rsidRDefault="00307458" w:rsidP="00307458">
            <w:pPr>
              <w:ind w:left="0" w:firstLine="0"/>
              <w:jc w:val="both"/>
              <w:rPr>
                <w:sz w:val="22"/>
                <w:szCs w:val="22"/>
              </w:rPr>
            </w:pPr>
          </w:p>
        </w:tc>
        <w:tc>
          <w:tcPr>
            <w:tcW w:w="1003" w:type="dxa"/>
          </w:tcPr>
          <w:p w14:paraId="49D04EEF" w14:textId="77777777" w:rsidR="00307458" w:rsidRPr="00C96F04" w:rsidRDefault="00307458" w:rsidP="00307458">
            <w:pPr>
              <w:ind w:left="0" w:firstLine="0"/>
              <w:jc w:val="both"/>
              <w:rPr>
                <w:sz w:val="22"/>
                <w:szCs w:val="22"/>
              </w:rPr>
            </w:pPr>
          </w:p>
        </w:tc>
      </w:tr>
      <w:tr w:rsidR="00307458" w:rsidRPr="00C96F04" w14:paraId="49D04EF8" w14:textId="77777777" w:rsidTr="003D05EF">
        <w:tc>
          <w:tcPr>
            <w:tcW w:w="436" w:type="dxa"/>
            <w:shd w:val="clear" w:color="auto" w:fill="D9D9D9" w:themeFill="background1" w:themeFillShade="D9"/>
          </w:tcPr>
          <w:p w14:paraId="49D04EF1" w14:textId="77777777" w:rsidR="00307458" w:rsidRPr="00C96F04" w:rsidRDefault="00307458" w:rsidP="00307458">
            <w:pPr>
              <w:ind w:left="0" w:firstLine="0"/>
              <w:jc w:val="both"/>
              <w:rPr>
                <w:sz w:val="22"/>
                <w:szCs w:val="22"/>
              </w:rPr>
            </w:pPr>
            <w:r w:rsidRPr="00C96F04">
              <w:rPr>
                <w:sz w:val="22"/>
                <w:szCs w:val="22"/>
              </w:rPr>
              <w:t>25</w:t>
            </w:r>
          </w:p>
        </w:tc>
        <w:tc>
          <w:tcPr>
            <w:tcW w:w="2744" w:type="dxa"/>
            <w:shd w:val="clear" w:color="auto" w:fill="D9D9D9" w:themeFill="background1" w:themeFillShade="D9"/>
          </w:tcPr>
          <w:p w14:paraId="49D04EF2" w14:textId="77777777" w:rsidR="00307458" w:rsidRPr="00905DB3" w:rsidRDefault="00307458" w:rsidP="00307458">
            <w:pPr>
              <w:ind w:left="0" w:firstLine="0"/>
            </w:pPr>
            <w:r w:rsidRPr="00905DB3">
              <w:t>Assets with matching interdependent liabilities</w:t>
            </w:r>
          </w:p>
        </w:tc>
        <w:tc>
          <w:tcPr>
            <w:tcW w:w="1002" w:type="dxa"/>
            <w:shd w:val="clear" w:color="auto" w:fill="D9D9D9" w:themeFill="background1" w:themeFillShade="D9"/>
          </w:tcPr>
          <w:p w14:paraId="49D04EF3" w14:textId="77777777" w:rsidR="00307458" w:rsidRPr="00C96F04" w:rsidRDefault="00307458" w:rsidP="00307458">
            <w:pPr>
              <w:ind w:left="0" w:firstLine="0"/>
              <w:jc w:val="both"/>
              <w:rPr>
                <w:sz w:val="22"/>
                <w:szCs w:val="22"/>
              </w:rPr>
            </w:pPr>
          </w:p>
        </w:tc>
        <w:tc>
          <w:tcPr>
            <w:tcW w:w="1003" w:type="dxa"/>
            <w:shd w:val="clear" w:color="auto" w:fill="D9D9D9" w:themeFill="background1" w:themeFillShade="D9"/>
          </w:tcPr>
          <w:p w14:paraId="49D04EF4" w14:textId="77777777" w:rsidR="00307458" w:rsidRPr="00C96F04" w:rsidRDefault="00307458" w:rsidP="00307458">
            <w:pPr>
              <w:ind w:left="0" w:firstLine="0"/>
              <w:jc w:val="both"/>
              <w:rPr>
                <w:sz w:val="22"/>
                <w:szCs w:val="22"/>
              </w:rPr>
            </w:pPr>
          </w:p>
        </w:tc>
        <w:tc>
          <w:tcPr>
            <w:tcW w:w="1003" w:type="dxa"/>
            <w:shd w:val="clear" w:color="auto" w:fill="D9D9D9" w:themeFill="background1" w:themeFillShade="D9"/>
          </w:tcPr>
          <w:p w14:paraId="49D04EF5" w14:textId="77777777" w:rsidR="00307458" w:rsidRPr="00C96F04" w:rsidRDefault="00307458" w:rsidP="00307458">
            <w:pPr>
              <w:ind w:left="0" w:firstLine="0"/>
              <w:jc w:val="both"/>
              <w:rPr>
                <w:sz w:val="22"/>
                <w:szCs w:val="22"/>
              </w:rPr>
            </w:pPr>
          </w:p>
        </w:tc>
        <w:tc>
          <w:tcPr>
            <w:tcW w:w="1003" w:type="dxa"/>
            <w:shd w:val="clear" w:color="auto" w:fill="D9D9D9" w:themeFill="background1" w:themeFillShade="D9"/>
          </w:tcPr>
          <w:p w14:paraId="49D04EF6" w14:textId="77777777" w:rsidR="00307458" w:rsidRPr="00C96F04" w:rsidRDefault="00307458" w:rsidP="00307458">
            <w:pPr>
              <w:ind w:left="0" w:firstLine="0"/>
              <w:jc w:val="both"/>
              <w:rPr>
                <w:sz w:val="22"/>
                <w:szCs w:val="22"/>
              </w:rPr>
            </w:pPr>
          </w:p>
        </w:tc>
        <w:tc>
          <w:tcPr>
            <w:tcW w:w="1003" w:type="dxa"/>
            <w:shd w:val="clear" w:color="auto" w:fill="D9D9D9" w:themeFill="background1" w:themeFillShade="D9"/>
          </w:tcPr>
          <w:p w14:paraId="49D04EF7" w14:textId="77777777" w:rsidR="00307458" w:rsidRPr="00C96F04" w:rsidRDefault="00307458" w:rsidP="00307458">
            <w:pPr>
              <w:ind w:left="0" w:firstLine="0"/>
              <w:jc w:val="both"/>
              <w:rPr>
                <w:sz w:val="22"/>
                <w:szCs w:val="22"/>
              </w:rPr>
            </w:pPr>
          </w:p>
        </w:tc>
      </w:tr>
      <w:tr w:rsidR="00307458" w:rsidRPr="00C96F04" w14:paraId="49D04F00" w14:textId="77777777" w:rsidTr="003D05EF">
        <w:tc>
          <w:tcPr>
            <w:tcW w:w="436" w:type="dxa"/>
            <w:shd w:val="clear" w:color="auto" w:fill="D9D9D9" w:themeFill="background1" w:themeFillShade="D9"/>
          </w:tcPr>
          <w:p w14:paraId="49D04EF9" w14:textId="77777777" w:rsidR="00307458" w:rsidRPr="00C96F04" w:rsidRDefault="00307458" w:rsidP="00307458">
            <w:pPr>
              <w:ind w:left="0" w:firstLine="0"/>
              <w:jc w:val="both"/>
              <w:rPr>
                <w:sz w:val="22"/>
                <w:szCs w:val="22"/>
              </w:rPr>
            </w:pPr>
            <w:r w:rsidRPr="00C96F04">
              <w:rPr>
                <w:sz w:val="22"/>
                <w:szCs w:val="22"/>
              </w:rPr>
              <w:t>26</w:t>
            </w:r>
          </w:p>
        </w:tc>
        <w:tc>
          <w:tcPr>
            <w:tcW w:w="2744" w:type="dxa"/>
            <w:shd w:val="clear" w:color="auto" w:fill="D9D9D9" w:themeFill="background1" w:themeFillShade="D9"/>
          </w:tcPr>
          <w:p w14:paraId="49D04EFA" w14:textId="77777777" w:rsidR="00307458" w:rsidRPr="00905DB3" w:rsidRDefault="00307458" w:rsidP="00307458">
            <w:pPr>
              <w:ind w:left="0" w:firstLine="0"/>
            </w:pPr>
            <w:r w:rsidRPr="00905DB3">
              <w:t>Other assets:</w:t>
            </w:r>
          </w:p>
        </w:tc>
        <w:tc>
          <w:tcPr>
            <w:tcW w:w="1002" w:type="dxa"/>
            <w:shd w:val="clear" w:color="auto" w:fill="D9D9D9" w:themeFill="background1" w:themeFillShade="D9"/>
          </w:tcPr>
          <w:p w14:paraId="49D04EFB" w14:textId="77777777" w:rsidR="00307458" w:rsidRPr="00C96F04" w:rsidRDefault="00307458" w:rsidP="00307458">
            <w:pPr>
              <w:ind w:left="0" w:firstLine="0"/>
              <w:jc w:val="both"/>
              <w:rPr>
                <w:sz w:val="22"/>
                <w:szCs w:val="22"/>
              </w:rPr>
            </w:pPr>
          </w:p>
        </w:tc>
        <w:tc>
          <w:tcPr>
            <w:tcW w:w="1003" w:type="dxa"/>
            <w:tcBorders>
              <w:bottom w:val="single" w:sz="4" w:space="0" w:color="auto"/>
            </w:tcBorders>
            <w:shd w:val="clear" w:color="auto" w:fill="D9D9D9" w:themeFill="background1" w:themeFillShade="D9"/>
          </w:tcPr>
          <w:p w14:paraId="49D04EFC" w14:textId="77777777" w:rsidR="00307458" w:rsidRPr="00C96F04" w:rsidRDefault="00307458" w:rsidP="00307458">
            <w:pPr>
              <w:ind w:left="0" w:firstLine="0"/>
              <w:jc w:val="both"/>
              <w:rPr>
                <w:sz w:val="22"/>
                <w:szCs w:val="22"/>
              </w:rPr>
            </w:pPr>
          </w:p>
        </w:tc>
        <w:tc>
          <w:tcPr>
            <w:tcW w:w="1003" w:type="dxa"/>
            <w:tcBorders>
              <w:bottom w:val="single" w:sz="4" w:space="0" w:color="auto"/>
            </w:tcBorders>
            <w:shd w:val="clear" w:color="auto" w:fill="D9D9D9" w:themeFill="background1" w:themeFillShade="D9"/>
          </w:tcPr>
          <w:p w14:paraId="49D04EFD" w14:textId="77777777" w:rsidR="00307458" w:rsidRPr="00C96F04" w:rsidRDefault="00307458" w:rsidP="00307458">
            <w:pPr>
              <w:ind w:left="0" w:firstLine="0"/>
              <w:jc w:val="both"/>
              <w:rPr>
                <w:sz w:val="22"/>
                <w:szCs w:val="22"/>
              </w:rPr>
            </w:pPr>
          </w:p>
        </w:tc>
        <w:tc>
          <w:tcPr>
            <w:tcW w:w="1003" w:type="dxa"/>
            <w:tcBorders>
              <w:bottom w:val="single" w:sz="4" w:space="0" w:color="auto"/>
            </w:tcBorders>
            <w:shd w:val="clear" w:color="auto" w:fill="D9D9D9" w:themeFill="background1" w:themeFillShade="D9"/>
          </w:tcPr>
          <w:p w14:paraId="49D04EFE" w14:textId="77777777" w:rsidR="00307458" w:rsidRPr="00C96F04" w:rsidRDefault="00307458" w:rsidP="00307458">
            <w:pPr>
              <w:ind w:left="0" w:firstLine="0"/>
              <w:jc w:val="both"/>
              <w:rPr>
                <w:sz w:val="22"/>
                <w:szCs w:val="22"/>
              </w:rPr>
            </w:pPr>
          </w:p>
        </w:tc>
        <w:tc>
          <w:tcPr>
            <w:tcW w:w="1003" w:type="dxa"/>
            <w:shd w:val="clear" w:color="auto" w:fill="D9D9D9" w:themeFill="background1" w:themeFillShade="D9"/>
          </w:tcPr>
          <w:p w14:paraId="49D04EFF" w14:textId="77777777" w:rsidR="00307458" w:rsidRPr="00C96F04" w:rsidRDefault="00307458" w:rsidP="00307458">
            <w:pPr>
              <w:ind w:left="0" w:firstLine="0"/>
              <w:jc w:val="both"/>
              <w:rPr>
                <w:sz w:val="22"/>
                <w:szCs w:val="22"/>
              </w:rPr>
            </w:pPr>
          </w:p>
        </w:tc>
      </w:tr>
      <w:tr w:rsidR="00097162" w:rsidRPr="00C96F04" w14:paraId="49D04F08" w14:textId="77777777" w:rsidTr="00C67966">
        <w:tc>
          <w:tcPr>
            <w:tcW w:w="436" w:type="dxa"/>
          </w:tcPr>
          <w:p w14:paraId="49D04F01" w14:textId="77777777" w:rsidR="00097162" w:rsidRPr="00C96F04" w:rsidRDefault="00097162" w:rsidP="00097162">
            <w:pPr>
              <w:ind w:left="0" w:firstLine="0"/>
              <w:jc w:val="both"/>
              <w:rPr>
                <w:sz w:val="22"/>
                <w:szCs w:val="22"/>
              </w:rPr>
            </w:pPr>
            <w:r w:rsidRPr="00C96F04">
              <w:rPr>
                <w:sz w:val="22"/>
                <w:szCs w:val="22"/>
              </w:rPr>
              <w:t>27</w:t>
            </w:r>
          </w:p>
        </w:tc>
        <w:tc>
          <w:tcPr>
            <w:tcW w:w="2744" w:type="dxa"/>
          </w:tcPr>
          <w:p w14:paraId="49D04F02" w14:textId="77777777" w:rsidR="00097162" w:rsidRPr="00B365E9" w:rsidRDefault="00097162" w:rsidP="00097162">
            <w:pPr>
              <w:ind w:left="318" w:firstLine="0"/>
              <w:rPr>
                <w:i/>
              </w:rPr>
            </w:pPr>
            <w:r w:rsidRPr="00B365E9">
              <w:rPr>
                <w:i/>
              </w:rPr>
              <w:t>Physical traded commodities, including gold</w:t>
            </w:r>
          </w:p>
        </w:tc>
        <w:tc>
          <w:tcPr>
            <w:tcW w:w="1002" w:type="dxa"/>
            <w:tcBorders>
              <w:bottom w:val="single" w:sz="4" w:space="0" w:color="auto"/>
            </w:tcBorders>
            <w:shd w:val="clear" w:color="auto" w:fill="FFFFFF" w:themeFill="background1"/>
          </w:tcPr>
          <w:p w14:paraId="49D04F03" w14:textId="77777777" w:rsidR="00097162" w:rsidRPr="00C96F04" w:rsidRDefault="00097162" w:rsidP="00097162">
            <w:pPr>
              <w:ind w:left="0" w:firstLine="0"/>
              <w:jc w:val="both"/>
              <w:rPr>
                <w:sz w:val="22"/>
                <w:szCs w:val="22"/>
              </w:rPr>
            </w:pPr>
          </w:p>
        </w:tc>
        <w:tc>
          <w:tcPr>
            <w:tcW w:w="1003" w:type="dxa"/>
            <w:tcBorders>
              <w:bottom w:val="single" w:sz="4" w:space="0" w:color="auto"/>
            </w:tcBorders>
            <w:shd w:val="thinHorzCross" w:color="auto" w:fill="D9D9D9" w:themeFill="background1" w:themeFillShade="D9"/>
            <w:vAlign w:val="center"/>
          </w:tcPr>
          <w:p w14:paraId="49D04F04" w14:textId="77777777" w:rsidR="00097162" w:rsidRPr="00C96F04" w:rsidRDefault="00097162" w:rsidP="00097162">
            <w:pPr>
              <w:ind w:left="0" w:firstLine="0"/>
              <w:jc w:val="both"/>
              <w:rPr>
                <w:sz w:val="22"/>
                <w:szCs w:val="22"/>
              </w:rPr>
            </w:pPr>
          </w:p>
        </w:tc>
        <w:tc>
          <w:tcPr>
            <w:tcW w:w="1003" w:type="dxa"/>
            <w:tcBorders>
              <w:bottom w:val="single" w:sz="4" w:space="0" w:color="auto"/>
            </w:tcBorders>
            <w:shd w:val="thinHorzCross" w:color="auto" w:fill="D9D9D9" w:themeFill="background1" w:themeFillShade="D9"/>
            <w:vAlign w:val="center"/>
          </w:tcPr>
          <w:p w14:paraId="49D04F05" w14:textId="77777777" w:rsidR="00097162" w:rsidRPr="00C96F04" w:rsidRDefault="00097162" w:rsidP="00097162">
            <w:pPr>
              <w:ind w:left="0" w:firstLine="0"/>
              <w:jc w:val="both"/>
              <w:rPr>
                <w:sz w:val="22"/>
                <w:szCs w:val="22"/>
              </w:rPr>
            </w:pPr>
          </w:p>
        </w:tc>
        <w:tc>
          <w:tcPr>
            <w:tcW w:w="1003" w:type="dxa"/>
            <w:tcBorders>
              <w:bottom w:val="single" w:sz="4" w:space="0" w:color="auto"/>
            </w:tcBorders>
            <w:shd w:val="thinHorzCross" w:color="auto" w:fill="D9D9D9" w:themeFill="background1" w:themeFillShade="D9"/>
            <w:vAlign w:val="center"/>
          </w:tcPr>
          <w:p w14:paraId="49D04F06" w14:textId="77777777" w:rsidR="00097162" w:rsidRPr="00C96F04" w:rsidRDefault="00097162" w:rsidP="00097162">
            <w:pPr>
              <w:ind w:left="0" w:firstLine="0"/>
              <w:jc w:val="both"/>
              <w:rPr>
                <w:sz w:val="22"/>
                <w:szCs w:val="22"/>
              </w:rPr>
            </w:pPr>
          </w:p>
        </w:tc>
        <w:tc>
          <w:tcPr>
            <w:tcW w:w="1003" w:type="dxa"/>
            <w:shd w:val="clear" w:color="auto" w:fill="FFFFFF" w:themeFill="background1"/>
          </w:tcPr>
          <w:p w14:paraId="49D04F07" w14:textId="77777777" w:rsidR="00097162" w:rsidRPr="00C96F04" w:rsidRDefault="00097162" w:rsidP="00097162">
            <w:pPr>
              <w:ind w:left="0" w:firstLine="0"/>
              <w:jc w:val="both"/>
              <w:rPr>
                <w:sz w:val="22"/>
                <w:szCs w:val="22"/>
              </w:rPr>
            </w:pPr>
          </w:p>
        </w:tc>
      </w:tr>
      <w:tr w:rsidR="00C67966" w:rsidRPr="00C96F04" w14:paraId="49D04F10" w14:textId="77777777" w:rsidTr="00C67966">
        <w:tc>
          <w:tcPr>
            <w:tcW w:w="436" w:type="dxa"/>
          </w:tcPr>
          <w:p w14:paraId="49D04F09" w14:textId="77777777" w:rsidR="00097162" w:rsidRPr="00C96F04" w:rsidRDefault="00097162" w:rsidP="00097162">
            <w:pPr>
              <w:ind w:left="0" w:firstLine="0"/>
              <w:jc w:val="both"/>
              <w:rPr>
                <w:sz w:val="22"/>
                <w:szCs w:val="22"/>
              </w:rPr>
            </w:pPr>
            <w:r w:rsidRPr="00C96F04">
              <w:rPr>
                <w:sz w:val="22"/>
                <w:szCs w:val="22"/>
              </w:rPr>
              <w:t>28</w:t>
            </w:r>
          </w:p>
        </w:tc>
        <w:tc>
          <w:tcPr>
            <w:tcW w:w="2744" w:type="dxa"/>
          </w:tcPr>
          <w:p w14:paraId="49D04F0A" w14:textId="77777777" w:rsidR="00097162" w:rsidRPr="00B365E9" w:rsidRDefault="00097162" w:rsidP="00097162">
            <w:pPr>
              <w:ind w:left="318" w:firstLine="0"/>
              <w:rPr>
                <w:i/>
              </w:rPr>
            </w:pPr>
            <w:r w:rsidRPr="00B365E9">
              <w:rPr>
                <w:i/>
              </w:rPr>
              <w:t>Assets posted as initial margin for derivative contracts and contributions to default funds of central counterparties (CCPs)</w:t>
            </w:r>
          </w:p>
        </w:tc>
        <w:tc>
          <w:tcPr>
            <w:tcW w:w="1002" w:type="dxa"/>
            <w:tcBorders>
              <w:right w:val="single" w:sz="4" w:space="0" w:color="auto"/>
            </w:tcBorders>
            <w:shd w:val="thinHorzCross" w:color="auto" w:fill="D9D9D9" w:themeFill="background1" w:themeFillShade="D9"/>
            <w:vAlign w:val="center"/>
          </w:tcPr>
          <w:p w14:paraId="49D04F0B" w14:textId="77777777" w:rsidR="00097162" w:rsidRPr="00C96F04" w:rsidRDefault="00097162" w:rsidP="00097162">
            <w:pPr>
              <w:ind w:left="0" w:firstLine="0"/>
              <w:jc w:val="both"/>
              <w:rPr>
                <w:sz w:val="22"/>
                <w:szCs w:val="22"/>
              </w:rPr>
            </w:pPr>
          </w:p>
        </w:tc>
        <w:tc>
          <w:tcPr>
            <w:tcW w:w="1003" w:type="dxa"/>
            <w:tcBorders>
              <w:top w:val="single" w:sz="4" w:space="0" w:color="auto"/>
              <w:left w:val="single" w:sz="4" w:space="0" w:color="auto"/>
              <w:bottom w:val="single" w:sz="4" w:space="0" w:color="auto"/>
              <w:right w:val="nil"/>
            </w:tcBorders>
            <w:shd w:val="clear" w:color="auto" w:fill="FFFFFF" w:themeFill="background1"/>
          </w:tcPr>
          <w:p w14:paraId="49D04F0C" w14:textId="77777777" w:rsidR="00097162" w:rsidRPr="00C96F04" w:rsidRDefault="00097162" w:rsidP="00097162">
            <w:pPr>
              <w:ind w:left="0" w:firstLine="0"/>
              <w:jc w:val="both"/>
              <w:rPr>
                <w:sz w:val="22"/>
                <w:szCs w:val="22"/>
              </w:rPr>
            </w:pPr>
          </w:p>
        </w:tc>
        <w:tc>
          <w:tcPr>
            <w:tcW w:w="1003" w:type="dxa"/>
            <w:tcBorders>
              <w:top w:val="single" w:sz="4" w:space="0" w:color="auto"/>
              <w:left w:val="nil"/>
              <w:bottom w:val="single" w:sz="4" w:space="0" w:color="auto"/>
              <w:right w:val="nil"/>
            </w:tcBorders>
            <w:shd w:val="clear" w:color="auto" w:fill="FFFFFF" w:themeFill="background1"/>
          </w:tcPr>
          <w:p w14:paraId="49D04F0D" w14:textId="77777777" w:rsidR="00097162" w:rsidRPr="00C96F04" w:rsidRDefault="00097162" w:rsidP="00097162">
            <w:pPr>
              <w:ind w:left="0" w:firstLine="0"/>
              <w:jc w:val="both"/>
              <w:rPr>
                <w:sz w:val="22"/>
                <w:szCs w:val="22"/>
              </w:rPr>
            </w:pPr>
          </w:p>
        </w:tc>
        <w:tc>
          <w:tcPr>
            <w:tcW w:w="1003" w:type="dxa"/>
            <w:tcBorders>
              <w:top w:val="single" w:sz="4" w:space="0" w:color="auto"/>
              <w:left w:val="nil"/>
              <w:bottom w:val="single" w:sz="4" w:space="0" w:color="auto"/>
              <w:right w:val="single" w:sz="4" w:space="0" w:color="auto"/>
            </w:tcBorders>
            <w:shd w:val="clear" w:color="auto" w:fill="FFFFFF" w:themeFill="background1"/>
          </w:tcPr>
          <w:p w14:paraId="49D04F0E" w14:textId="77777777" w:rsidR="00097162" w:rsidRPr="00C96F04" w:rsidRDefault="00097162" w:rsidP="00097162">
            <w:pPr>
              <w:ind w:left="0" w:firstLine="0"/>
              <w:jc w:val="both"/>
              <w:rPr>
                <w:sz w:val="22"/>
                <w:szCs w:val="22"/>
              </w:rPr>
            </w:pPr>
          </w:p>
        </w:tc>
        <w:tc>
          <w:tcPr>
            <w:tcW w:w="1003" w:type="dxa"/>
            <w:tcBorders>
              <w:left w:val="single" w:sz="4" w:space="0" w:color="auto"/>
            </w:tcBorders>
            <w:shd w:val="clear" w:color="auto" w:fill="FFFFFF" w:themeFill="background1"/>
          </w:tcPr>
          <w:p w14:paraId="49D04F0F" w14:textId="77777777" w:rsidR="00097162" w:rsidRPr="00C96F04" w:rsidRDefault="00097162" w:rsidP="00097162">
            <w:pPr>
              <w:ind w:left="0" w:firstLine="0"/>
              <w:jc w:val="both"/>
              <w:rPr>
                <w:sz w:val="22"/>
                <w:szCs w:val="22"/>
              </w:rPr>
            </w:pPr>
          </w:p>
        </w:tc>
      </w:tr>
      <w:tr w:rsidR="00C67966" w:rsidRPr="00C96F04" w14:paraId="49D04F18" w14:textId="77777777" w:rsidTr="00C67966">
        <w:tc>
          <w:tcPr>
            <w:tcW w:w="436" w:type="dxa"/>
          </w:tcPr>
          <w:p w14:paraId="49D04F11" w14:textId="77777777" w:rsidR="00097162" w:rsidRPr="00C96F04" w:rsidRDefault="00097162" w:rsidP="00097162">
            <w:pPr>
              <w:ind w:left="0" w:firstLine="0"/>
              <w:jc w:val="both"/>
              <w:rPr>
                <w:sz w:val="22"/>
                <w:szCs w:val="22"/>
              </w:rPr>
            </w:pPr>
            <w:r>
              <w:rPr>
                <w:sz w:val="22"/>
                <w:szCs w:val="22"/>
              </w:rPr>
              <w:t>29</w:t>
            </w:r>
          </w:p>
        </w:tc>
        <w:tc>
          <w:tcPr>
            <w:tcW w:w="2744" w:type="dxa"/>
          </w:tcPr>
          <w:p w14:paraId="49D04F12" w14:textId="77777777" w:rsidR="00097162" w:rsidRPr="00B365E9" w:rsidRDefault="00097162" w:rsidP="00097162">
            <w:pPr>
              <w:ind w:left="318" w:firstLine="0"/>
              <w:rPr>
                <w:i/>
              </w:rPr>
            </w:pPr>
            <w:r w:rsidRPr="00B365E9">
              <w:rPr>
                <w:i/>
              </w:rPr>
              <w:t>NSFR derivative assets</w:t>
            </w:r>
          </w:p>
        </w:tc>
        <w:tc>
          <w:tcPr>
            <w:tcW w:w="1002" w:type="dxa"/>
            <w:tcBorders>
              <w:right w:val="single" w:sz="4" w:space="0" w:color="auto"/>
            </w:tcBorders>
            <w:shd w:val="thinHorzCross" w:color="auto" w:fill="D9D9D9" w:themeFill="background1" w:themeFillShade="D9"/>
            <w:vAlign w:val="center"/>
          </w:tcPr>
          <w:p w14:paraId="49D04F13" w14:textId="77777777" w:rsidR="00097162" w:rsidRPr="00C96F04" w:rsidRDefault="00097162" w:rsidP="00097162">
            <w:pPr>
              <w:ind w:left="0" w:firstLine="0"/>
              <w:jc w:val="both"/>
              <w:rPr>
                <w:sz w:val="22"/>
                <w:szCs w:val="22"/>
              </w:rPr>
            </w:pPr>
          </w:p>
        </w:tc>
        <w:tc>
          <w:tcPr>
            <w:tcW w:w="1003" w:type="dxa"/>
            <w:tcBorders>
              <w:top w:val="single" w:sz="4" w:space="0" w:color="auto"/>
              <w:left w:val="single" w:sz="4" w:space="0" w:color="auto"/>
              <w:bottom w:val="single" w:sz="4" w:space="0" w:color="auto"/>
              <w:right w:val="nil"/>
            </w:tcBorders>
            <w:shd w:val="clear" w:color="auto" w:fill="FFFFFF" w:themeFill="background1"/>
          </w:tcPr>
          <w:p w14:paraId="49D04F14" w14:textId="77777777" w:rsidR="00097162" w:rsidRPr="00C96F04" w:rsidRDefault="00097162" w:rsidP="00097162">
            <w:pPr>
              <w:ind w:left="0" w:firstLine="0"/>
              <w:jc w:val="both"/>
              <w:rPr>
                <w:sz w:val="22"/>
                <w:szCs w:val="22"/>
              </w:rPr>
            </w:pPr>
          </w:p>
        </w:tc>
        <w:tc>
          <w:tcPr>
            <w:tcW w:w="1003" w:type="dxa"/>
            <w:tcBorders>
              <w:top w:val="single" w:sz="4" w:space="0" w:color="auto"/>
              <w:left w:val="nil"/>
              <w:bottom w:val="single" w:sz="4" w:space="0" w:color="auto"/>
              <w:right w:val="nil"/>
            </w:tcBorders>
            <w:shd w:val="clear" w:color="auto" w:fill="FFFFFF" w:themeFill="background1"/>
          </w:tcPr>
          <w:p w14:paraId="49D04F15" w14:textId="77777777" w:rsidR="00097162" w:rsidRPr="00C96F04" w:rsidRDefault="00097162" w:rsidP="00097162">
            <w:pPr>
              <w:ind w:left="0" w:firstLine="0"/>
              <w:jc w:val="both"/>
              <w:rPr>
                <w:sz w:val="22"/>
                <w:szCs w:val="22"/>
              </w:rPr>
            </w:pPr>
          </w:p>
        </w:tc>
        <w:tc>
          <w:tcPr>
            <w:tcW w:w="1003" w:type="dxa"/>
            <w:tcBorders>
              <w:top w:val="single" w:sz="4" w:space="0" w:color="auto"/>
              <w:left w:val="nil"/>
              <w:bottom w:val="single" w:sz="4" w:space="0" w:color="auto"/>
              <w:right w:val="single" w:sz="4" w:space="0" w:color="auto"/>
            </w:tcBorders>
            <w:shd w:val="clear" w:color="auto" w:fill="FFFFFF" w:themeFill="background1"/>
          </w:tcPr>
          <w:p w14:paraId="49D04F16" w14:textId="77777777" w:rsidR="00097162" w:rsidRPr="00C96F04" w:rsidRDefault="00097162" w:rsidP="00097162">
            <w:pPr>
              <w:ind w:left="0" w:firstLine="0"/>
              <w:jc w:val="both"/>
              <w:rPr>
                <w:sz w:val="22"/>
                <w:szCs w:val="22"/>
              </w:rPr>
            </w:pPr>
          </w:p>
        </w:tc>
        <w:tc>
          <w:tcPr>
            <w:tcW w:w="1003" w:type="dxa"/>
            <w:tcBorders>
              <w:left w:val="single" w:sz="4" w:space="0" w:color="auto"/>
            </w:tcBorders>
            <w:shd w:val="clear" w:color="auto" w:fill="FFFFFF" w:themeFill="background1"/>
          </w:tcPr>
          <w:p w14:paraId="49D04F17" w14:textId="77777777" w:rsidR="00097162" w:rsidRPr="00C96F04" w:rsidRDefault="00097162" w:rsidP="00097162">
            <w:pPr>
              <w:ind w:left="0" w:firstLine="0"/>
              <w:jc w:val="both"/>
              <w:rPr>
                <w:sz w:val="22"/>
                <w:szCs w:val="22"/>
              </w:rPr>
            </w:pPr>
          </w:p>
        </w:tc>
      </w:tr>
      <w:tr w:rsidR="00C67966" w:rsidRPr="00C96F04" w14:paraId="49D04F20" w14:textId="77777777" w:rsidTr="00C67966">
        <w:tc>
          <w:tcPr>
            <w:tcW w:w="436" w:type="dxa"/>
          </w:tcPr>
          <w:p w14:paraId="49D04F19" w14:textId="77777777" w:rsidR="00097162" w:rsidRPr="00C96F04" w:rsidRDefault="00097162" w:rsidP="00097162">
            <w:pPr>
              <w:ind w:left="0" w:firstLine="0"/>
              <w:jc w:val="both"/>
              <w:rPr>
                <w:sz w:val="22"/>
                <w:szCs w:val="22"/>
              </w:rPr>
            </w:pPr>
            <w:r>
              <w:rPr>
                <w:sz w:val="22"/>
                <w:szCs w:val="22"/>
              </w:rPr>
              <w:t>30</w:t>
            </w:r>
          </w:p>
        </w:tc>
        <w:tc>
          <w:tcPr>
            <w:tcW w:w="2744" w:type="dxa"/>
          </w:tcPr>
          <w:p w14:paraId="49D04F1A" w14:textId="77777777" w:rsidR="00097162" w:rsidRPr="00B365E9" w:rsidRDefault="00097162" w:rsidP="00097162">
            <w:pPr>
              <w:ind w:left="318" w:firstLine="0"/>
              <w:rPr>
                <w:i/>
              </w:rPr>
            </w:pPr>
            <w:r w:rsidRPr="00B365E9">
              <w:rPr>
                <w:i/>
              </w:rPr>
              <w:t>NSFR derivative liabilities before deduction of variation margin posted</w:t>
            </w:r>
          </w:p>
        </w:tc>
        <w:tc>
          <w:tcPr>
            <w:tcW w:w="1002" w:type="dxa"/>
            <w:tcBorders>
              <w:right w:val="single" w:sz="4" w:space="0" w:color="auto"/>
            </w:tcBorders>
            <w:shd w:val="thinHorzCross" w:color="auto" w:fill="D9D9D9" w:themeFill="background1" w:themeFillShade="D9"/>
            <w:vAlign w:val="center"/>
          </w:tcPr>
          <w:p w14:paraId="49D04F1B" w14:textId="77777777" w:rsidR="00097162" w:rsidRPr="00C96F04" w:rsidRDefault="00097162" w:rsidP="00097162">
            <w:pPr>
              <w:ind w:left="0" w:firstLine="0"/>
              <w:jc w:val="both"/>
              <w:rPr>
                <w:sz w:val="22"/>
                <w:szCs w:val="22"/>
              </w:rPr>
            </w:pPr>
          </w:p>
        </w:tc>
        <w:tc>
          <w:tcPr>
            <w:tcW w:w="1003" w:type="dxa"/>
            <w:tcBorders>
              <w:top w:val="single" w:sz="4" w:space="0" w:color="auto"/>
              <w:left w:val="single" w:sz="4" w:space="0" w:color="auto"/>
              <w:bottom w:val="single" w:sz="4" w:space="0" w:color="auto"/>
              <w:right w:val="nil"/>
            </w:tcBorders>
            <w:shd w:val="clear" w:color="auto" w:fill="FFFFFF" w:themeFill="background1"/>
          </w:tcPr>
          <w:p w14:paraId="49D04F1C" w14:textId="77777777" w:rsidR="00097162" w:rsidRPr="00C96F04" w:rsidRDefault="00097162" w:rsidP="00097162">
            <w:pPr>
              <w:ind w:left="0" w:firstLine="0"/>
              <w:jc w:val="both"/>
              <w:rPr>
                <w:sz w:val="22"/>
                <w:szCs w:val="22"/>
              </w:rPr>
            </w:pPr>
          </w:p>
        </w:tc>
        <w:tc>
          <w:tcPr>
            <w:tcW w:w="1003" w:type="dxa"/>
            <w:tcBorders>
              <w:top w:val="single" w:sz="4" w:space="0" w:color="auto"/>
              <w:left w:val="nil"/>
              <w:bottom w:val="single" w:sz="4" w:space="0" w:color="auto"/>
              <w:right w:val="nil"/>
            </w:tcBorders>
            <w:shd w:val="clear" w:color="auto" w:fill="FFFFFF" w:themeFill="background1"/>
          </w:tcPr>
          <w:p w14:paraId="49D04F1D" w14:textId="77777777" w:rsidR="00097162" w:rsidRPr="00C96F04" w:rsidRDefault="00097162" w:rsidP="00097162">
            <w:pPr>
              <w:ind w:left="0" w:firstLine="0"/>
              <w:jc w:val="both"/>
              <w:rPr>
                <w:sz w:val="22"/>
                <w:szCs w:val="22"/>
              </w:rPr>
            </w:pPr>
          </w:p>
        </w:tc>
        <w:tc>
          <w:tcPr>
            <w:tcW w:w="1003" w:type="dxa"/>
            <w:tcBorders>
              <w:top w:val="single" w:sz="4" w:space="0" w:color="auto"/>
              <w:left w:val="nil"/>
              <w:bottom w:val="single" w:sz="4" w:space="0" w:color="auto"/>
              <w:right w:val="single" w:sz="4" w:space="0" w:color="auto"/>
            </w:tcBorders>
            <w:shd w:val="clear" w:color="auto" w:fill="FFFFFF" w:themeFill="background1"/>
          </w:tcPr>
          <w:p w14:paraId="49D04F1E" w14:textId="77777777" w:rsidR="00097162" w:rsidRPr="00C96F04" w:rsidRDefault="00097162" w:rsidP="00097162">
            <w:pPr>
              <w:ind w:left="0" w:firstLine="0"/>
              <w:jc w:val="both"/>
              <w:rPr>
                <w:sz w:val="22"/>
                <w:szCs w:val="22"/>
              </w:rPr>
            </w:pPr>
          </w:p>
        </w:tc>
        <w:tc>
          <w:tcPr>
            <w:tcW w:w="1003" w:type="dxa"/>
            <w:tcBorders>
              <w:left w:val="single" w:sz="4" w:space="0" w:color="auto"/>
            </w:tcBorders>
            <w:shd w:val="clear" w:color="auto" w:fill="FFFFFF" w:themeFill="background1"/>
          </w:tcPr>
          <w:p w14:paraId="49D04F1F" w14:textId="77777777" w:rsidR="00097162" w:rsidRPr="00C96F04" w:rsidRDefault="00097162" w:rsidP="00097162">
            <w:pPr>
              <w:ind w:left="0" w:firstLine="0"/>
              <w:jc w:val="both"/>
              <w:rPr>
                <w:sz w:val="22"/>
                <w:szCs w:val="22"/>
              </w:rPr>
            </w:pPr>
          </w:p>
        </w:tc>
      </w:tr>
      <w:tr w:rsidR="00307458" w:rsidRPr="00C96F04" w14:paraId="49D04F28" w14:textId="77777777" w:rsidTr="00AB6C18">
        <w:tc>
          <w:tcPr>
            <w:tcW w:w="436" w:type="dxa"/>
          </w:tcPr>
          <w:p w14:paraId="49D04F21" w14:textId="77777777" w:rsidR="00307458" w:rsidRPr="00C96F04" w:rsidRDefault="00307458" w:rsidP="00307458">
            <w:pPr>
              <w:ind w:left="0" w:firstLine="0"/>
              <w:jc w:val="both"/>
              <w:rPr>
                <w:sz w:val="22"/>
                <w:szCs w:val="22"/>
              </w:rPr>
            </w:pPr>
            <w:r>
              <w:rPr>
                <w:sz w:val="22"/>
                <w:szCs w:val="22"/>
              </w:rPr>
              <w:t>31</w:t>
            </w:r>
          </w:p>
        </w:tc>
        <w:tc>
          <w:tcPr>
            <w:tcW w:w="2744" w:type="dxa"/>
          </w:tcPr>
          <w:p w14:paraId="49D04F22" w14:textId="77777777" w:rsidR="00307458" w:rsidRPr="00B365E9" w:rsidRDefault="00307458" w:rsidP="00097162">
            <w:pPr>
              <w:ind w:left="318" w:firstLine="0"/>
              <w:rPr>
                <w:i/>
              </w:rPr>
            </w:pPr>
            <w:r w:rsidRPr="00B365E9">
              <w:rPr>
                <w:i/>
              </w:rPr>
              <w:t>All other assets not included in the above categories</w:t>
            </w:r>
          </w:p>
        </w:tc>
        <w:tc>
          <w:tcPr>
            <w:tcW w:w="1002" w:type="dxa"/>
            <w:tcBorders>
              <w:bottom w:val="single" w:sz="4" w:space="0" w:color="auto"/>
            </w:tcBorders>
          </w:tcPr>
          <w:p w14:paraId="49D04F23" w14:textId="77777777" w:rsidR="00307458" w:rsidRPr="00C96F04" w:rsidRDefault="00307458" w:rsidP="00307458">
            <w:pPr>
              <w:ind w:left="0" w:firstLine="0"/>
              <w:jc w:val="both"/>
              <w:rPr>
                <w:sz w:val="22"/>
                <w:szCs w:val="22"/>
              </w:rPr>
            </w:pPr>
          </w:p>
        </w:tc>
        <w:tc>
          <w:tcPr>
            <w:tcW w:w="1003" w:type="dxa"/>
            <w:tcBorders>
              <w:top w:val="single" w:sz="4" w:space="0" w:color="auto"/>
              <w:bottom w:val="single" w:sz="4" w:space="0" w:color="auto"/>
            </w:tcBorders>
          </w:tcPr>
          <w:p w14:paraId="49D04F24" w14:textId="77777777" w:rsidR="00307458" w:rsidRPr="00C96F04" w:rsidRDefault="00307458" w:rsidP="00307458">
            <w:pPr>
              <w:ind w:left="0" w:firstLine="0"/>
              <w:jc w:val="both"/>
              <w:rPr>
                <w:sz w:val="22"/>
                <w:szCs w:val="22"/>
              </w:rPr>
            </w:pPr>
          </w:p>
        </w:tc>
        <w:tc>
          <w:tcPr>
            <w:tcW w:w="1003" w:type="dxa"/>
            <w:tcBorders>
              <w:top w:val="single" w:sz="4" w:space="0" w:color="auto"/>
              <w:bottom w:val="single" w:sz="4" w:space="0" w:color="auto"/>
            </w:tcBorders>
          </w:tcPr>
          <w:p w14:paraId="49D04F25" w14:textId="77777777" w:rsidR="00307458" w:rsidRPr="00C96F04" w:rsidRDefault="00307458" w:rsidP="00307458">
            <w:pPr>
              <w:ind w:left="0" w:firstLine="0"/>
              <w:jc w:val="both"/>
              <w:rPr>
                <w:sz w:val="22"/>
                <w:szCs w:val="22"/>
              </w:rPr>
            </w:pPr>
          </w:p>
        </w:tc>
        <w:tc>
          <w:tcPr>
            <w:tcW w:w="1003" w:type="dxa"/>
            <w:tcBorders>
              <w:top w:val="single" w:sz="4" w:space="0" w:color="auto"/>
              <w:bottom w:val="single" w:sz="4" w:space="0" w:color="auto"/>
            </w:tcBorders>
          </w:tcPr>
          <w:p w14:paraId="49D04F26" w14:textId="77777777" w:rsidR="00307458" w:rsidRPr="00C96F04" w:rsidRDefault="00307458" w:rsidP="00307458">
            <w:pPr>
              <w:ind w:left="0" w:firstLine="0"/>
              <w:jc w:val="both"/>
              <w:rPr>
                <w:sz w:val="22"/>
                <w:szCs w:val="22"/>
              </w:rPr>
            </w:pPr>
          </w:p>
        </w:tc>
        <w:tc>
          <w:tcPr>
            <w:tcW w:w="1003" w:type="dxa"/>
            <w:tcBorders>
              <w:bottom w:val="single" w:sz="4" w:space="0" w:color="auto"/>
            </w:tcBorders>
          </w:tcPr>
          <w:p w14:paraId="49D04F27" w14:textId="77777777" w:rsidR="00307458" w:rsidRPr="00C96F04" w:rsidRDefault="00307458" w:rsidP="00307458">
            <w:pPr>
              <w:ind w:left="0" w:firstLine="0"/>
              <w:jc w:val="both"/>
              <w:rPr>
                <w:sz w:val="22"/>
                <w:szCs w:val="22"/>
              </w:rPr>
            </w:pPr>
          </w:p>
        </w:tc>
      </w:tr>
      <w:tr w:rsidR="00097162" w:rsidRPr="00C96F04" w14:paraId="49D04F30" w14:textId="77777777" w:rsidTr="00AB6C18">
        <w:tc>
          <w:tcPr>
            <w:tcW w:w="436" w:type="dxa"/>
            <w:shd w:val="clear" w:color="auto" w:fill="D9D9D9" w:themeFill="background1" w:themeFillShade="D9"/>
          </w:tcPr>
          <w:p w14:paraId="49D04F29" w14:textId="77777777" w:rsidR="00097162" w:rsidRPr="00C96F04" w:rsidRDefault="00097162" w:rsidP="00097162">
            <w:pPr>
              <w:ind w:left="0" w:firstLine="0"/>
              <w:jc w:val="both"/>
              <w:rPr>
                <w:sz w:val="22"/>
                <w:szCs w:val="22"/>
              </w:rPr>
            </w:pPr>
            <w:r w:rsidRPr="00C96F04">
              <w:rPr>
                <w:sz w:val="22"/>
                <w:szCs w:val="22"/>
              </w:rPr>
              <w:t>32</w:t>
            </w:r>
          </w:p>
        </w:tc>
        <w:tc>
          <w:tcPr>
            <w:tcW w:w="2744" w:type="dxa"/>
            <w:shd w:val="clear" w:color="auto" w:fill="D9D9D9" w:themeFill="background1" w:themeFillShade="D9"/>
          </w:tcPr>
          <w:p w14:paraId="49D04F2A" w14:textId="77777777" w:rsidR="00097162" w:rsidRPr="00905DB3" w:rsidRDefault="00097162" w:rsidP="00097162">
            <w:pPr>
              <w:ind w:left="0" w:firstLine="0"/>
            </w:pPr>
            <w:r w:rsidRPr="00905DB3">
              <w:t>Off-balance sheet items</w:t>
            </w:r>
          </w:p>
        </w:tc>
        <w:tc>
          <w:tcPr>
            <w:tcW w:w="1002" w:type="dxa"/>
            <w:tcBorders>
              <w:right w:val="nil"/>
            </w:tcBorders>
            <w:shd w:val="thinHorzCross" w:color="auto" w:fill="D9D9D9" w:themeFill="background1" w:themeFillShade="D9"/>
            <w:vAlign w:val="center"/>
          </w:tcPr>
          <w:p w14:paraId="49D04F2B" w14:textId="77777777" w:rsidR="00097162" w:rsidRPr="00C96F04" w:rsidRDefault="00097162" w:rsidP="00097162">
            <w:pPr>
              <w:ind w:left="0" w:firstLine="0"/>
              <w:jc w:val="both"/>
              <w:rPr>
                <w:sz w:val="22"/>
                <w:szCs w:val="22"/>
              </w:rPr>
            </w:pPr>
          </w:p>
        </w:tc>
        <w:tc>
          <w:tcPr>
            <w:tcW w:w="1003" w:type="dxa"/>
            <w:tcBorders>
              <w:top w:val="single" w:sz="4" w:space="0" w:color="auto"/>
              <w:left w:val="nil"/>
              <w:bottom w:val="single" w:sz="4" w:space="0" w:color="auto"/>
              <w:right w:val="nil"/>
            </w:tcBorders>
            <w:shd w:val="clear" w:color="auto" w:fill="D9D9D9" w:themeFill="background1" w:themeFillShade="D9"/>
            <w:vAlign w:val="center"/>
          </w:tcPr>
          <w:p w14:paraId="49D04F2C" w14:textId="77777777" w:rsidR="00097162" w:rsidRPr="00C96F04" w:rsidRDefault="00097162" w:rsidP="00097162">
            <w:pPr>
              <w:ind w:left="0" w:firstLine="0"/>
              <w:jc w:val="both"/>
              <w:rPr>
                <w:sz w:val="22"/>
                <w:szCs w:val="22"/>
              </w:rPr>
            </w:pPr>
          </w:p>
        </w:tc>
        <w:tc>
          <w:tcPr>
            <w:tcW w:w="1003" w:type="dxa"/>
            <w:tcBorders>
              <w:top w:val="single" w:sz="4" w:space="0" w:color="auto"/>
              <w:left w:val="nil"/>
              <w:bottom w:val="single" w:sz="4" w:space="0" w:color="auto"/>
              <w:right w:val="nil"/>
            </w:tcBorders>
            <w:shd w:val="clear" w:color="auto" w:fill="D9D9D9" w:themeFill="background1" w:themeFillShade="D9"/>
            <w:vAlign w:val="center"/>
          </w:tcPr>
          <w:p w14:paraId="49D04F2D" w14:textId="77777777" w:rsidR="00097162" w:rsidRPr="00C96F04" w:rsidRDefault="00097162" w:rsidP="00097162">
            <w:pPr>
              <w:ind w:left="0" w:firstLine="0"/>
              <w:jc w:val="both"/>
              <w:rPr>
                <w:sz w:val="22"/>
                <w:szCs w:val="22"/>
              </w:rPr>
            </w:pPr>
          </w:p>
        </w:tc>
        <w:tc>
          <w:tcPr>
            <w:tcW w:w="1003"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49D04F2E" w14:textId="77777777" w:rsidR="00097162" w:rsidRPr="00C96F04" w:rsidRDefault="00097162" w:rsidP="00097162">
            <w:pPr>
              <w:ind w:left="0" w:firstLine="0"/>
              <w:jc w:val="both"/>
              <w:rPr>
                <w:sz w:val="22"/>
                <w:szCs w:val="22"/>
              </w:rPr>
            </w:pPr>
          </w:p>
        </w:tc>
        <w:tc>
          <w:tcPr>
            <w:tcW w:w="10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9D04F2F" w14:textId="77777777" w:rsidR="00097162" w:rsidRPr="00C96F04" w:rsidRDefault="00097162" w:rsidP="00097162">
            <w:pPr>
              <w:ind w:left="0" w:firstLine="0"/>
              <w:jc w:val="both"/>
              <w:rPr>
                <w:sz w:val="22"/>
                <w:szCs w:val="22"/>
              </w:rPr>
            </w:pPr>
          </w:p>
        </w:tc>
      </w:tr>
      <w:tr w:rsidR="00097162" w:rsidRPr="00C96F04" w14:paraId="49D04F38" w14:textId="77777777" w:rsidTr="00AB6C18">
        <w:tc>
          <w:tcPr>
            <w:tcW w:w="436" w:type="dxa"/>
          </w:tcPr>
          <w:p w14:paraId="49D04F31" w14:textId="77777777" w:rsidR="00097162" w:rsidRPr="00504118" w:rsidRDefault="00097162" w:rsidP="00097162">
            <w:pPr>
              <w:ind w:left="0" w:firstLine="0"/>
              <w:jc w:val="both"/>
              <w:rPr>
                <w:b/>
                <w:sz w:val="22"/>
                <w:szCs w:val="22"/>
              </w:rPr>
            </w:pPr>
            <w:r w:rsidRPr="00504118">
              <w:rPr>
                <w:b/>
                <w:sz w:val="22"/>
                <w:szCs w:val="22"/>
              </w:rPr>
              <w:t>33</w:t>
            </w:r>
          </w:p>
        </w:tc>
        <w:tc>
          <w:tcPr>
            <w:tcW w:w="2744" w:type="dxa"/>
          </w:tcPr>
          <w:p w14:paraId="49D04F32" w14:textId="77777777" w:rsidR="00097162" w:rsidRPr="00504118" w:rsidRDefault="00097162" w:rsidP="00097162">
            <w:pPr>
              <w:ind w:left="0" w:firstLine="0"/>
              <w:rPr>
                <w:b/>
              </w:rPr>
            </w:pPr>
            <w:r w:rsidRPr="00504118">
              <w:rPr>
                <w:b/>
              </w:rPr>
              <w:t>Total RSF</w:t>
            </w:r>
          </w:p>
        </w:tc>
        <w:tc>
          <w:tcPr>
            <w:tcW w:w="1002" w:type="dxa"/>
            <w:shd w:val="thinHorzCross" w:color="auto" w:fill="D9D9D9" w:themeFill="background1" w:themeFillShade="D9"/>
            <w:vAlign w:val="center"/>
          </w:tcPr>
          <w:p w14:paraId="49D04F33" w14:textId="77777777" w:rsidR="00097162" w:rsidRPr="00C96F04" w:rsidRDefault="00097162" w:rsidP="00097162">
            <w:pPr>
              <w:ind w:left="0" w:firstLine="0"/>
              <w:jc w:val="both"/>
              <w:rPr>
                <w:sz w:val="22"/>
                <w:szCs w:val="22"/>
              </w:rPr>
            </w:pPr>
          </w:p>
        </w:tc>
        <w:tc>
          <w:tcPr>
            <w:tcW w:w="1003" w:type="dxa"/>
            <w:tcBorders>
              <w:top w:val="single" w:sz="4" w:space="0" w:color="auto"/>
            </w:tcBorders>
            <w:shd w:val="thinHorzCross" w:color="auto" w:fill="D9D9D9" w:themeFill="background1" w:themeFillShade="D9"/>
            <w:vAlign w:val="center"/>
          </w:tcPr>
          <w:p w14:paraId="49D04F34" w14:textId="77777777" w:rsidR="00097162" w:rsidRPr="00C96F04" w:rsidRDefault="00097162" w:rsidP="00097162">
            <w:pPr>
              <w:ind w:left="0" w:firstLine="0"/>
              <w:jc w:val="both"/>
              <w:rPr>
                <w:sz w:val="22"/>
                <w:szCs w:val="22"/>
              </w:rPr>
            </w:pPr>
          </w:p>
        </w:tc>
        <w:tc>
          <w:tcPr>
            <w:tcW w:w="1003" w:type="dxa"/>
            <w:tcBorders>
              <w:top w:val="single" w:sz="4" w:space="0" w:color="auto"/>
            </w:tcBorders>
            <w:shd w:val="thinHorzCross" w:color="auto" w:fill="D9D9D9" w:themeFill="background1" w:themeFillShade="D9"/>
            <w:vAlign w:val="center"/>
          </w:tcPr>
          <w:p w14:paraId="49D04F35" w14:textId="77777777" w:rsidR="00097162" w:rsidRPr="00C96F04" w:rsidRDefault="00097162" w:rsidP="00097162">
            <w:pPr>
              <w:ind w:left="0" w:firstLine="0"/>
              <w:jc w:val="both"/>
              <w:rPr>
                <w:sz w:val="22"/>
                <w:szCs w:val="22"/>
              </w:rPr>
            </w:pPr>
          </w:p>
        </w:tc>
        <w:tc>
          <w:tcPr>
            <w:tcW w:w="1003" w:type="dxa"/>
            <w:tcBorders>
              <w:top w:val="single" w:sz="4" w:space="0" w:color="auto"/>
            </w:tcBorders>
            <w:shd w:val="thinHorzCross" w:color="auto" w:fill="D9D9D9" w:themeFill="background1" w:themeFillShade="D9"/>
            <w:vAlign w:val="center"/>
          </w:tcPr>
          <w:p w14:paraId="49D04F36" w14:textId="77777777" w:rsidR="00097162" w:rsidRPr="00C96F04" w:rsidRDefault="00097162" w:rsidP="00097162">
            <w:pPr>
              <w:ind w:left="0" w:firstLine="0"/>
              <w:jc w:val="both"/>
              <w:rPr>
                <w:sz w:val="22"/>
                <w:szCs w:val="22"/>
              </w:rPr>
            </w:pPr>
          </w:p>
        </w:tc>
        <w:tc>
          <w:tcPr>
            <w:tcW w:w="1003" w:type="dxa"/>
            <w:tcBorders>
              <w:top w:val="single" w:sz="4" w:space="0" w:color="auto"/>
            </w:tcBorders>
          </w:tcPr>
          <w:p w14:paraId="49D04F37" w14:textId="77777777" w:rsidR="00097162" w:rsidRPr="00C96F04" w:rsidRDefault="00097162" w:rsidP="00097162">
            <w:pPr>
              <w:ind w:left="0" w:firstLine="0"/>
              <w:jc w:val="both"/>
              <w:rPr>
                <w:sz w:val="22"/>
                <w:szCs w:val="22"/>
              </w:rPr>
            </w:pPr>
          </w:p>
        </w:tc>
      </w:tr>
      <w:tr w:rsidR="00097162" w:rsidRPr="00C96F04" w14:paraId="49D04F40" w14:textId="77777777" w:rsidTr="00C67966">
        <w:tc>
          <w:tcPr>
            <w:tcW w:w="436" w:type="dxa"/>
          </w:tcPr>
          <w:p w14:paraId="49D04F39" w14:textId="77777777" w:rsidR="00097162" w:rsidRPr="00504118" w:rsidRDefault="00097162" w:rsidP="00097162">
            <w:pPr>
              <w:ind w:left="0" w:firstLine="0"/>
              <w:jc w:val="both"/>
              <w:rPr>
                <w:b/>
                <w:sz w:val="22"/>
                <w:szCs w:val="22"/>
              </w:rPr>
            </w:pPr>
            <w:r w:rsidRPr="00504118">
              <w:rPr>
                <w:b/>
                <w:sz w:val="22"/>
                <w:szCs w:val="22"/>
              </w:rPr>
              <w:t>34</w:t>
            </w:r>
          </w:p>
        </w:tc>
        <w:tc>
          <w:tcPr>
            <w:tcW w:w="2744" w:type="dxa"/>
          </w:tcPr>
          <w:p w14:paraId="49D04F3A" w14:textId="77777777" w:rsidR="00097162" w:rsidRPr="00504118" w:rsidRDefault="00097162" w:rsidP="00097162">
            <w:pPr>
              <w:ind w:left="0" w:firstLine="0"/>
              <w:rPr>
                <w:b/>
              </w:rPr>
            </w:pPr>
            <w:r w:rsidRPr="00504118">
              <w:rPr>
                <w:b/>
              </w:rPr>
              <w:t>Net Stable Funding Ratio (%)</w:t>
            </w:r>
          </w:p>
        </w:tc>
        <w:tc>
          <w:tcPr>
            <w:tcW w:w="1002" w:type="dxa"/>
            <w:shd w:val="thinHorzCross" w:color="auto" w:fill="D9D9D9" w:themeFill="background1" w:themeFillShade="D9"/>
            <w:vAlign w:val="center"/>
          </w:tcPr>
          <w:p w14:paraId="49D04F3B" w14:textId="77777777" w:rsidR="00097162" w:rsidRPr="00C96F04" w:rsidRDefault="00097162" w:rsidP="00097162">
            <w:pPr>
              <w:ind w:left="0" w:firstLine="0"/>
              <w:jc w:val="both"/>
              <w:rPr>
                <w:sz w:val="22"/>
                <w:szCs w:val="22"/>
              </w:rPr>
            </w:pPr>
          </w:p>
        </w:tc>
        <w:tc>
          <w:tcPr>
            <w:tcW w:w="1003" w:type="dxa"/>
            <w:shd w:val="thinHorzCross" w:color="auto" w:fill="D9D9D9" w:themeFill="background1" w:themeFillShade="D9"/>
            <w:vAlign w:val="center"/>
          </w:tcPr>
          <w:p w14:paraId="49D04F3C" w14:textId="77777777" w:rsidR="00097162" w:rsidRPr="00C96F04" w:rsidRDefault="00097162" w:rsidP="00097162">
            <w:pPr>
              <w:ind w:left="0" w:firstLine="0"/>
              <w:jc w:val="both"/>
              <w:rPr>
                <w:sz w:val="22"/>
                <w:szCs w:val="22"/>
              </w:rPr>
            </w:pPr>
          </w:p>
        </w:tc>
        <w:tc>
          <w:tcPr>
            <w:tcW w:w="1003" w:type="dxa"/>
            <w:shd w:val="thinHorzCross" w:color="auto" w:fill="D9D9D9" w:themeFill="background1" w:themeFillShade="D9"/>
            <w:vAlign w:val="center"/>
          </w:tcPr>
          <w:p w14:paraId="49D04F3D" w14:textId="77777777" w:rsidR="00097162" w:rsidRPr="00C96F04" w:rsidRDefault="00097162" w:rsidP="00097162">
            <w:pPr>
              <w:ind w:left="0" w:firstLine="0"/>
              <w:jc w:val="both"/>
              <w:rPr>
                <w:sz w:val="22"/>
                <w:szCs w:val="22"/>
              </w:rPr>
            </w:pPr>
          </w:p>
        </w:tc>
        <w:tc>
          <w:tcPr>
            <w:tcW w:w="1003" w:type="dxa"/>
            <w:shd w:val="thinHorzCross" w:color="auto" w:fill="D9D9D9" w:themeFill="background1" w:themeFillShade="D9"/>
            <w:vAlign w:val="center"/>
          </w:tcPr>
          <w:p w14:paraId="49D04F3E" w14:textId="77777777" w:rsidR="00097162" w:rsidRPr="00C96F04" w:rsidRDefault="00097162" w:rsidP="00097162">
            <w:pPr>
              <w:ind w:left="0" w:firstLine="0"/>
              <w:jc w:val="both"/>
              <w:rPr>
                <w:sz w:val="22"/>
                <w:szCs w:val="22"/>
              </w:rPr>
            </w:pPr>
          </w:p>
        </w:tc>
        <w:tc>
          <w:tcPr>
            <w:tcW w:w="1003" w:type="dxa"/>
          </w:tcPr>
          <w:p w14:paraId="49D04F3F" w14:textId="77777777" w:rsidR="00097162" w:rsidRPr="00C96F04" w:rsidRDefault="00097162" w:rsidP="00097162">
            <w:pPr>
              <w:ind w:left="0" w:firstLine="0"/>
              <w:jc w:val="both"/>
              <w:rPr>
                <w:sz w:val="22"/>
                <w:szCs w:val="22"/>
              </w:rPr>
            </w:pPr>
          </w:p>
        </w:tc>
      </w:tr>
    </w:tbl>
    <w:p w14:paraId="49D04F41" w14:textId="77777777" w:rsidR="00390857" w:rsidRDefault="00390857" w:rsidP="00390857"/>
    <w:p w14:paraId="49D04F42" w14:textId="77777777" w:rsidR="00390857" w:rsidRPr="00953F7D" w:rsidRDefault="00390857" w:rsidP="00390857">
      <w:pPr>
        <w:jc w:val="both"/>
        <w:rPr>
          <w:b/>
        </w:rPr>
      </w:pPr>
      <w:r w:rsidRPr="00953F7D">
        <w:rPr>
          <w:b/>
        </w:rPr>
        <w:t xml:space="preserve">Guidelines for the </w:t>
      </w:r>
      <w:r>
        <w:rPr>
          <w:b/>
        </w:rPr>
        <w:t>NSFR</w:t>
      </w:r>
      <w:r w:rsidRPr="00953F7D">
        <w:rPr>
          <w:b/>
        </w:rPr>
        <w:t xml:space="preserve"> disclosure template</w:t>
      </w:r>
    </w:p>
    <w:p w14:paraId="49D04F43" w14:textId="77777777" w:rsidR="00390857" w:rsidRDefault="00390857" w:rsidP="00390857"/>
    <w:p w14:paraId="18BA2DD7" w14:textId="6E4705C9" w:rsidR="00951191" w:rsidRPr="00422750" w:rsidRDefault="00951191" w:rsidP="003036B8">
      <w:pPr>
        <w:pStyle w:val="BodyText"/>
      </w:pPr>
      <w:r w:rsidRPr="00422750">
        <w:t xml:space="preserve">Data in Table 21 must be quarter-end observations of individual line items. Data for each RSF line item </w:t>
      </w:r>
      <w:r w:rsidR="0086610F" w:rsidRPr="00422750">
        <w:t>must</w:t>
      </w:r>
      <w:r w:rsidRPr="00422750">
        <w:t xml:space="preserve"> include both unencumbered and encumbered amounts. Data </w:t>
      </w:r>
      <w:r w:rsidR="0086610F" w:rsidRPr="00422750">
        <w:t xml:space="preserve">items </w:t>
      </w:r>
      <w:r w:rsidRPr="00422750">
        <w:t>entered in unweighted columns are to be assigned on the basis of residual maturity.</w:t>
      </w:r>
      <w:r w:rsidR="003036B8" w:rsidRPr="00422750">
        <w:t xml:space="preserve"> Figures entered in unweighted columns are to be assigned on the basis of residual maturity and in accordance with paragraph</w:t>
      </w:r>
      <w:r w:rsidR="00801F07" w:rsidRPr="00422750">
        <w:t>s</w:t>
      </w:r>
      <w:r w:rsidR="003036B8" w:rsidRPr="00422750">
        <w:t xml:space="preserve"> </w:t>
      </w:r>
      <w:r w:rsidR="00B01E7F" w:rsidRPr="00422750">
        <w:t>8</w:t>
      </w:r>
      <w:r w:rsidR="00801F07" w:rsidRPr="00422750">
        <w:t>, 20 and 21</w:t>
      </w:r>
      <w:r w:rsidR="00B01E7F" w:rsidRPr="00422750">
        <w:t xml:space="preserve"> of Attachment C of APS 210</w:t>
      </w:r>
      <w:r w:rsidR="003036B8" w:rsidRPr="00422750">
        <w:t>.</w:t>
      </w:r>
    </w:p>
    <w:p w14:paraId="49D04F44" w14:textId="77777777" w:rsidR="00390857" w:rsidRPr="00953F7D" w:rsidRDefault="00390857" w:rsidP="00390857">
      <w:pPr>
        <w:pStyle w:val="BodyText"/>
      </w:pPr>
      <w:r w:rsidRPr="00953F7D">
        <w:t xml:space="preserve">In completing Table </w:t>
      </w:r>
      <w:r>
        <w:t>21</w:t>
      </w:r>
      <w:r w:rsidRPr="00953F7D">
        <w:t xml:space="preserve">, an LCR ADI must have regard to Table </w:t>
      </w:r>
      <w:r>
        <w:t>21</w:t>
      </w:r>
      <w:r w:rsidRPr="00953F7D">
        <w:t xml:space="preserve">A, which sets out an explanation of each row of Table </w:t>
      </w:r>
      <w:r>
        <w:t>21</w:t>
      </w:r>
      <w:r w:rsidRPr="00953F7D">
        <w:t xml:space="preserve">. </w:t>
      </w:r>
    </w:p>
    <w:p w14:paraId="49D04F45" w14:textId="77777777" w:rsidR="00390857" w:rsidRDefault="00390857" w:rsidP="0086610F">
      <w:pPr>
        <w:keepNext/>
        <w:spacing w:before="240"/>
        <w:ind w:firstLine="360"/>
      </w:pPr>
      <w:r w:rsidRPr="00953F7D">
        <w:t xml:space="preserve">Table </w:t>
      </w:r>
      <w:r>
        <w:t>21</w:t>
      </w:r>
      <w:r w:rsidRPr="00953F7D">
        <w:t xml:space="preserve">A: Explanation of each row in the </w:t>
      </w:r>
      <w:r>
        <w:t>NSFR</w:t>
      </w:r>
      <w:r w:rsidRPr="00953F7D">
        <w:t xml:space="preserve"> disclosure template</w:t>
      </w:r>
    </w:p>
    <w:p w14:paraId="49D04F46" w14:textId="77777777" w:rsidR="00390857" w:rsidRDefault="00390857" w:rsidP="0086610F">
      <w:pPr>
        <w:keepNext/>
      </w:pPr>
    </w:p>
    <w:p w14:paraId="49D04F47" w14:textId="77777777" w:rsidR="00390857" w:rsidRPr="00C96F04" w:rsidRDefault="00390857" w:rsidP="0086610F">
      <w:pPr>
        <w:keepNext/>
      </w:pPr>
    </w:p>
    <w:tbl>
      <w:tblPr>
        <w:tblStyle w:val="TableGrid"/>
        <w:tblW w:w="8233" w:type="dxa"/>
        <w:tblLayout w:type="fixed"/>
        <w:tblLook w:val="04A0" w:firstRow="1" w:lastRow="0" w:firstColumn="1" w:lastColumn="0" w:noHBand="0" w:noVBand="1"/>
      </w:tblPr>
      <w:tblGrid>
        <w:gridCol w:w="959"/>
        <w:gridCol w:w="7274"/>
      </w:tblGrid>
      <w:tr w:rsidR="00390857" w:rsidRPr="00C96F04" w14:paraId="49D04F49" w14:textId="77777777" w:rsidTr="00240626">
        <w:trPr>
          <w:trHeight w:val="374"/>
        </w:trPr>
        <w:tc>
          <w:tcPr>
            <w:tcW w:w="8233" w:type="dxa"/>
            <w:gridSpan w:val="2"/>
            <w:shd w:val="clear" w:color="auto" w:fill="D9D9D9" w:themeFill="background1" w:themeFillShade="D9"/>
          </w:tcPr>
          <w:p w14:paraId="49D04F48" w14:textId="77777777" w:rsidR="00390857" w:rsidRPr="00294BD0" w:rsidRDefault="00390857" w:rsidP="0086610F">
            <w:pPr>
              <w:keepNext/>
              <w:ind w:left="0" w:firstLine="0"/>
            </w:pPr>
            <w:r w:rsidRPr="00294BD0">
              <w:rPr>
                <w:b/>
              </w:rPr>
              <w:t xml:space="preserve">Explanation of each row of the NSFR </w:t>
            </w:r>
            <w:r w:rsidRPr="00086700">
              <w:rPr>
                <w:b/>
              </w:rPr>
              <w:t>disclosure template</w:t>
            </w:r>
          </w:p>
        </w:tc>
      </w:tr>
      <w:tr w:rsidR="00390857" w:rsidRPr="00C96F04" w14:paraId="49D04F4C" w14:textId="77777777" w:rsidTr="008434CD">
        <w:trPr>
          <w:trHeight w:val="374"/>
        </w:trPr>
        <w:tc>
          <w:tcPr>
            <w:tcW w:w="959" w:type="dxa"/>
            <w:shd w:val="clear" w:color="auto" w:fill="FFFFFF" w:themeFill="background1"/>
          </w:tcPr>
          <w:p w14:paraId="49D04F4A" w14:textId="77777777" w:rsidR="00390857" w:rsidRPr="008434CD" w:rsidRDefault="00390857" w:rsidP="00951191">
            <w:pPr>
              <w:keepNext/>
              <w:ind w:left="0" w:firstLine="0"/>
            </w:pPr>
            <w:r w:rsidRPr="008434CD">
              <w:t>Row number</w:t>
            </w:r>
          </w:p>
        </w:tc>
        <w:tc>
          <w:tcPr>
            <w:tcW w:w="7274" w:type="dxa"/>
          </w:tcPr>
          <w:p w14:paraId="49D04F4B" w14:textId="77777777" w:rsidR="00390857" w:rsidRPr="00294BD0" w:rsidRDefault="00390857" w:rsidP="00951191">
            <w:pPr>
              <w:keepNext/>
              <w:ind w:left="0" w:firstLine="0"/>
            </w:pPr>
            <w:r w:rsidRPr="00294BD0">
              <w:t>Explanation</w:t>
            </w:r>
          </w:p>
        </w:tc>
      </w:tr>
      <w:tr w:rsidR="006945EB" w:rsidRPr="00C96F04" w14:paraId="49D04F4F" w14:textId="77777777" w:rsidTr="00791C01">
        <w:trPr>
          <w:trHeight w:val="374"/>
        </w:trPr>
        <w:tc>
          <w:tcPr>
            <w:tcW w:w="959" w:type="dxa"/>
            <w:shd w:val="clear" w:color="auto" w:fill="FFFFFF" w:themeFill="background1"/>
          </w:tcPr>
          <w:p w14:paraId="49D04F4D" w14:textId="35F02841" w:rsidR="006945EB" w:rsidRPr="008434CD" w:rsidRDefault="006945EB" w:rsidP="006945EB">
            <w:pPr>
              <w:ind w:left="0" w:firstLine="0"/>
            </w:pPr>
            <w:r w:rsidRPr="008434CD">
              <w:t>1</w:t>
            </w:r>
          </w:p>
        </w:tc>
        <w:tc>
          <w:tcPr>
            <w:tcW w:w="7274" w:type="dxa"/>
          </w:tcPr>
          <w:p w14:paraId="49D04F4E" w14:textId="77777777" w:rsidR="006945EB" w:rsidRPr="00086700" w:rsidRDefault="006945EB" w:rsidP="006945EB">
            <w:pPr>
              <w:ind w:left="0" w:firstLine="0"/>
            </w:pPr>
            <w:r w:rsidRPr="00086700">
              <w:t>Capital is the sum of rows 2 and 3.</w:t>
            </w:r>
          </w:p>
        </w:tc>
      </w:tr>
      <w:tr w:rsidR="006945EB" w:rsidRPr="00C96F04" w14:paraId="49D04F52" w14:textId="77777777" w:rsidTr="008434CD">
        <w:trPr>
          <w:trHeight w:val="374"/>
        </w:trPr>
        <w:tc>
          <w:tcPr>
            <w:tcW w:w="959" w:type="dxa"/>
            <w:shd w:val="clear" w:color="auto" w:fill="FFFFFF" w:themeFill="background1"/>
          </w:tcPr>
          <w:p w14:paraId="49D04F50" w14:textId="47F4C36E" w:rsidR="006945EB" w:rsidRPr="008434CD" w:rsidRDefault="006945EB" w:rsidP="006945EB">
            <w:pPr>
              <w:ind w:left="0" w:firstLine="0"/>
            </w:pPr>
            <w:r w:rsidRPr="008434CD">
              <w:t>2</w:t>
            </w:r>
          </w:p>
        </w:tc>
        <w:tc>
          <w:tcPr>
            <w:tcW w:w="7274" w:type="dxa"/>
          </w:tcPr>
          <w:p w14:paraId="49D04F51" w14:textId="77777777" w:rsidR="006945EB" w:rsidRPr="000F052D" w:rsidRDefault="006945EB" w:rsidP="006945EB">
            <w:pPr>
              <w:ind w:left="0" w:firstLine="0"/>
            </w:pPr>
            <w:r w:rsidRPr="00086700">
              <w:t xml:space="preserve">Regulatory capital before the application of capital deductions, in </w:t>
            </w:r>
            <w:r w:rsidRPr="000F052D">
              <w:t xml:space="preserve">accordance with paragraph 8 in APS 111. </w:t>
            </w:r>
          </w:p>
        </w:tc>
      </w:tr>
      <w:tr w:rsidR="006945EB" w:rsidRPr="00C96F04" w14:paraId="49D04F55" w14:textId="77777777" w:rsidTr="008434CD">
        <w:trPr>
          <w:trHeight w:val="374"/>
        </w:trPr>
        <w:tc>
          <w:tcPr>
            <w:tcW w:w="959" w:type="dxa"/>
            <w:shd w:val="clear" w:color="auto" w:fill="FFFFFF" w:themeFill="background1"/>
          </w:tcPr>
          <w:p w14:paraId="49D04F53" w14:textId="7FDD62E8" w:rsidR="006945EB" w:rsidRPr="008434CD" w:rsidRDefault="006945EB" w:rsidP="006945EB">
            <w:pPr>
              <w:ind w:left="0" w:firstLine="0"/>
            </w:pPr>
            <w:r w:rsidRPr="008434CD">
              <w:t>3</w:t>
            </w:r>
          </w:p>
        </w:tc>
        <w:tc>
          <w:tcPr>
            <w:tcW w:w="7274" w:type="dxa"/>
          </w:tcPr>
          <w:p w14:paraId="49D04F54" w14:textId="77777777" w:rsidR="006945EB" w:rsidRPr="00086700" w:rsidRDefault="006945EB" w:rsidP="006945EB">
            <w:pPr>
              <w:ind w:left="0" w:firstLine="0"/>
            </w:pPr>
            <w:r w:rsidRPr="00086700">
              <w:t>Total amount of any capital instruments not included in row 2.</w:t>
            </w:r>
          </w:p>
        </w:tc>
      </w:tr>
      <w:tr w:rsidR="006945EB" w:rsidRPr="00C96F04" w14:paraId="49D04F58" w14:textId="77777777" w:rsidTr="00791C01">
        <w:trPr>
          <w:trHeight w:val="374"/>
        </w:trPr>
        <w:tc>
          <w:tcPr>
            <w:tcW w:w="959" w:type="dxa"/>
            <w:shd w:val="clear" w:color="auto" w:fill="FFFFFF" w:themeFill="background1"/>
          </w:tcPr>
          <w:p w14:paraId="49D04F56" w14:textId="19E943DD" w:rsidR="006945EB" w:rsidRPr="008434CD" w:rsidRDefault="006945EB" w:rsidP="006945EB">
            <w:pPr>
              <w:ind w:left="0" w:firstLine="0"/>
            </w:pPr>
            <w:r w:rsidRPr="008434CD">
              <w:t>4</w:t>
            </w:r>
          </w:p>
        </w:tc>
        <w:tc>
          <w:tcPr>
            <w:tcW w:w="7274" w:type="dxa"/>
            <w:shd w:val="clear" w:color="auto" w:fill="FFFFFF" w:themeFill="background1"/>
          </w:tcPr>
          <w:p w14:paraId="49D04F57" w14:textId="35089BAC" w:rsidR="006945EB" w:rsidRPr="00491D45" w:rsidRDefault="006945EB" w:rsidP="006945EB">
            <w:pPr>
              <w:ind w:left="0" w:firstLine="0"/>
            </w:pPr>
            <w:r w:rsidRPr="00086700">
              <w:t xml:space="preserve">Retail deposits and deposits from small business customers are the sum of stable deposits, less stable deposits and any other funding sourced from (i) natural persons and/or (ii) small business customers (as defined in paragraph </w:t>
            </w:r>
            <w:r w:rsidRPr="000F052D">
              <w:t>46 and footnote 7 of Attachment A to APS 210</w:t>
            </w:r>
            <w:r w:rsidRPr="009D71A2">
              <w:t xml:space="preserve">, and paragraphs 123 to 126 of </w:t>
            </w:r>
            <w:r w:rsidRPr="009D71A2">
              <w:rPr>
                <w:i/>
              </w:rPr>
              <w:t>Prudential Practice Guide APG 210 Liquidity</w:t>
            </w:r>
            <w:r w:rsidRPr="00491D45">
              <w:t>).</w:t>
            </w:r>
          </w:p>
        </w:tc>
      </w:tr>
      <w:tr w:rsidR="006945EB" w:rsidRPr="00C96F04" w14:paraId="49D04F5B" w14:textId="77777777" w:rsidTr="008434CD">
        <w:trPr>
          <w:trHeight w:val="374"/>
        </w:trPr>
        <w:tc>
          <w:tcPr>
            <w:tcW w:w="959" w:type="dxa"/>
            <w:shd w:val="clear" w:color="auto" w:fill="FFFFFF" w:themeFill="background1"/>
          </w:tcPr>
          <w:p w14:paraId="49D04F59" w14:textId="55D2F718" w:rsidR="006945EB" w:rsidRPr="008434CD" w:rsidRDefault="006945EB" w:rsidP="006945EB">
            <w:pPr>
              <w:ind w:left="0" w:firstLine="0"/>
            </w:pPr>
            <w:r w:rsidRPr="008434CD">
              <w:t>5</w:t>
            </w:r>
          </w:p>
        </w:tc>
        <w:tc>
          <w:tcPr>
            <w:tcW w:w="7274" w:type="dxa"/>
          </w:tcPr>
          <w:p w14:paraId="49D04F5A" w14:textId="35B5E50F" w:rsidR="006945EB" w:rsidRPr="000F052D" w:rsidRDefault="006945EB" w:rsidP="006945EB">
            <w:pPr>
              <w:ind w:left="0" w:firstLine="0"/>
            </w:pPr>
            <w:r w:rsidRPr="00086700">
              <w:t xml:space="preserve">Stable deposits include deposits placed with an ADI by a natural person and unsecured wholesale funding provided by small business customers, </w:t>
            </w:r>
            <w:r w:rsidRPr="000F052D">
              <w:t>defined as ‘stable’ in APS 210.</w:t>
            </w:r>
          </w:p>
        </w:tc>
      </w:tr>
      <w:tr w:rsidR="006945EB" w:rsidRPr="00C96F04" w14:paraId="49D04F5E" w14:textId="77777777" w:rsidTr="008434CD">
        <w:trPr>
          <w:trHeight w:val="374"/>
        </w:trPr>
        <w:tc>
          <w:tcPr>
            <w:tcW w:w="959" w:type="dxa"/>
            <w:shd w:val="clear" w:color="auto" w:fill="FFFFFF" w:themeFill="background1"/>
          </w:tcPr>
          <w:p w14:paraId="49D04F5C" w14:textId="4E42CA65" w:rsidR="006945EB" w:rsidRPr="008434CD" w:rsidRDefault="006945EB" w:rsidP="006945EB">
            <w:pPr>
              <w:ind w:left="0" w:firstLine="0"/>
            </w:pPr>
            <w:r w:rsidRPr="008434CD">
              <w:t>6</w:t>
            </w:r>
          </w:p>
        </w:tc>
        <w:tc>
          <w:tcPr>
            <w:tcW w:w="7274" w:type="dxa"/>
          </w:tcPr>
          <w:p w14:paraId="49D04F5D" w14:textId="1E213FCD" w:rsidR="006945EB" w:rsidRPr="000F052D" w:rsidRDefault="006945EB" w:rsidP="006945EB">
            <w:pPr>
              <w:ind w:left="0" w:firstLine="0"/>
            </w:pPr>
            <w:r w:rsidRPr="00086700">
              <w:t>Less stable deposits include deposits placed with an ADI by a natural person and unsecured wholesale funding provided by small business customers, not defined as ‘stable’ in APS 210</w:t>
            </w:r>
            <w:r>
              <w:t>.</w:t>
            </w:r>
          </w:p>
        </w:tc>
      </w:tr>
      <w:tr w:rsidR="006945EB" w:rsidRPr="00C96F04" w14:paraId="49D04F61" w14:textId="77777777" w:rsidTr="006945EB">
        <w:trPr>
          <w:trHeight w:val="374"/>
        </w:trPr>
        <w:tc>
          <w:tcPr>
            <w:tcW w:w="959" w:type="dxa"/>
            <w:shd w:val="clear" w:color="auto" w:fill="FFFFFF" w:themeFill="background1"/>
          </w:tcPr>
          <w:p w14:paraId="49D04F5F" w14:textId="0A5DF79C" w:rsidR="006945EB" w:rsidRPr="008434CD" w:rsidRDefault="006945EB" w:rsidP="006945EB">
            <w:pPr>
              <w:ind w:left="0" w:firstLine="0"/>
              <w:rPr>
                <w:color w:val="FFFFFF" w:themeColor="background1"/>
              </w:rPr>
            </w:pPr>
            <w:r w:rsidRPr="008434CD">
              <w:t>7</w:t>
            </w:r>
          </w:p>
        </w:tc>
        <w:tc>
          <w:tcPr>
            <w:tcW w:w="7274" w:type="dxa"/>
          </w:tcPr>
          <w:p w14:paraId="49D04F60" w14:textId="7E15189B" w:rsidR="006945EB" w:rsidRPr="00086700" w:rsidRDefault="006945EB" w:rsidP="006945EB">
            <w:pPr>
              <w:ind w:left="0" w:firstLine="0"/>
            </w:pPr>
            <w:r w:rsidRPr="002F7A4E">
              <w:t>Wholesale funding is the sum of rows 8 and 9.</w:t>
            </w:r>
          </w:p>
        </w:tc>
      </w:tr>
      <w:tr w:rsidR="006945EB" w:rsidRPr="00C96F04" w14:paraId="49D04F64" w14:textId="77777777" w:rsidTr="008434CD">
        <w:trPr>
          <w:trHeight w:val="374"/>
        </w:trPr>
        <w:tc>
          <w:tcPr>
            <w:tcW w:w="959" w:type="dxa"/>
            <w:shd w:val="clear" w:color="auto" w:fill="FFFFFF" w:themeFill="background1"/>
          </w:tcPr>
          <w:p w14:paraId="49D04F62" w14:textId="78E4D6E5" w:rsidR="006945EB" w:rsidRPr="008434CD" w:rsidRDefault="006945EB" w:rsidP="006945EB">
            <w:pPr>
              <w:ind w:left="0" w:firstLine="0"/>
            </w:pPr>
            <w:r w:rsidRPr="008434CD">
              <w:t>8</w:t>
            </w:r>
          </w:p>
        </w:tc>
        <w:tc>
          <w:tcPr>
            <w:tcW w:w="7274" w:type="dxa"/>
          </w:tcPr>
          <w:p w14:paraId="49D04F63" w14:textId="3F108C58" w:rsidR="006945EB" w:rsidRPr="000F052D" w:rsidRDefault="006945EB" w:rsidP="006945EB">
            <w:pPr>
              <w:ind w:left="0" w:firstLine="0"/>
            </w:pPr>
            <w:r w:rsidRPr="00086700">
              <w:t>Operational deposits include deposits from other ADIs where those deposits are required for certain activities (i.e. clearing, custody or cash management activities). Deposits in institutional networks of cooperative banks include deposits of member institutio</w:t>
            </w:r>
            <w:r w:rsidRPr="000F052D">
              <w:t>ns with the central institution or specialised central service providers.</w:t>
            </w:r>
          </w:p>
        </w:tc>
      </w:tr>
      <w:tr w:rsidR="006945EB" w:rsidRPr="00C96F04" w14:paraId="49D04F67" w14:textId="77777777" w:rsidTr="008434CD">
        <w:trPr>
          <w:trHeight w:val="374"/>
        </w:trPr>
        <w:tc>
          <w:tcPr>
            <w:tcW w:w="959" w:type="dxa"/>
            <w:shd w:val="clear" w:color="auto" w:fill="FFFFFF" w:themeFill="background1"/>
          </w:tcPr>
          <w:p w14:paraId="49D04F65" w14:textId="02457E72" w:rsidR="006945EB" w:rsidRPr="008434CD" w:rsidRDefault="006945EB" w:rsidP="006945EB">
            <w:pPr>
              <w:ind w:left="0" w:firstLine="0"/>
            </w:pPr>
            <w:r w:rsidRPr="008434CD">
              <w:t>9</w:t>
            </w:r>
          </w:p>
        </w:tc>
        <w:tc>
          <w:tcPr>
            <w:tcW w:w="7274" w:type="dxa"/>
          </w:tcPr>
          <w:p w14:paraId="49D04F66" w14:textId="72C81E76" w:rsidR="006945EB" w:rsidRPr="000F052D" w:rsidRDefault="006945EB" w:rsidP="006945EB">
            <w:pPr>
              <w:ind w:left="0" w:firstLine="0"/>
            </w:pPr>
            <w:r w:rsidRPr="00086700">
              <w:t>Other wholesale funding include funding (secured and unsecured) provided by non-financial corporate customer, sovereigns, PSEs, multilateral and national</w:t>
            </w:r>
            <w:r w:rsidRPr="000F052D">
              <w:t xml:space="preserve"> development banks, central banks and financial institutions.</w:t>
            </w:r>
          </w:p>
        </w:tc>
      </w:tr>
      <w:tr w:rsidR="006945EB" w:rsidRPr="00C96F04" w14:paraId="49D04F6A" w14:textId="77777777" w:rsidTr="00791C01">
        <w:trPr>
          <w:trHeight w:val="374"/>
        </w:trPr>
        <w:tc>
          <w:tcPr>
            <w:tcW w:w="959" w:type="dxa"/>
            <w:shd w:val="clear" w:color="auto" w:fill="FFFFFF" w:themeFill="background1"/>
          </w:tcPr>
          <w:p w14:paraId="49D04F68" w14:textId="43766F3D" w:rsidR="006945EB" w:rsidRPr="008434CD" w:rsidRDefault="006945EB" w:rsidP="006945EB">
            <w:pPr>
              <w:ind w:left="0" w:firstLine="0"/>
            </w:pPr>
            <w:r w:rsidRPr="008434CD">
              <w:t>10</w:t>
            </w:r>
          </w:p>
        </w:tc>
        <w:tc>
          <w:tcPr>
            <w:tcW w:w="7274" w:type="dxa"/>
            <w:shd w:val="clear" w:color="auto" w:fill="FFFFFF" w:themeFill="background1"/>
          </w:tcPr>
          <w:p w14:paraId="49D04F69" w14:textId="09A2BE97" w:rsidR="006945EB" w:rsidRPr="00086700" w:rsidRDefault="006945EB" w:rsidP="006945EB">
            <w:pPr>
              <w:ind w:left="0" w:firstLine="0"/>
            </w:pPr>
            <w:r w:rsidRPr="00086700">
              <w:t>Liabilities with matching interdependent assets.</w:t>
            </w:r>
          </w:p>
        </w:tc>
      </w:tr>
      <w:tr w:rsidR="006945EB" w:rsidRPr="00C96F04" w14:paraId="49D04F6D" w14:textId="77777777" w:rsidTr="00791C01">
        <w:trPr>
          <w:trHeight w:val="374"/>
        </w:trPr>
        <w:tc>
          <w:tcPr>
            <w:tcW w:w="959" w:type="dxa"/>
            <w:shd w:val="clear" w:color="auto" w:fill="FFFFFF" w:themeFill="background1"/>
          </w:tcPr>
          <w:p w14:paraId="49D04F6B" w14:textId="005CF800" w:rsidR="006945EB" w:rsidRPr="008434CD" w:rsidRDefault="006945EB" w:rsidP="006945EB">
            <w:pPr>
              <w:ind w:left="0" w:firstLine="0"/>
            </w:pPr>
            <w:r w:rsidRPr="008434CD">
              <w:t>11</w:t>
            </w:r>
          </w:p>
        </w:tc>
        <w:tc>
          <w:tcPr>
            <w:tcW w:w="7274" w:type="dxa"/>
            <w:shd w:val="clear" w:color="auto" w:fill="FFFFFF" w:themeFill="background1"/>
          </w:tcPr>
          <w:p w14:paraId="49D04F6C" w14:textId="718B1978" w:rsidR="006945EB" w:rsidRPr="00086700" w:rsidRDefault="006945EB" w:rsidP="006945EB">
            <w:pPr>
              <w:ind w:left="0" w:firstLine="0"/>
            </w:pPr>
            <w:r w:rsidRPr="00086700">
              <w:t>Other liabilities are the sum of rows 12 and 13.</w:t>
            </w:r>
          </w:p>
        </w:tc>
      </w:tr>
      <w:tr w:rsidR="006945EB" w:rsidRPr="00C96F04" w14:paraId="49D04F70" w14:textId="77777777" w:rsidTr="008434CD">
        <w:trPr>
          <w:trHeight w:val="374"/>
        </w:trPr>
        <w:tc>
          <w:tcPr>
            <w:tcW w:w="959" w:type="dxa"/>
            <w:shd w:val="clear" w:color="auto" w:fill="FFFFFF" w:themeFill="background1"/>
          </w:tcPr>
          <w:p w14:paraId="49D04F6E" w14:textId="38C4D0CD" w:rsidR="006945EB" w:rsidRPr="008434CD" w:rsidRDefault="006945EB" w:rsidP="006945EB">
            <w:pPr>
              <w:ind w:left="0" w:firstLine="0"/>
            </w:pPr>
            <w:r w:rsidRPr="008434CD">
              <w:t>12</w:t>
            </w:r>
          </w:p>
        </w:tc>
        <w:tc>
          <w:tcPr>
            <w:tcW w:w="7274" w:type="dxa"/>
          </w:tcPr>
          <w:p w14:paraId="49D04F6F" w14:textId="7C995CA8" w:rsidR="006945EB" w:rsidRPr="00294BD0" w:rsidRDefault="006945EB" w:rsidP="006945EB">
            <w:pPr>
              <w:pStyle w:val="APRANORMAL"/>
            </w:pPr>
            <w:r w:rsidRPr="00905DB3">
              <w:rPr>
                <w:rFonts w:ascii="Times New Roman" w:hAnsi="Times New Roman"/>
                <w:sz w:val="24"/>
                <w:szCs w:val="24"/>
                <w:lang w:val="en-AU"/>
              </w:rPr>
              <w:t>In the unweighted cells, report NSFR derivatives liabilities as calculated according to paragraphs 9 and 10 in Attachment C to APS 210. There is no need to differentiate by maturities.</w:t>
            </w:r>
            <w:r>
              <w:rPr>
                <w:rFonts w:ascii="Times New Roman" w:hAnsi="Times New Roman"/>
                <w:sz w:val="24"/>
                <w:szCs w:val="24"/>
                <w:lang w:val="en-AU"/>
              </w:rPr>
              <w:t xml:space="preserve"> </w:t>
            </w:r>
            <w:r w:rsidRPr="00294BD0">
              <w:rPr>
                <w:rFonts w:ascii="Times New Roman" w:hAnsi="Times New Roman"/>
                <w:sz w:val="24"/>
                <w:szCs w:val="24"/>
                <w:lang w:val="en-AU"/>
              </w:rPr>
              <w:t>The weighted value under NSFR derivative liabilities is cross-hatched given that it will be zero after the 0% ASF is applied.</w:t>
            </w:r>
          </w:p>
        </w:tc>
      </w:tr>
      <w:tr w:rsidR="006945EB" w:rsidRPr="00C96F04" w14:paraId="49D04F73" w14:textId="77777777" w:rsidTr="008434CD">
        <w:trPr>
          <w:trHeight w:val="374"/>
        </w:trPr>
        <w:tc>
          <w:tcPr>
            <w:tcW w:w="959" w:type="dxa"/>
            <w:shd w:val="clear" w:color="auto" w:fill="FFFFFF" w:themeFill="background1"/>
          </w:tcPr>
          <w:p w14:paraId="49D04F71" w14:textId="69A4091B" w:rsidR="006945EB" w:rsidRPr="008434CD" w:rsidRDefault="006945EB" w:rsidP="006945EB">
            <w:pPr>
              <w:ind w:left="0" w:firstLine="0"/>
            </w:pPr>
            <w:r w:rsidRPr="008434CD">
              <w:t>13</w:t>
            </w:r>
          </w:p>
        </w:tc>
        <w:tc>
          <w:tcPr>
            <w:tcW w:w="7274" w:type="dxa"/>
          </w:tcPr>
          <w:p w14:paraId="49D04F72" w14:textId="26AD83BF" w:rsidR="006945EB" w:rsidRPr="00294BD0" w:rsidRDefault="006945EB" w:rsidP="006945EB">
            <w:pPr>
              <w:ind w:left="0" w:firstLine="0"/>
            </w:pPr>
            <w:r w:rsidRPr="00294BD0">
              <w:t>All other liabilities and equity not included in above categories.</w:t>
            </w:r>
          </w:p>
        </w:tc>
      </w:tr>
      <w:tr w:rsidR="00791C01" w:rsidRPr="00C96F04" w14:paraId="49D04F76" w14:textId="77777777" w:rsidTr="008434CD">
        <w:trPr>
          <w:trHeight w:val="374"/>
        </w:trPr>
        <w:tc>
          <w:tcPr>
            <w:tcW w:w="959" w:type="dxa"/>
            <w:shd w:val="clear" w:color="auto" w:fill="FFFFFF" w:themeFill="background1"/>
          </w:tcPr>
          <w:p w14:paraId="49D04F74" w14:textId="09094072" w:rsidR="00791C01" w:rsidRPr="008434CD" w:rsidRDefault="00791C01" w:rsidP="00791C01">
            <w:pPr>
              <w:ind w:left="0" w:firstLine="0"/>
            </w:pPr>
            <w:r w:rsidRPr="008434CD">
              <w:t>14</w:t>
            </w:r>
          </w:p>
        </w:tc>
        <w:tc>
          <w:tcPr>
            <w:tcW w:w="7274" w:type="dxa"/>
          </w:tcPr>
          <w:p w14:paraId="49D04F75" w14:textId="0AE80239" w:rsidR="00791C01" w:rsidRPr="000F052D" w:rsidRDefault="00791C01" w:rsidP="00791C01">
            <w:pPr>
              <w:ind w:left="0" w:firstLine="0"/>
            </w:pPr>
            <w:r w:rsidRPr="00086700">
              <w:t>Total Available Stable Funding (ASF) is the sum of all weighted values in rows 1, 4, 7, 10 and 11.</w:t>
            </w:r>
          </w:p>
        </w:tc>
      </w:tr>
      <w:tr w:rsidR="00791C01" w:rsidRPr="00C96F04" w14:paraId="49D04F7B" w14:textId="77777777" w:rsidTr="008434CD">
        <w:trPr>
          <w:trHeight w:val="374"/>
        </w:trPr>
        <w:tc>
          <w:tcPr>
            <w:tcW w:w="959" w:type="dxa"/>
            <w:shd w:val="clear" w:color="auto" w:fill="FFFFFF" w:themeFill="background1"/>
          </w:tcPr>
          <w:p w14:paraId="49D04F77" w14:textId="5A9EAB94" w:rsidR="00791C01" w:rsidRPr="008434CD" w:rsidRDefault="00791C01" w:rsidP="00791C01">
            <w:pPr>
              <w:ind w:left="0" w:firstLine="0"/>
            </w:pPr>
            <w:r w:rsidRPr="008434CD">
              <w:t>15(a)</w:t>
            </w:r>
          </w:p>
        </w:tc>
        <w:tc>
          <w:tcPr>
            <w:tcW w:w="7274" w:type="dxa"/>
          </w:tcPr>
          <w:p w14:paraId="49D04F78" w14:textId="22849A49" w:rsidR="00791C01" w:rsidRPr="00905DB3" w:rsidRDefault="00791C01" w:rsidP="00791C01">
            <w:pPr>
              <w:pStyle w:val="APRANORMAL"/>
              <w:rPr>
                <w:rFonts w:ascii="Times New Roman" w:hAnsi="Times New Roman"/>
                <w:sz w:val="24"/>
                <w:szCs w:val="24"/>
                <w:lang w:val="en-AU"/>
              </w:rPr>
            </w:pPr>
            <w:r w:rsidRPr="00905DB3">
              <w:rPr>
                <w:rFonts w:ascii="Times New Roman" w:hAnsi="Times New Roman"/>
                <w:sz w:val="24"/>
                <w:szCs w:val="24"/>
                <w:lang w:val="en-AU"/>
              </w:rPr>
              <w:t>Total HQLA as defined in the paragraphs 9–12 (encumbered and unencumbered) of attachment A to APS 210, without regard to LCR operational requirements and LCR caps on Level 2 and Level 2B assets that might otherwise limit the ability of some HQLA to be included as eligible in calculation of the LCR:</w:t>
            </w:r>
          </w:p>
          <w:p w14:paraId="49D04F79" w14:textId="77777777" w:rsidR="00791C01" w:rsidRPr="00905DB3" w:rsidRDefault="00791C01" w:rsidP="00791C01">
            <w:pPr>
              <w:pStyle w:val="APRANORMAL"/>
              <w:numPr>
                <w:ilvl w:val="0"/>
                <w:numId w:val="44"/>
              </w:numPr>
              <w:rPr>
                <w:rFonts w:ascii="Times New Roman" w:hAnsi="Times New Roman"/>
                <w:sz w:val="24"/>
                <w:szCs w:val="24"/>
                <w:lang w:val="en-AU"/>
              </w:rPr>
            </w:pPr>
            <w:r w:rsidRPr="00905DB3">
              <w:rPr>
                <w:rFonts w:ascii="Times New Roman" w:hAnsi="Times New Roman"/>
                <w:sz w:val="24"/>
                <w:szCs w:val="24"/>
                <w:lang w:val="en-AU"/>
              </w:rPr>
              <w:t>Encumbered assets including assets backing securities or covered bonds.</w:t>
            </w:r>
          </w:p>
          <w:p w14:paraId="49D04F7A" w14:textId="7C2F5925" w:rsidR="00791C01" w:rsidRPr="00294BD0" w:rsidRDefault="00791C01" w:rsidP="00791C01">
            <w:pPr>
              <w:pStyle w:val="ListParagraph"/>
              <w:numPr>
                <w:ilvl w:val="0"/>
                <w:numId w:val="44"/>
              </w:numPr>
            </w:pPr>
            <w:r w:rsidRPr="00294BD0">
              <w:t>Unencumbered means free of legal, regulatory, contractual or other restrictions on the ability of the ADI to liquidate, sell, transfer or assign the asset.</w:t>
            </w:r>
          </w:p>
        </w:tc>
      </w:tr>
      <w:tr w:rsidR="00791C01" w:rsidRPr="00C96F04" w14:paraId="49D04F7E" w14:textId="77777777" w:rsidTr="008434CD">
        <w:trPr>
          <w:trHeight w:val="374"/>
        </w:trPr>
        <w:tc>
          <w:tcPr>
            <w:tcW w:w="959" w:type="dxa"/>
            <w:shd w:val="clear" w:color="auto" w:fill="FFFFFF" w:themeFill="background1"/>
          </w:tcPr>
          <w:p w14:paraId="49D04F7C" w14:textId="4667827D" w:rsidR="00791C01" w:rsidRPr="008434CD" w:rsidRDefault="00791C01" w:rsidP="00791C01">
            <w:pPr>
              <w:ind w:left="0" w:firstLine="0"/>
              <w:rPr>
                <w:color w:val="FFFFFF" w:themeColor="background1"/>
              </w:rPr>
            </w:pPr>
            <w:r w:rsidRPr="008434CD">
              <w:t>15(b)</w:t>
            </w:r>
            <w:r w:rsidRPr="008434CD">
              <w:rPr>
                <w:color w:val="FFFFFF" w:themeColor="background1"/>
              </w:rPr>
              <w:t>)</w:t>
            </w:r>
          </w:p>
        </w:tc>
        <w:tc>
          <w:tcPr>
            <w:tcW w:w="7274" w:type="dxa"/>
          </w:tcPr>
          <w:p w14:paraId="49D04F7D" w14:textId="21ACE109" w:rsidR="00791C01" w:rsidRDefault="00791C01" w:rsidP="00791C01">
            <w:pPr>
              <w:ind w:left="0" w:firstLine="0"/>
            </w:pPr>
            <w:r w:rsidRPr="00953F7D">
              <w:t>ALA are made available in jurisdictions where there is insufficient supply of HQLA1 (or both HQLA1 and HQLA2) in the domestic currency to meet the aggregate demand of banks with significant exposures in the domestic currency in the LCR framework.</w:t>
            </w:r>
            <w:r>
              <w:t xml:space="preserve"> </w:t>
            </w:r>
            <w:r w:rsidRPr="00346E9C">
              <w:t xml:space="preserve">This must be reported in accordance with the instructions for </w:t>
            </w:r>
            <w:r w:rsidRPr="00905DB3">
              <w:rPr>
                <w:i/>
              </w:rPr>
              <w:t>Reporting form ARF 210.6 Net Stable Funding Ratio</w:t>
            </w:r>
            <w:r w:rsidRPr="002C2B02">
              <w:t xml:space="preserve"> </w:t>
            </w:r>
            <w:r>
              <w:t>(ARF 210.6) i</w:t>
            </w:r>
            <w:r w:rsidRPr="00346E9C">
              <w:t xml:space="preserve">n </w:t>
            </w:r>
            <w:r w:rsidRPr="00905DB3">
              <w:rPr>
                <w:i/>
              </w:rPr>
              <w:t>Reporting Standard ARS 210.0 Liquidity</w:t>
            </w:r>
            <w:r w:rsidRPr="00346E9C">
              <w:t xml:space="preserve"> (ARS 210).</w:t>
            </w:r>
          </w:p>
        </w:tc>
      </w:tr>
      <w:tr w:rsidR="00791C01" w:rsidRPr="00C96F04" w14:paraId="49D04F81" w14:textId="77777777" w:rsidTr="008434CD">
        <w:trPr>
          <w:trHeight w:val="374"/>
        </w:trPr>
        <w:tc>
          <w:tcPr>
            <w:tcW w:w="959" w:type="dxa"/>
            <w:shd w:val="clear" w:color="auto" w:fill="FFFFFF" w:themeFill="background1"/>
          </w:tcPr>
          <w:p w14:paraId="49D04F7F" w14:textId="25B7664D" w:rsidR="00791C01" w:rsidRPr="008434CD" w:rsidRDefault="00791C01" w:rsidP="00791C01">
            <w:pPr>
              <w:ind w:left="0" w:firstLine="0"/>
              <w:rPr>
                <w:color w:val="FFFFFF" w:themeColor="background1"/>
              </w:rPr>
            </w:pPr>
            <w:r w:rsidRPr="008434CD">
              <w:t>15(c)</w:t>
            </w:r>
          </w:p>
        </w:tc>
        <w:tc>
          <w:tcPr>
            <w:tcW w:w="7274" w:type="dxa"/>
          </w:tcPr>
          <w:p w14:paraId="49D04F80" w14:textId="4AEB6622" w:rsidR="00791C01" w:rsidRPr="00086700" w:rsidRDefault="00791C01" w:rsidP="00791C01">
            <w:pPr>
              <w:ind w:left="0" w:firstLine="0"/>
            </w:pPr>
            <w:r w:rsidRPr="00172FF1">
              <w:t xml:space="preserve">Liquid assets contained in the RBNZ’s Liquidity Policy – </w:t>
            </w:r>
            <w:r w:rsidRPr="00905DB3">
              <w:rPr>
                <w:i/>
              </w:rPr>
              <w:t>Annex: Liquid Assets – Prudential Supervision Department Document BS13A</w:t>
            </w:r>
            <w:r>
              <w:rPr>
                <w:i/>
              </w:rPr>
              <w:t xml:space="preserve">, </w:t>
            </w:r>
            <w:r w:rsidRPr="00C71C0C">
              <w:t xml:space="preserve">as implemented by the RBNZ from time to time. </w:t>
            </w:r>
          </w:p>
        </w:tc>
      </w:tr>
      <w:tr w:rsidR="008434CD" w:rsidRPr="00C96F04" w14:paraId="49D04F84" w14:textId="77777777" w:rsidTr="008434CD">
        <w:trPr>
          <w:trHeight w:val="374"/>
        </w:trPr>
        <w:tc>
          <w:tcPr>
            <w:tcW w:w="959" w:type="dxa"/>
            <w:shd w:val="clear" w:color="auto" w:fill="FFFFFF" w:themeFill="background1"/>
          </w:tcPr>
          <w:p w14:paraId="49D04F82" w14:textId="7594E5DB" w:rsidR="008434CD" w:rsidRPr="008434CD" w:rsidRDefault="008434CD" w:rsidP="008434CD">
            <w:pPr>
              <w:ind w:left="0" w:firstLine="0"/>
            </w:pPr>
            <w:r w:rsidRPr="008434CD">
              <w:t>16</w:t>
            </w:r>
          </w:p>
        </w:tc>
        <w:tc>
          <w:tcPr>
            <w:tcW w:w="7274" w:type="dxa"/>
          </w:tcPr>
          <w:p w14:paraId="49D04F83" w14:textId="2648E582" w:rsidR="008434CD" w:rsidRPr="000F052D" w:rsidRDefault="008434CD" w:rsidP="008434CD">
            <w:pPr>
              <w:ind w:left="0" w:firstLine="0"/>
            </w:pPr>
            <w:r w:rsidRPr="00086700">
              <w:t>Deposits held at other financial institutions for operational purposes, as defined in paragraph</w:t>
            </w:r>
            <w:r w:rsidRPr="000F052D">
              <w:t xml:space="preserve"> 34(d) of Attachment C to APS 210.</w:t>
            </w:r>
            <w:r>
              <w:t xml:space="preserve"> </w:t>
            </w:r>
            <w:r w:rsidRPr="002C2B02">
              <w:t xml:space="preserve">This must be reported in accordance with the instructions for ARF 210.6 in ARS </w:t>
            </w:r>
            <w:r>
              <w:t>2</w:t>
            </w:r>
            <w:r w:rsidRPr="002C2B02">
              <w:t>10.</w:t>
            </w:r>
          </w:p>
        </w:tc>
      </w:tr>
      <w:tr w:rsidR="008434CD" w:rsidRPr="00C96F04" w14:paraId="49D04F87" w14:textId="77777777" w:rsidTr="008434CD">
        <w:trPr>
          <w:trHeight w:val="374"/>
        </w:trPr>
        <w:tc>
          <w:tcPr>
            <w:tcW w:w="959" w:type="dxa"/>
            <w:shd w:val="clear" w:color="auto" w:fill="FFFFFF" w:themeFill="background1"/>
          </w:tcPr>
          <w:p w14:paraId="49D04F85" w14:textId="668A360C" w:rsidR="008434CD" w:rsidRPr="008434CD" w:rsidRDefault="008434CD" w:rsidP="008434CD">
            <w:pPr>
              <w:ind w:left="0" w:firstLine="0"/>
            </w:pPr>
            <w:r w:rsidRPr="008434CD">
              <w:t>17</w:t>
            </w:r>
          </w:p>
        </w:tc>
        <w:tc>
          <w:tcPr>
            <w:tcW w:w="7274" w:type="dxa"/>
          </w:tcPr>
          <w:p w14:paraId="49D04F86" w14:textId="430D0BCB" w:rsidR="008434CD" w:rsidRPr="000F052D" w:rsidRDefault="008434CD" w:rsidP="008434CD">
            <w:pPr>
              <w:ind w:left="0" w:firstLine="0"/>
            </w:pPr>
            <w:r w:rsidRPr="00086700">
              <w:t>Performing loans and securities are the sum of rows 18, 19, 20, 22 and 24.</w:t>
            </w:r>
          </w:p>
        </w:tc>
      </w:tr>
      <w:tr w:rsidR="008434CD" w:rsidRPr="00C96F04" w14:paraId="49D04F8A" w14:textId="77777777" w:rsidTr="008434CD">
        <w:trPr>
          <w:trHeight w:val="374"/>
        </w:trPr>
        <w:tc>
          <w:tcPr>
            <w:tcW w:w="959" w:type="dxa"/>
            <w:shd w:val="clear" w:color="auto" w:fill="FFFFFF" w:themeFill="background1"/>
          </w:tcPr>
          <w:p w14:paraId="49D04F88" w14:textId="49D6732B" w:rsidR="008434CD" w:rsidRPr="008434CD" w:rsidRDefault="008434CD" w:rsidP="008434CD">
            <w:pPr>
              <w:ind w:left="0" w:firstLine="0"/>
            </w:pPr>
            <w:r w:rsidRPr="008434CD">
              <w:t>18</w:t>
            </w:r>
          </w:p>
        </w:tc>
        <w:tc>
          <w:tcPr>
            <w:tcW w:w="7274" w:type="dxa"/>
          </w:tcPr>
          <w:p w14:paraId="49D04F89" w14:textId="541FA2BB" w:rsidR="008434CD" w:rsidRPr="00491D45" w:rsidRDefault="008434CD" w:rsidP="008434CD">
            <w:pPr>
              <w:ind w:left="0" w:firstLine="0"/>
            </w:pPr>
            <w:r w:rsidRPr="00086700">
              <w:t>Performing loans to financial institutions secured by Level 1 HQLA, as defined</w:t>
            </w:r>
            <w:r w:rsidRPr="000F052D" w:rsidDel="00452ED3">
              <w:t xml:space="preserve"> in </w:t>
            </w:r>
            <w:r w:rsidRPr="000F052D">
              <w:t>paragraph 9(c), 9(d) and 9(e</w:t>
            </w:r>
            <w:r w:rsidRPr="009D71A2">
              <w:t>) of Attachment A to APS 210</w:t>
            </w:r>
            <w:r w:rsidRPr="00491D45">
              <w:t>.</w:t>
            </w:r>
          </w:p>
        </w:tc>
      </w:tr>
      <w:tr w:rsidR="008434CD" w:rsidRPr="00C96F04" w14:paraId="49D04F8D" w14:textId="77777777" w:rsidTr="008434CD">
        <w:trPr>
          <w:trHeight w:val="374"/>
        </w:trPr>
        <w:tc>
          <w:tcPr>
            <w:tcW w:w="959" w:type="dxa"/>
            <w:shd w:val="clear" w:color="auto" w:fill="FFFFFF" w:themeFill="background1"/>
          </w:tcPr>
          <w:p w14:paraId="49D04F8B" w14:textId="0F7B75EF" w:rsidR="008434CD" w:rsidRPr="008434CD" w:rsidRDefault="008434CD" w:rsidP="008434CD">
            <w:pPr>
              <w:ind w:left="0" w:firstLine="0"/>
            </w:pPr>
            <w:r w:rsidRPr="008434CD">
              <w:t>19</w:t>
            </w:r>
          </w:p>
        </w:tc>
        <w:tc>
          <w:tcPr>
            <w:tcW w:w="7274" w:type="dxa"/>
          </w:tcPr>
          <w:p w14:paraId="49D04F8C" w14:textId="17F43AAB" w:rsidR="008434CD" w:rsidRPr="000F052D" w:rsidRDefault="008434CD" w:rsidP="008434CD">
            <w:pPr>
              <w:ind w:left="0" w:firstLine="0"/>
            </w:pPr>
            <w:r w:rsidRPr="00086700">
              <w:t>Performing loans to financial institutions secured by non-Level 1 HQLA and unsecured performing loans to financial institutions.</w:t>
            </w:r>
          </w:p>
        </w:tc>
      </w:tr>
      <w:tr w:rsidR="008434CD" w:rsidRPr="00C96F04" w14:paraId="49D04F90" w14:textId="77777777" w:rsidTr="008434CD">
        <w:trPr>
          <w:trHeight w:val="374"/>
        </w:trPr>
        <w:tc>
          <w:tcPr>
            <w:tcW w:w="959" w:type="dxa"/>
            <w:shd w:val="clear" w:color="auto" w:fill="FFFFFF" w:themeFill="background1"/>
          </w:tcPr>
          <w:p w14:paraId="49D04F8E" w14:textId="350B9231" w:rsidR="008434CD" w:rsidRPr="008434CD" w:rsidRDefault="008434CD" w:rsidP="008434CD">
            <w:pPr>
              <w:ind w:left="0" w:firstLine="0"/>
            </w:pPr>
            <w:r w:rsidRPr="008434CD">
              <w:t>20</w:t>
            </w:r>
          </w:p>
        </w:tc>
        <w:tc>
          <w:tcPr>
            <w:tcW w:w="7274" w:type="dxa"/>
          </w:tcPr>
          <w:p w14:paraId="49D04F8F" w14:textId="2AC079C0" w:rsidR="008434CD" w:rsidRPr="000F052D" w:rsidRDefault="008434CD" w:rsidP="008434CD">
            <w:pPr>
              <w:ind w:left="0" w:firstLine="0"/>
            </w:pPr>
            <w:r w:rsidRPr="00086700">
              <w:t>Performing loans to non-financial corporate clients, loans to retail and small business customers, and loans to sovereigns, central banks and PSEs.</w:t>
            </w:r>
          </w:p>
        </w:tc>
      </w:tr>
      <w:tr w:rsidR="008434CD" w:rsidRPr="00C96F04" w14:paraId="49D04F93" w14:textId="77777777" w:rsidTr="008434CD">
        <w:trPr>
          <w:trHeight w:val="374"/>
        </w:trPr>
        <w:tc>
          <w:tcPr>
            <w:tcW w:w="959" w:type="dxa"/>
            <w:shd w:val="clear" w:color="auto" w:fill="FFFFFF" w:themeFill="background1"/>
          </w:tcPr>
          <w:p w14:paraId="49D04F91" w14:textId="425AA6DE" w:rsidR="008434CD" w:rsidRPr="008434CD" w:rsidRDefault="008434CD" w:rsidP="008434CD">
            <w:pPr>
              <w:ind w:left="0" w:firstLine="0"/>
            </w:pPr>
            <w:r w:rsidRPr="008434CD">
              <w:t>21</w:t>
            </w:r>
          </w:p>
        </w:tc>
        <w:tc>
          <w:tcPr>
            <w:tcW w:w="7274" w:type="dxa"/>
          </w:tcPr>
          <w:p w14:paraId="49D04F92" w14:textId="08766DB0" w:rsidR="008434CD" w:rsidRPr="000F052D" w:rsidRDefault="008434CD" w:rsidP="008434CD">
            <w:pPr>
              <w:ind w:left="0" w:firstLine="0"/>
            </w:pPr>
            <w:r w:rsidRPr="00086700">
              <w:t xml:space="preserve">Performing loans to non-financial corporate clients, loans to retail and small business customers, and loans to sovereigns, central banks and PSEs </w:t>
            </w:r>
            <w:r w:rsidRPr="000F052D">
              <w:t xml:space="preserve">with risk weight of less than or equal to 35% under </w:t>
            </w:r>
            <w:r>
              <w:t>APS 112</w:t>
            </w:r>
            <w:r w:rsidRPr="000F052D">
              <w:t>.</w:t>
            </w:r>
          </w:p>
        </w:tc>
      </w:tr>
      <w:tr w:rsidR="008434CD" w:rsidRPr="00C96F04" w14:paraId="49D04F96" w14:textId="77777777" w:rsidTr="008434CD">
        <w:trPr>
          <w:trHeight w:val="374"/>
        </w:trPr>
        <w:tc>
          <w:tcPr>
            <w:tcW w:w="959" w:type="dxa"/>
            <w:shd w:val="clear" w:color="auto" w:fill="FFFFFF" w:themeFill="background1"/>
          </w:tcPr>
          <w:p w14:paraId="49D04F94" w14:textId="223FE665" w:rsidR="008434CD" w:rsidRPr="008434CD" w:rsidRDefault="008434CD" w:rsidP="008434CD">
            <w:pPr>
              <w:ind w:left="0" w:firstLine="0"/>
            </w:pPr>
            <w:r w:rsidRPr="008434CD">
              <w:t>22</w:t>
            </w:r>
          </w:p>
        </w:tc>
        <w:tc>
          <w:tcPr>
            <w:tcW w:w="7274" w:type="dxa"/>
          </w:tcPr>
          <w:p w14:paraId="49D04F95" w14:textId="1F47D841" w:rsidR="008434CD" w:rsidRPr="00086700" w:rsidRDefault="008434CD" w:rsidP="008434CD">
            <w:pPr>
              <w:ind w:left="0" w:firstLine="0"/>
            </w:pPr>
            <w:r w:rsidRPr="00086700">
              <w:t>Performing residential mortgages.</w:t>
            </w:r>
          </w:p>
        </w:tc>
      </w:tr>
      <w:tr w:rsidR="008434CD" w:rsidRPr="00C96F04" w14:paraId="49D04F99" w14:textId="77777777" w:rsidTr="008434CD">
        <w:trPr>
          <w:trHeight w:val="374"/>
        </w:trPr>
        <w:tc>
          <w:tcPr>
            <w:tcW w:w="959" w:type="dxa"/>
            <w:shd w:val="clear" w:color="auto" w:fill="FFFFFF" w:themeFill="background1"/>
          </w:tcPr>
          <w:p w14:paraId="49D04F97" w14:textId="2654D3A3" w:rsidR="008434CD" w:rsidRPr="008434CD" w:rsidRDefault="008434CD" w:rsidP="008434CD">
            <w:pPr>
              <w:ind w:left="0" w:firstLine="0"/>
            </w:pPr>
            <w:r w:rsidRPr="008434CD">
              <w:t>23</w:t>
            </w:r>
          </w:p>
        </w:tc>
        <w:tc>
          <w:tcPr>
            <w:tcW w:w="7274" w:type="dxa"/>
          </w:tcPr>
          <w:p w14:paraId="49D04F98" w14:textId="5E690B79" w:rsidR="008434CD" w:rsidRPr="000F052D" w:rsidRDefault="008434CD" w:rsidP="008434CD">
            <w:pPr>
              <w:ind w:left="0" w:firstLine="0"/>
            </w:pPr>
            <w:r w:rsidRPr="00086700">
              <w:t>Performing residential mortgages with risk weight equal to 35% under</w:t>
            </w:r>
            <w:r w:rsidR="00AB6C18">
              <w:t xml:space="preserve"> </w:t>
            </w:r>
            <w:r>
              <w:t>APS 112</w:t>
            </w:r>
            <w:r w:rsidRPr="00086700">
              <w:t>.</w:t>
            </w:r>
          </w:p>
        </w:tc>
      </w:tr>
      <w:tr w:rsidR="008434CD" w:rsidRPr="00C96F04" w14:paraId="49D04F9C" w14:textId="77777777" w:rsidTr="008434CD">
        <w:trPr>
          <w:trHeight w:val="374"/>
        </w:trPr>
        <w:tc>
          <w:tcPr>
            <w:tcW w:w="959" w:type="dxa"/>
            <w:shd w:val="clear" w:color="auto" w:fill="FFFFFF" w:themeFill="background1"/>
          </w:tcPr>
          <w:p w14:paraId="49D04F9A" w14:textId="7A9E1E6B" w:rsidR="008434CD" w:rsidRPr="008434CD" w:rsidRDefault="008434CD" w:rsidP="008434CD">
            <w:pPr>
              <w:ind w:left="0" w:firstLine="0"/>
            </w:pPr>
            <w:r w:rsidRPr="008434CD">
              <w:t>24</w:t>
            </w:r>
          </w:p>
        </w:tc>
        <w:tc>
          <w:tcPr>
            <w:tcW w:w="7274" w:type="dxa"/>
          </w:tcPr>
          <w:p w14:paraId="49D04F9B" w14:textId="7007E9B8" w:rsidR="008434CD" w:rsidRPr="000F052D" w:rsidRDefault="008434CD" w:rsidP="008434CD">
            <w:pPr>
              <w:ind w:left="0" w:firstLine="0"/>
            </w:pPr>
            <w:r w:rsidRPr="00086700">
              <w:t>Securities that are not in default and do not qualify as HQLA including exchange-traded equities.</w:t>
            </w:r>
          </w:p>
        </w:tc>
      </w:tr>
      <w:tr w:rsidR="008434CD" w:rsidRPr="00C96F04" w14:paraId="49D04F9F" w14:textId="77777777" w:rsidTr="008434CD">
        <w:trPr>
          <w:trHeight w:val="374"/>
        </w:trPr>
        <w:tc>
          <w:tcPr>
            <w:tcW w:w="959" w:type="dxa"/>
            <w:shd w:val="clear" w:color="auto" w:fill="FFFFFF" w:themeFill="background1"/>
          </w:tcPr>
          <w:p w14:paraId="49D04F9D" w14:textId="0B12F835" w:rsidR="008434CD" w:rsidRPr="008434CD" w:rsidRDefault="008434CD" w:rsidP="008434CD">
            <w:pPr>
              <w:ind w:left="0" w:firstLine="0"/>
            </w:pPr>
            <w:r w:rsidRPr="008434CD">
              <w:t>25</w:t>
            </w:r>
          </w:p>
        </w:tc>
        <w:tc>
          <w:tcPr>
            <w:tcW w:w="7274" w:type="dxa"/>
          </w:tcPr>
          <w:p w14:paraId="49D04F9E" w14:textId="493B82BA" w:rsidR="008434CD" w:rsidRPr="00086700" w:rsidRDefault="008434CD" w:rsidP="008434CD">
            <w:pPr>
              <w:ind w:left="0" w:firstLine="0"/>
            </w:pPr>
            <w:r w:rsidRPr="00086700">
              <w:t>Assets with matching interdependent liabilities.</w:t>
            </w:r>
          </w:p>
        </w:tc>
      </w:tr>
      <w:tr w:rsidR="008434CD" w:rsidRPr="00C96F04" w14:paraId="49D04FA2" w14:textId="77777777" w:rsidTr="008434CD">
        <w:trPr>
          <w:trHeight w:val="374"/>
        </w:trPr>
        <w:tc>
          <w:tcPr>
            <w:tcW w:w="959" w:type="dxa"/>
            <w:shd w:val="clear" w:color="auto" w:fill="FFFFFF" w:themeFill="background1"/>
          </w:tcPr>
          <w:p w14:paraId="49D04FA0" w14:textId="464E69BE" w:rsidR="008434CD" w:rsidRPr="008434CD" w:rsidRDefault="008434CD" w:rsidP="008434CD">
            <w:pPr>
              <w:ind w:left="0" w:firstLine="0"/>
            </w:pPr>
            <w:r w:rsidRPr="008434CD">
              <w:t>26</w:t>
            </w:r>
          </w:p>
        </w:tc>
        <w:tc>
          <w:tcPr>
            <w:tcW w:w="7274" w:type="dxa"/>
          </w:tcPr>
          <w:p w14:paraId="49D04FA1" w14:textId="419D3030" w:rsidR="008434CD" w:rsidRPr="00086700" w:rsidRDefault="008434CD" w:rsidP="008434CD">
            <w:pPr>
              <w:ind w:left="0" w:firstLine="0"/>
            </w:pPr>
            <w:r w:rsidRPr="00086700">
              <w:t>Other assets are the sum of rows 27 to 31.</w:t>
            </w:r>
          </w:p>
        </w:tc>
      </w:tr>
      <w:tr w:rsidR="008434CD" w:rsidRPr="00C96F04" w14:paraId="49D04FA5" w14:textId="77777777" w:rsidTr="008434CD">
        <w:trPr>
          <w:trHeight w:val="374"/>
        </w:trPr>
        <w:tc>
          <w:tcPr>
            <w:tcW w:w="959" w:type="dxa"/>
            <w:shd w:val="clear" w:color="auto" w:fill="FFFFFF" w:themeFill="background1"/>
          </w:tcPr>
          <w:p w14:paraId="49D04FA3" w14:textId="166BD37D" w:rsidR="008434CD" w:rsidRPr="008434CD" w:rsidRDefault="008434CD" w:rsidP="008434CD">
            <w:pPr>
              <w:ind w:left="0" w:firstLine="0"/>
            </w:pPr>
            <w:r w:rsidRPr="008434CD">
              <w:t>27</w:t>
            </w:r>
          </w:p>
        </w:tc>
        <w:tc>
          <w:tcPr>
            <w:tcW w:w="7274" w:type="dxa"/>
          </w:tcPr>
          <w:p w14:paraId="49D04FA4" w14:textId="27CA4954" w:rsidR="008434CD" w:rsidRPr="00086700" w:rsidRDefault="008434CD" w:rsidP="008434CD">
            <w:pPr>
              <w:ind w:left="0" w:firstLine="0"/>
            </w:pPr>
            <w:r w:rsidRPr="00086700">
              <w:t>Physical traded commodities, including gold.</w:t>
            </w:r>
          </w:p>
        </w:tc>
      </w:tr>
      <w:tr w:rsidR="008434CD" w:rsidRPr="00C96F04" w14:paraId="49D04FA8" w14:textId="77777777" w:rsidTr="008434CD">
        <w:trPr>
          <w:trHeight w:val="374"/>
        </w:trPr>
        <w:tc>
          <w:tcPr>
            <w:tcW w:w="959" w:type="dxa"/>
            <w:shd w:val="clear" w:color="auto" w:fill="FFFFFF" w:themeFill="background1"/>
          </w:tcPr>
          <w:p w14:paraId="49D04FA6" w14:textId="7E0BDA80" w:rsidR="008434CD" w:rsidRPr="008434CD" w:rsidRDefault="008434CD" w:rsidP="008434CD">
            <w:pPr>
              <w:ind w:left="0" w:firstLine="0"/>
            </w:pPr>
            <w:r w:rsidRPr="008434CD">
              <w:t>28</w:t>
            </w:r>
          </w:p>
        </w:tc>
        <w:tc>
          <w:tcPr>
            <w:tcW w:w="7274" w:type="dxa"/>
          </w:tcPr>
          <w:p w14:paraId="49D04FA7" w14:textId="6C727553" w:rsidR="008434CD" w:rsidRPr="000F052D" w:rsidRDefault="008434CD" w:rsidP="008434CD">
            <w:pPr>
              <w:ind w:left="0" w:firstLine="0"/>
            </w:pPr>
            <w:r w:rsidRPr="00086700">
              <w:t>Cash, securities or other assets posted as initial margin for derivative contracts and contributions to default funds of CCPs</w:t>
            </w:r>
            <w:r>
              <w:t>.</w:t>
            </w:r>
          </w:p>
        </w:tc>
      </w:tr>
      <w:tr w:rsidR="008434CD" w:rsidRPr="00C96F04" w14:paraId="49D04FAB" w14:textId="77777777" w:rsidTr="008434CD">
        <w:trPr>
          <w:trHeight w:val="374"/>
        </w:trPr>
        <w:tc>
          <w:tcPr>
            <w:tcW w:w="959" w:type="dxa"/>
            <w:shd w:val="clear" w:color="auto" w:fill="FFFFFF" w:themeFill="background1"/>
          </w:tcPr>
          <w:p w14:paraId="49D04FA9" w14:textId="613940A9" w:rsidR="008434CD" w:rsidRPr="008434CD" w:rsidRDefault="008434CD" w:rsidP="008434CD">
            <w:pPr>
              <w:ind w:left="0" w:firstLine="0"/>
            </w:pPr>
            <w:r w:rsidRPr="008434CD">
              <w:t>29</w:t>
            </w:r>
          </w:p>
        </w:tc>
        <w:tc>
          <w:tcPr>
            <w:tcW w:w="7274" w:type="dxa"/>
          </w:tcPr>
          <w:p w14:paraId="49D04FAA" w14:textId="01EE297B" w:rsidR="008434CD" w:rsidRPr="00CF2447" w:rsidRDefault="008434CD" w:rsidP="008434CD">
            <w:pPr>
              <w:pStyle w:val="APRANORMAL"/>
            </w:pPr>
            <w:r>
              <w:rPr>
                <w:rFonts w:ascii="Times New Roman" w:hAnsi="Times New Roman"/>
                <w:sz w:val="24"/>
                <w:szCs w:val="24"/>
                <w:lang w:val="en-AU"/>
              </w:rPr>
              <w:t xml:space="preserve">In the weighted cell, if NSFR derivative assets are greater than NSFR derivative liabilities (as calculated according to paragraphs 9 and 10 in Attachment C to APS 210), report the positive difference between NSFR derivative assets and derivative liabilities. </w:t>
            </w:r>
            <w:r w:rsidRPr="00294BD0">
              <w:rPr>
                <w:rFonts w:ascii="Times New Roman" w:hAnsi="Times New Roman"/>
                <w:sz w:val="24"/>
                <w:szCs w:val="24"/>
                <w:lang w:val="en-AU"/>
              </w:rPr>
              <w:t xml:space="preserve">In the unweighted cell, report NSFR derivative assets, as calculated according to </w:t>
            </w:r>
            <w:r w:rsidRPr="00905DB3">
              <w:rPr>
                <w:rFonts w:ascii="Times New Roman" w:hAnsi="Times New Roman"/>
                <w:sz w:val="24"/>
                <w:szCs w:val="24"/>
                <w:lang w:val="en-AU"/>
              </w:rPr>
              <w:t>paragraphs 27 and 28 in Attachment C to APS 210. There is no need to differentiate by maturities.</w:t>
            </w:r>
          </w:p>
        </w:tc>
      </w:tr>
      <w:tr w:rsidR="008434CD" w:rsidRPr="00C96F04" w14:paraId="49D04FAE" w14:textId="77777777" w:rsidTr="008434CD">
        <w:trPr>
          <w:trHeight w:val="374"/>
        </w:trPr>
        <w:tc>
          <w:tcPr>
            <w:tcW w:w="959" w:type="dxa"/>
            <w:shd w:val="clear" w:color="auto" w:fill="FFFFFF" w:themeFill="background1"/>
          </w:tcPr>
          <w:p w14:paraId="49D04FAC" w14:textId="48069A79" w:rsidR="008434CD" w:rsidRPr="008434CD" w:rsidRDefault="008434CD" w:rsidP="008434CD">
            <w:pPr>
              <w:ind w:left="0" w:firstLine="0"/>
            </w:pPr>
            <w:r w:rsidRPr="008434CD">
              <w:t>30</w:t>
            </w:r>
          </w:p>
        </w:tc>
        <w:tc>
          <w:tcPr>
            <w:tcW w:w="7274" w:type="dxa"/>
          </w:tcPr>
          <w:p w14:paraId="49D04FAD" w14:textId="6DD4A40C" w:rsidR="008434CD" w:rsidRPr="00CF2447" w:rsidRDefault="008434CD" w:rsidP="008434CD">
            <w:pPr>
              <w:pStyle w:val="APRANORMAL"/>
            </w:pPr>
            <w:r w:rsidRPr="00905DB3">
              <w:rPr>
                <w:rFonts w:ascii="Times New Roman" w:hAnsi="Times New Roman"/>
                <w:sz w:val="24"/>
                <w:szCs w:val="24"/>
                <w:lang w:val="en-AU"/>
              </w:rPr>
              <w:t>In the unweighted cell, report derivative liabilities as calculated according to paragraph 9 in Attachment C to APS 210, i.e. before deducing variation margin posted. There is no need to differentiate by maturities.</w:t>
            </w:r>
            <w:r>
              <w:rPr>
                <w:rFonts w:ascii="Times New Roman" w:hAnsi="Times New Roman"/>
                <w:sz w:val="24"/>
                <w:szCs w:val="24"/>
                <w:lang w:val="en-AU"/>
              </w:rPr>
              <w:t xml:space="preserve"> </w:t>
            </w:r>
            <w:r w:rsidRPr="00294BD0">
              <w:rPr>
                <w:rFonts w:ascii="Times New Roman" w:hAnsi="Times New Roman"/>
                <w:sz w:val="24"/>
                <w:szCs w:val="24"/>
                <w:lang w:val="en-AU"/>
              </w:rPr>
              <w:t>In the weighted cell, report 20% of derivatives liabilities unweighted value (subject to 100% RSF).</w:t>
            </w:r>
          </w:p>
        </w:tc>
      </w:tr>
      <w:tr w:rsidR="008434CD" w:rsidRPr="00C96F04" w14:paraId="49D04FB1" w14:textId="77777777" w:rsidTr="008434CD">
        <w:trPr>
          <w:trHeight w:val="374"/>
        </w:trPr>
        <w:tc>
          <w:tcPr>
            <w:tcW w:w="959" w:type="dxa"/>
            <w:shd w:val="clear" w:color="auto" w:fill="FFFFFF" w:themeFill="background1"/>
          </w:tcPr>
          <w:p w14:paraId="49D04FAF" w14:textId="57578C0C" w:rsidR="008434CD" w:rsidRPr="008434CD" w:rsidRDefault="008434CD" w:rsidP="008434CD">
            <w:pPr>
              <w:ind w:left="0" w:firstLine="0"/>
            </w:pPr>
            <w:r w:rsidRPr="008434CD">
              <w:t>31</w:t>
            </w:r>
          </w:p>
        </w:tc>
        <w:tc>
          <w:tcPr>
            <w:tcW w:w="7274" w:type="dxa"/>
          </w:tcPr>
          <w:p w14:paraId="49D04FB0" w14:textId="0B4B004F" w:rsidR="008434CD" w:rsidRPr="00086700" w:rsidRDefault="008434CD" w:rsidP="008434CD">
            <w:pPr>
              <w:ind w:left="0" w:firstLine="0"/>
            </w:pPr>
            <w:r w:rsidRPr="00086700">
              <w:t>All other assets not included in the above categories</w:t>
            </w:r>
            <w:r>
              <w:t>.</w:t>
            </w:r>
          </w:p>
        </w:tc>
      </w:tr>
      <w:tr w:rsidR="008434CD" w:rsidRPr="00C96F04" w14:paraId="49D04FB4" w14:textId="77777777" w:rsidTr="008434CD">
        <w:trPr>
          <w:trHeight w:val="374"/>
        </w:trPr>
        <w:tc>
          <w:tcPr>
            <w:tcW w:w="959" w:type="dxa"/>
            <w:shd w:val="clear" w:color="auto" w:fill="FFFFFF" w:themeFill="background1"/>
          </w:tcPr>
          <w:p w14:paraId="49D04FB2" w14:textId="5E3AA7FA" w:rsidR="008434CD" w:rsidRPr="008434CD" w:rsidRDefault="008434CD" w:rsidP="008434CD">
            <w:pPr>
              <w:ind w:left="0" w:firstLine="0"/>
            </w:pPr>
            <w:r w:rsidRPr="008434CD">
              <w:t>32</w:t>
            </w:r>
          </w:p>
        </w:tc>
        <w:tc>
          <w:tcPr>
            <w:tcW w:w="7274" w:type="dxa"/>
          </w:tcPr>
          <w:p w14:paraId="49D04FB3" w14:textId="58916E20" w:rsidR="008434CD" w:rsidRPr="00086700" w:rsidRDefault="008434CD" w:rsidP="008434CD">
            <w:pPr>
              <w:ind w:left="0" w:firstLine="0"/>
            </w:pPr>
            <w:r w:rsidRPr="00086700">
              <w:t>Off-balance sheet items.</w:t>
            </w:r>
          </w:p>
        </w:tc>
      </w:tr>
      <w:tr w:rsidR="008434CD" w:rsidRPr="00C96F04" w14:paraId="49D04FB7" w14:textId="77777777" w:rsidTr="0034612C">
        <w:trPr>
          <w:trHeight w:val="374"/>
        </w:trPr>
        <w:tc>
          <w:tcPr>
            <w:tcW w:w="959" w:type="dxa"/>
          </w:tcPr>
          <w:p w14:paraId="49D04FB5" w14:textId="77CD0AF3" w:rsidR="008434CD" w:rsidRPr="008434CD" w:rsidRDefault="008434CD" w:rsidP="008434CD">
            <w:pPr>
              <w:ind w:left="0" w:firstLine="0"/>
            </w:pPr>
            <w:r w:rsidRPr="008434CD">
              <w:t>33</w:t>
            </w:r>
          </w:p>
        </w:tc>
        <w:tc>
          <w:tcPr>
            <w:tcW w:w="7274" w:type="dxa"/>
          </w:tcPr>
          <w:p w14:paraId="49D04FB6" w14:textId="797E27E2" w:rsidR="008434CD" w:rsidRPr="000F052D" w:rsidRDefault="008434CD" w:rsidP="008434CD">
            <w:pPr>
              <w:ind w:left="0" w:firstLine="0"/>
            </w:pPr>
            <w:r w:rsidRPr="00086700">
              <w:t>Total Required Stable Funding (RSF) is the sum of all weighted value in rows 15, 16, 17, 25, 26 and 32.</w:t>
            </w:r>
          </w:p>
        </w:tc>
      </w:tr>
      <w:tr w:rsidR="008434CD" w:rsidRPr="00C96F04" w14:paraId="49D04FBA" w14:textId="77777777" w:rsidTr="0034612C">
        <w:trPr>
          <w:trHeight w:val="374"/>
        </w:trPr>
        <w:tc>
          <w:tcPr>
            <w:tcW w:w="959" w:type="dxa"/>
          </w:tcPr>
          <w:p w14:paraId="49D04FB8" w14:textId="2DD257C7" w:rsidR="008434CD" w:rsidRPr="008434CD" w:rsidRDefault="008434CD" w:rsidP="008434CD">
            <w:pPr>
              <w:ind w:left="0" w:firstLine="0"/>
            </w:pPr>
            <w:r w:rsidRPr="008434CD">
              <w:t>34</w:t>
            </w:r>
          </w:p>
        </w:tc>
        <w:tc>
          <w:tcPr>
            <w:tcW w:w="7274" w:type="dxa"/>
          </w:tcPr>
          <w:p w14:paraId="49D04FB9" w14:textId="2633D72B" w:rsidR="008434CD" w:rsidRPr="00086700" w:rsidRDefault="008434CD" w:rsidP="008434CD">
            <w:pPr>
              <w:ind w:left="0" w:firstLine="0"/>
            </w:pPr>
            <w:r w:rsidRPr="00086700">
              <w:t>Net stable funding ratio (%).</w:t>
            </w:r>
          </w:p>
        </w:tc>
      </w:tr>
    </w:tbl>
    <w:p w14:paraId="49D04FBB" w14:textId="77777777" w:rsidR="006E15F4" w:rsidRPr="00953F7D" w:rsidRDefault="006E15F4" w:rsidP="006E15F4">
      <w:pPr>
        <w:spacing w:before="240"/>
      </w:pPr>
    </w:p>
    <w:p w14:paraId="49D04FBC" w14:textId="77777777" w:rsidR="006E15F4" w:rsidRPr="00953F7D" w:rsidRDefault="006E15F4" w:rsidP="006E15F4"/>
    <w:p w14:paraId="49D04FBD" w14:textId="77777777" w:rsidR="006E15F4" w:rsidRPr="00953F7D" w:rsidRDefault="006E15F4" w:rsidP="006E15F4">
      <w:pPr>
        <w:sectPr w:rsidR="006E15F4" w:rsidRPr="00953F7D" w:rsidSect="008D3C2B">
          <w:footerReference w:type="default" r:id="rId28"/>
          <w:footerReference w:type="first" r:id="rId29"/>
          <w:pgSz w:w="11906" w:h="16838"/>
          <w:pgMar w:top="1440" w:right="1797" w:bottom="1440" w:left="1797" w:header="709" w:footer="709" w:gutter="0"/>
          <w:cols w:space="708"/>
          <w:titlePg/>
          <w:docGrid w:linePitch="360"/>
        </w:sectPr>
      </w:pPr>
    </w:p>
    <w:p w14:paraId="49D04FBE" w14:textId="77777777" w:rsidR="00742F5F" w:rsidRPr="00953F7D" w:rsidRDefault="00742F5F" w:rsidP="00742F5F">
      <w:pPr>
        <w:pStyle w:val="Heading3"/>
        <w:spacing w:before="120" w:after="360"/>
        <w:jc w:val="both"/>
        <w:rPr>
          <w:b/>
          <w:sz w:val="32"/>
          <w:szCs w:val="32"/>
        </w:rPr>
      </w:pPr>
      <w:bookmarkStart w:id="198" w:name="_Toc387407371"/>
      <w:bookmarkStart w:id="199" w:name="_Toc391024788"/>
      <w:bookmarkStart w:id="200" w:name="_Toc506286048"/>
      <w:r w:rsidRPr="00953F7D">
        <w:rPr>
          <w:b/>
          <w:sz w:val="32"/>
          <w:szCs w:val="32"/>
        </w:rPr>
        <w:t xml:space="preserve">Attachment </w:t>
      </w:r>
      <w:r w:rsidR="008048A9" w:rsidRPr="00953F7D">
        <w:rPr>
          <w:b/>
          <w:sz w:val="32"/>
          <w:szCs w:val="32"/>
        </w:rPr>
        <w:t>G</w:t>
      </w:r>
      <w:bookmarkEnd w:id="198"/>
      <w:bookmarkEnd w:id="199"/>
      <w:bookmarkEnd w:id="200"/>
      <w:r w:rsidRPr="00953F7D">
        <w:rPr>
          <w:b/>
          <w:sz w:val="32"/>
          <w:szCs w:val="32"/>
        </w:rPr>
        <w:t xml:space="preserve"> </w:t>
      </w:r>
    </w:p>
    <w:p w14:paraId="49D04FBF" w14:textId="77777777" w:rsidR="00742F5F" w:rsidRPr="00953F7D" w:rsidRDefault="00742F5F" w:rsidP="00742F5F">
      <w:pPr>
        <w:pStyle w:val="Heading3"/>
        <w:spacing w:before="120" w:after="360"/>
        <w:jc w:val="both"/>
        <w:rPr>
          <w:b/>
          <w:sz w:val="32"/>
          <w:szCs w:val="32"/>
        </w:rPr>
      </w:pPr>
      <w:bookmarkStart w:id="201" w:name="_Toc351111225"/>
      <w:bookmarkStart w:id="202" w:name="_Toc351111652"/>
      <w:bookmarkStart w:id="203" w:name="_Toc352665706"/>
      <w:bookmarkStart w:id="204" w:name="_Toc358286591"/>
      <w:bookmarkStart w:id="205" w:name="_Toc360011881"/>
      <w:bookmarkStart w:id="206" w:name="_Toc395701864"/>
      <w:bookmarkStart w:id="207" w:name="_Toc506286049"/>
      <w:r w:rsidRPr="00953F7D">
        <w:rPr>
          <w:b/>
          <w:sz w:val="32"/>
          <w:szCs w:val="32"/>
        </w:rPr>
        <w:t>Remuneration</w:t>
      </w:r>
      <w:bookmarkEnd w:id="201"/>
      <w:bookmarkEnd w:id="202"/>
      <w:bookmarkEnd w:id="203"/>
      <w:bookmarkEnd w:id="204"/>
      <w:bookmarkEnd w:id="205"/>
      <w:bookmarkEnd w:id="206"/>
      <w:bookmarkEnd w:id="207"/>
    </w:p>
    <w:p w14:paraId="49D04FC0" w14:textId="335F6F7D" w:rsidR="00742F5F" w:rsidRPr="00953F7D" w:rsidRDefault="00742F5F" w:rsidP="00E9482F">
      <w:pPr>
        <w:pStyle w:val="BodyText"/>
        <w:numPr>
          <w:ilvl w:val="0"/>
          <w:numId w:val="35"/>
        </w:numPr>
      </w:pPr>
      <w:r w:rsidRPr="00953F7D">
        <w:t xml:space="preserve">An ADI must disclose the items in Tables </w:t>
      </w:r>
      <w:r w:rsidR="00390857">
        <w:t>22</w:t>
      </w:r>
      <w:r w:rsidRPr="00953F7D">
        <w:t xml:space="preserve"> and </w:t>
      </w:r>
      <w:r w:rsidR="00390857">
        <w:t>22</w:t>
      </w:r>
      <w:r w:rsidRPr="00953F7D">
        <w:t>A, to the extent applicable.</w:t>
      </w:r>
    </w:p>
    <w:p w14:paraId="49D04FC1" w14:textId="6F44EADE" w:rsidR="00742F5F" w:rsidRPr="00953F7D" w:rsidRDefault="00742F5F" w:rsidP="00E9482F">
      <w:pPr>
        <w:pStyle w:val="BodyText"/>
      </w:pPr>
      <w:r w:rsidRPr="00953F7D">
        <w:t xml:space="preserve">The qualitative disclosures in Table </w:t>
      </w:r>
      <w:r w:rsidR="00390857">
        <w:t>22</w:t>
      </w:r>
      <w:r w:rsidRPr="00953F7D">
        <w:t xml:space="preserve"> must be completed by reference to an ADI’s Remuneration Policy and any Board Remuneration Committee established under CPS 510.</w:t>
      </w:r>
    </w:p>
    <w:p w14:paraId="49D04FC2" w14:textId="42F5B20E" w:rsidR="00742F5F" w:rsidRPr="00953F7D" w:rsidRDefault="00742F5F" w:rsidP="00E9482F">
      <w:pPr>
        <w:pStyle w:val="BodyText"/>
      </w:pPr>
      <w:r w:rsidRPr="00953F7D">
        <w:t xml:space="preserve">The quantitative disclosures in Tables </w:t>
      </w:r>
      <w:r w:rsidR="00390857">
        <w:t>22</w:t>
      </w:r>
      <w:r w:rsidRPr="00953F7D">
        <w:t xml:space="preserve"> and </w:t>
      </w:r>
      <w:r w:rsidR="00390857">
        <w:t>22</w:t>
      </w:r>
      <w:r w:rsidRPr="00953F7D">
        <w:t xml:space="preserve">A must be completed separately for senior managers and material risk-takers as defined in paragraph </w:t>
      </w:r>
      <w:r w:rsidRPr="00953F7D">
        <w:fldChar w:fldCharType="begin"/>
      </w:r>
      <w:r w:rsidRPr="00953F7D">
        <w:instrText xml:space="preserve"> REF _Ref352244684 \r \h  \* MERGEFORMAT </w:instrText>
      </w:r>
      <w:r w:rsidRPr="00953F7D">
        <w:fldChar w:fldCharType="separate"/>
      </w:r>
      <w:r w:rsidR="00FA3871">
        <w:t>22</w:t>
      </w:r>
      <w:r w:rsidRPr="00953F7D">
        <w:fldChar w:fldCharType="end"/>
      </w:r>
      <w:r w:rsidRPr="00953F7D">
        <w:t xml:space="preserve"> of this Prudential Standard.</w:t>
      </w:r>
    </w:p>
    <w:p w14:paraId="49D04FC3" w14:textId="38299BD2" w:rsidR="00742F5F" w:rsidRPr="00953F7D" w:rsidRDefault="00742F5F" w:rsidP="00830D13">
      <w:pPr>
        <w:autoSpaceDE w:val="0"/>
        <w:autoSpaceDN w:val="0"/>
        <w:adjustRightInd w:val="0"/>
        <w:ind w:firstLine="0"/>
        <w:jc w:val="both"/>
        <w:rPr>
          <w:rFonts w:cs="Arial"/>
          <w:bCs/>
        </w:rPr>
      </w:pPr>
      <w:r w:rsidRPr="00953F7D">
        <w:rPr>
          <w:rFonts w:cs="Arial"/>
          <w:bCs/>
        </w:rPr>
        <w:t xml:space="preserve">Table </w:t>
      </w:r>
      <w:r w:rsidR="00390857">
        <w:rPr>
          <w:rFonts w:cs="Arial"/>
          <w:bCs/>
        </w:rPr>
        <w:t>22</w:t>
      </w:r>
      <w:r w:rsidRPr="00953F7D">
        <w:rPr>
          <w:rFonts w:cs="Arial"/>
          <w:bCs/>
        </w:rPr>
        <w:t>: Remuneration disclosure requirements</w:t>
      </w:r>
    </w:p>
    <w:p w14:paraId="49D04FC4" w14:textId="77777777" w:rsidR="00742F5F" w:rsidRPr="00953F7D" w:rsidRDefault="00742F5F" w:rsidP="00742F5F">
      <w:pPr>
        <w:autoSpaceDE w:val="0"/>
        <w:autoSpaceDN w:val="0"/>
        <w:adjustRightInd w:val="0"/>
        <w:jc w:val="both"/>
        <w:rPr>
          <w:bCs/>
          <w:i/>
        </w:rPr>
      </w:pPr>
    </w:p>
    <w:tbl>
      <w:tblPr>
        <w:tblW w:w="84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96"/>
        <w:gridCol w:w="7924"/>
      </w:tblGrid>
      <w:tr w:rsidR="00742F5F" w:rsidRPr="00953F7D" w14:paraId="49D04FC6" w14:textId="77777777" w:rsidTr="009C3F64">
        <w:trPr>
          <w:trHeight w:val="539"/>
          <w:jc w:val="center"/>
        </w:trPr>
        <w:tc>
          <w:tcPr>
            <w:tcW w:w="8420" w:type="dxa"/>
            <w:gridSpan w:val="2"/>
          </w:tcPr>
          <w:p w14:paraId="49D04FC5" w14:textId="77777777" w:rsidR="00742F5F" w:rsidRPr="00953F7D" w:rsidRDefault="00742F5F" w:rsidP="009164E6">
            <w:pPr>
              <w:keepNext/>
              <w:spacing w:before="60"/>
              <w:jc w:val="both"/>
              <w:rPr>
                <w:b/>
                <w:color w:val="000000"/>
              </w:rPr>
            </w:pPr>
            <w:r w:rsidRPr="00953F7D">
              <w:rPr>
                <w:b/>
                <w:bCs/>
                <w:color w:val="000000"/>
              </w:rPr>
              <w:t>Qualitative disclosures</w:t>
            </w:r>
          </w:p>
        </w:tc>
      </w:tr>
      <w:tr w:rsidR="00742F5F" w:rsidRPr="00953F7D" w14:paraId="49D04FCD" w14:textId="77777777" w:rsidTr="004E7639">
        <w:trPr>
          <w:trHeight w:val="539"/>
          <w:jc w:val="center"/>
        </w:trPr>
        <w:tc>
          <w:tcPr>
            <w:tcW w:w="496" w:type="dxa"/>
          </w:tcPr>
          <w:p w14:paraId="49D04FC7" w14:textId="77777777" w:rsidR="00742F5F" w:rsidRPr="00953F7D" w:rsidRDefault="00742F5F" w:rsidP="009164E6">
            <w:pPr>
              <w:keepNext/>
              <w:spacing w:before="60"/>
              <w:jc w:val="both"/>
              <w:rPr>
                <w:color w:val="000000"/>
              </w:rPr>
            </w:pPr>
            <w:r w:rsidRPr="00953F7D">
              <w:rPr>
                <w:color w:val="000000"/>
              </w:rPr>
              <w:t xml:space="preserve">(a) </w:t>
            </w:r>
          </w:p>
        </w:tc>
        <w:tc>
          <w:tcPr>
            <w:tcW w:w="7924" w:type="dxa"/>
          </w:tcPr>
          <w:p w14:paraId="49D04FC8" w14:textId="77777777" w:rsidR="00742F5F" w:rsidRPr="00953F7D" w:rsidRDefault="00742F5F" w:rsidP="00687CED">
            <w:pPr>
              <w:keepNext/>
              <w:spacing w:before="60"/>
              <w:ind w:left="0" w:firstLine="0"/>
              <w:jc w:val="both"/>
              <w:rPr>
                <w:color w:val="000000"/>
              </w:rPr>
            </w:pPr>
            <w:r w:rsidRPr="00953F7D">
              <w:rPr>
                <w:color w:val="000000"/>
              </w:rPr>
              <w:t>Information relating to the bodies that oversee remuneration. Disclosures must include:</w:t>
            </w:r>
          </w:p>
          <w:p w14:paraId="49D04FC9"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t xml:space="preserve">the name, composition </w:t>
            </w:r>
            <w:r w:rsidRPr="00953F7D">
              <w:rPr>
                <w:color w:val="000000"/>
              </w:rPr>
              <w:t>and mandate of the main body overseeing remuneration;</w:t>
            </w:r>
          </w:p>
          <w:p w14:paraId="49D04FCA"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the name of external consultants whose advice has been sought, the body by which they were commissioned, and in what areas of the remuneration process;</w:t>
            </w:r>
          </w:p>
          <w:p w14:paraId="49D04FCB"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a description of the scope of the ADI’s Remuneration Policy (e.g. by regions, business lines), including the extent to which it is applicable to foreign subsidiaries and branches; and</w:t>
            </w:r>
          </w:p>
          <w:p w14:paraId="49D04FCC" w14:textId="3AEDF8DA" w:rsidR="00742F5F" w:rsidRPr="00953F7D" w:rsidRDefault="00742F5F" w:rsidP="00FA3871">
            <w:pPr>
              <w:numPr>
                <w:ilvl w:val="0"/>
                <w:numId w:val="25"/>
              </w:numPr>
              <w:autoSpaceDE w:val="0"/>
              <w:autoSpaceDN w:val="0"/>
              <w:adjustRightInd w:val="0"/>
              <w:ind w:left="621" w:hanging="621"/>
              <w:jc w:val="both"/>
            </w:pPr>
            <w:r w:rsidRPr="00953F7D">
              <w:rPr>
                <w:color w:val="000000"/>
              </w:rPr>
              <w:t>a description of the types of persons</w:t>
            </w:r>
            <w:r w:rsidRPr="00953F7D">
              <w:t xml:space="preserve"> considered as material risk takers and as senior managers as defined in paragraph </w:t>
            </w:r>
            <w:r w:rsidRPr="00953F7D">
              <w:fldChar w:fldCharType="begin"/>
            </w:r>
            <w:r w:rsidRPr="00953F7D">
              <w:instrText xml:space="preserve"> REF _Ref352244684 \r \h  \* MERGEFORMAT </w:instrText>
            </w:r>
            <w:r w:rsidRPr="00953F7D">
              <w:fldChar w:fldCharType="separate"/>
            </w:r>
            <w:r w:rsidR="00FA3871">
              <w:t>22</w:t>
            </w:r>
            <w:r w:rsidRPr="00953F7D">
              <w:fldChar w:fldCharType="end"/>
            </w:r>
            <w:r w:rsidRPr="00953F7D">
              <w:t xml:space="preserve"> of this Prudential Standard, including the number of persons in each group.</w:t>
            </w:r>
          </w:p>
        </w:tc>
      </w:tr>
      <w:tr w:rsidR="00742F5F" w:rsidRPr="00953F7D" w14:paraId="49D04FD3" w14:textId="77777777" w:rsidTr="009C3F64">
        <w:trPr>
          <w:trHeight w:val="200"/>
          <w:jc w:val="center"/>
        </w:trPr>
        <w:tc>
          <w:tcPr>
            <w:tcW w:w="496" w:type="dxa"/>
          </w:tcPr>
          <w:p w14:paraId="49D04FCE" w14:textId="77777777" w:rsidR="00742F5F" w:rsidRPr="00953F7D" w:rsidRDefault="00742F5F" w:rsidP="009164E6">
            <w:pPr>
              <w:widowControl w:val="0"/>
              <w:spacing w:before="60"/>
              <w:jc w:val="both"/>
              <w:rPr>
                <w:color w:val="000000"/>
              </w:rPr>
            </w:pPr>
            <w:r w:rsidRPr="00953F7D">
              <w:rPr>
                <w:color w:val="000000"/>
              </w:rPr>
              <w:t>(b)</w:t>
            </w:r>
          </w:p>
        </w:tc>
        <w:tc>
          <w:tcPr>
            <w:tcW w:w="7924" w:type="dxa"/>
          </w:tcPr>
          <w:p w14:paraId="49D04FCF" w14:textId="77777777" w:rsidR="00742F5F" w:rsidRPr="00953F7D" w:rsidRDefault="00742F5F" w:rsidP="00687CED">
            <w:pPr>
              <w:keepNext/>
              <w:spacing w:before="60"/>
              <w:ind w:left="0" w:firstLine="0"/>
              <w:jc w:val="both"/>
              <w:rPr>
                <w:color w:val="000000"/>
              </w:rPr>
            </w:pPr>
            <w:r w:rsidRPr="00953F7D">
              <w:rPr>
                <w:color w:val="000000"/>
              </w:rPr>
              <w:t>Information relating to the design and structure of remuneration processes. Disclosures must include:</w:t>
            </w:r>
          </w:p>
          <w:p w14:paraId="49D04FD0"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an overview of the key features and objectives of remuneration policy;</w:t>
            </w:r>
          </w:p>
          <w:p w14:paraId="49D04FD1"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whether the Remuneration Committee reviewed the ADI’s Remuneration Policy during the past year, and if so, an overview of any changes that were made; and</w:t>
            </w:r>
          </w:p>
          <w:p w14:paraId="49D04FD2" w14:textId="77777777" w:rsidR="00742F5F" w:rsidRPr="00953F7D" w:rsidRDefault="00742F5F" w:rsidP="00E9482F">
            <w:pPr>
              <w:numPr>
                <w:ilvl w:val="0"/>
                <w:numId w:val="25"/>
              </w:numPr>
              <w:autoSpaceDE w:val="0"/>
              <w:autoSpaceDN w:val="0"/>
              <w:adjustRightInd w:val="0"/>
              <w:ind w:left="621" w:hanging="621"/>
              <w:jc w:val="both"/>
              <w:rPr>
                <w:rFonts w:ascii="Arial" w:hAnsi="Arial" w:cs="Arial"/>
                <w:bCs/>
                <w:color w:val="000000"/>
                <w:szCs w:val="26"/>
              </w:rPr>
            </w:pPr>
            <w:r w:rsidRPr="00953F7D">
              <w:rPr>
                <w:color w:val="000000"/>
              </w:rPr>
              <w:t>a discussion of how the ADI ensures that risk and financial control personnel (as defined in CPS 510) are remunerated independently of the businesses they oversee.</w:t>
            </w:r>
          </w:p>
        </w:tc>
      </w:tr>
      <w:tr w:rsidR="00742F5F" w:rsidRPr="00953F7D" w14:paraId="49D04FDA" w14:textId="77777777" w:rsidTr="009C3F64">
        <w:trPr>
          <w:trHeight w:val="200"/>
          <w:jc w:val="center"/>
        </w:trPr>
        <w:tc>
          <w:tcPr>
            <w:tcW w:w="496" w:type="dxa"/>
          </w:tcPr>
          <w:p w14:paraId="49D04FD4" w14:textId="77777777" w:rsidR="00742F5F" w:rsidRPr="00953F7D" w:rsidRDefault="00742F5F" w:rsidP="009164E6">
            <w:pPr>
              <w:widowControl w:val="0"/>
              <w:spacing w:before="60"/>
              <w:jc w:val="both"/>
              <w:rPr>
                <w:color w:val="000000"/>
              </w:rPr>
            </w:pPr>
            <w:r w:rsidRPr="00953F7D">
              <w:rPr>
                <w:color w:val="000000"/>
              </w:rPr>
              <w:t xml:space="preserve">(c) </w:t>
            </w:r>
          </w:p>
        </w:tc>
        <w:tc>
          <w:tcPr>
            <w:tcW w:w="7924" w:type="dxa"/>
          </w:tcPr>
          <w:p w14:paraId="49D04FD5" w14:textId="77777777" w:rsidR="00742F5F" w:rsidRPr="00953F7D" w:rsidRDefault="00742F5F" w:rsidP="00687CED">
            <w:pPr>
              <w:keepNext/>
              <w:spacing w:before="60"/>
              <w:ind w:left="0" w:firstLine="0"/>
              <w:jc w:val="both"/>
              <w:rPr>
                <w:color w:val="000000"/>
              </w:rPr>
            </w:pPr>
            <w:r w:rsidRPr="00953F7D">
              <w:rPr>
                <w:color w:val="000000"/>
              </w:rPr>
              <w:t>Description of the ways in which current and future risks are taken into account in the remuneration processes. Disclosures must include:</w:t>
            </w:r>
          </w:p>
          <w:p w14:paraId="49D04FD6" w14:textId="77777777" w:rsidR="00742F5F" w:rsidRPr="00953F7D" w:rsidRDefault="00742F5F" w:rsidP="00E9482F">
            <w:pPr>
              <w:numPr>
                <w:ilvl w:val="0"/>
                <w:numId w:val="25"/>
              </w:numPr>
              <w:autoSpaceDE w:val="0"/>
              <w:autoSpaceDN w:val="0"/>
              <w:adjustRightInd w:val="0"/>
              <w:ind w:left="688" w:hanging="688"/>
              <w:jc w:val="both"/>
              <w:rPr>
                <w:color w:val="000000"/>
              </w:rPr>
            </w:pPr>
            <w:r w:rsidRPr="00953F7D">
              <w:rPr>
                <w:color w:val="000000"/>
              </w:rPr>
              <w:t>an overview of the key risks that the ADI takes into account when implementing remuneration measures;</w:t>
            </w:r>
          </w:p>
          <w:p w14:paraId="49D04FD7" w14:textId="77777777" w:rsidR="00742F5F" w:rsidRPr="00953F7D" w:rsidRDefault="00742F5F" w:rsidP="00E9482F">
            <w:pPr>
              <w:numPr>
                <w:ilvl w:val="0"/>
                <w:numId w:val="25"/>
              </w:numPr>
              <w:autoSpaceDE w:val="0"/>
              <w:autoSpaceDN w:val="0"/>
              <w:adjustRightInd w:val="0"/>
              <w:ind w:left="688" w:hanging="688"/>
              <w:jc w:val="both"/>
              <w:rPr>
                <w:color w:val="000000"/>
              </w:rPr>
            </w:pPr>
            <w:r w:rsidRPr="00953F7D">
              <w:rPr>
                <w:color w:val="000000"/>
              </w:rPr>
              <w:t>an overview of the nature and type of the key measures used to take account of these risks, including risks difficult to measure (values need not be disclosed);</w:t>
            </w:r>
          </w:p>
          <w:p w14:paraId="49D04FD8" w14:textId="77777777" w:rsidR="00742F5F" w:rsidRPr="00953F7D" w:rsidRDefault="00742F5F" w:rsidP="00E9482F">
            <w:pPr>
              <w:numPr>
                <w:ilvl w:val="0"/>
                <w:numId w:val="25"/>
              </w:numPr>
              <w:autoSpaceDE w:val="0"/>
              <w:autoSpaceDN w:val="0"/>
              <w:adjustRightInd w:val="0"/>
              <w:ind w:left="688" w:hanging="688"/>
              <w:jc w:val="both"/>
              <w:rPr>
                <w:color w:val="000000"/>
              </w:rPr>
            </w:pPr>
            <w:r w:rsidRPr="00953F7D">
              <w:rPr>
                <w:color w:val="000000"/>
              </w:rPr>
              <w:t>a discussion of the ways in which these measures affect remuneration; and</w:t>
            </w:r>
          </w:p>
          <w:p w14:paraId="49D04FD9" w14:textId="77777777" w:rsidR="00742F5F" w:rsidRPr="00953F7D" w:rsidRDefault="00742F5F" w:rsidP="00E9482F">
            <w:pPr>
              <w:numPr>
                <w:ilvl w:val="0"/>
                <w:numId w:val="25"/>
              </w:numPr>
              <w:autoSpaceDE w:val="0"/>
              <w:autoSpaceDN w:val="0"/>
              <w:adjustRightInd w:val="0"/>
              <w:ind w:left="688" w:hanging="688"/>
              <w:jc w:val="both"/>
              <w:rPr>
                <w:color w:val="000000"/>
              </w:rPr>
            </w:pPr>
            <w:r w:rsidRPr="00953F7D">
              <w:rPr>
                <w:color w:val="000000"/>
              </w:rPr>
              <w:t>a discussion of how the nature and type of these measures has changed over the past year and reasons for the change, as well as the impact of changes on remuneration.</w:t>
            </w:r>
          </w:p>
        </w:tc>
      </w:tr>
      <w:tr w:rsidR="00742F5F" w:rsidRPr="00953F7D" w14:paraId="49D04FE0" w14:textId="77777777" w:rsidTr="009C3F64">
        <w:trPr>
          <w:trHeight w:val="70"/>
          <w:jc w:val="center"/>
        </w:trPr>
        <w:tc>
          <w:tcPr>
            <w:tcW w:w="496" w:type="dxa"/>
          </w:tcPr>
          <w:p w14:paraId="49D04FDB" w14:textId="77777777" w:rsidR="00742F5F" w:rsidRPr="00953F7D" w:rsidRDefault="00742F5F" w:rsidP="009164E6">
            <w:pPr>
              <w:widowControl w:val="0"/>
              <w:spacing w:before="60"/>
              <w:jc w:val="both"/>
              <w:rPr>
                <w:color w:val="000000"/>
              </w:rPr>
            </w:pPr>
            <w:r w:rsidRPr="00953F7D">
              <w:rPr>
                <w:color w:val="000000"/>
              </w:rPr>
              <w:t xml:space="preserve">(d) </w:t>
            </w:r>
          </w:p>
        </w:tc>
        <w:tc>
          <w:tcPr>
            <w:tcW w:w="7924" w:type="dxa"/>
          </w:tcPr>
          <w:p w14:paraId="49D04FDC" w14:textId="77777777" w:rsidR="00742F5F" w:rsidRPr="00953F7D" w:rsidRDefault="00742F5F" w:rsidP="00687CED">
            <w:pPr>
              <w:keepNext/>
              <w:spacing w:before="60"/>
              <w:ind w:left="0" w:firstLine="0"/>
              <w:jc w:val="both"/>
              <w:rPr>
                <w:color w:val="000000"/>
              </w:rPr>
            </w:pPr>
            <w:r w:rsidRPr="00953F7D">
              <w:rPr>
                <w:color w:val="000000"/>
              </w:rPr>
              <w:t>Description of the ways in which the ADI seeks to link performance during a performance measurement period with levels of remuneration. Disclosures must include:</w:t>
            </w:r>
          </w:p>
          <w:p w14:paraId="49D04FDD"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an overview of the main performance metrics for the ADI, top-level business lines and individuals;</w:t>
            </w:r>
          </w:p>
          <w:p w14:paraId="49D04FDE"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a discussion of how amounts of individual remuneration are linked to institution-wide and individual performance; and</w:t>
            </w:r>
          </w:p>
          <w:p w14:paraId="49D04FDF"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a discussion of the measures the ADI will in general implement to adjust remuneration in the event that performance metrics are weak.</w:t>
            </w:r>
          </w:p>
        </w:tc>
      </w:tr>
      <w:tr w:rsidR="00742F5F" w:rsidRPr="00953F7D" w14:paraId="49D04FE5" w14:textId="77777777" w:rsidTr="009C3F64">
        <w:trPr>
          <w:trHeight w:val="70"/>
          <w:jc w:val="center"/>
        </w:trPr>
        <w:tc>
          <w:tcPr>
            <w:tcW w:w="496" w:type="dxa"/>
          </w:tcPr>
          <w:p w14:paraId="49D04FE1" w14:textId="77777777" w:rsidR="00742F5F" w:rsidRPr="00953F7D" w:rsidRDefault="00742F5F" w:rsidP="009164E6">
            <w:pPr>
              <w:widowControl w:val="0"/>
              <w:spacing w:before="60"/>
              <w:jc w:val="both"/>
              <w:rPr>
                <w:color w:val="000000"/>
              </w:rPr>
            </w:pPr>
            <w:r w:rsidRPr="00953F7D">
              <w:rPr>
                <w:color w:val="000000"/>
              </w:rPr>
              <w:t>(e)</w:t>
            </w:r>
          </w:p>
        </w:tc>
        <w:tc>
          <w:tcPr>
            <w:tcW w:w="7924" w:type="dxa"/>
          </w:tcPr>
          <w:p w14:paraId="49D04FE2" w14:textId="77777777" w:rsidR="00742F5F" w:rsidRPr="00953F7D" w:rsidRDefault="00742F5F" w:rsidP="00687CED">
            <w:pPr>
              <w:keepNext/>
              <w:spacing w:before="60"/>
              <w:ind w:left="0" w:firstLine="0"/>
              <w:jc w:val="both"/>
              <w:rPr>
                <w:color w:val="000000"/>
              </w:rPr>
            </w:pPr>
            <w:r w:rsidRPr="00953F7D">
              <w:rPr>
                <w:color w:val="000000"/>
              </w:rPr>
              <w:t>Description of the ways in which the ADI seeks to adjust remuneration to take account of longer-term performance. Disclosures must include:</w:t>
            </w:r>
          </w:p>
          <w:p w14:paraId="49D04FE3"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a discussion of the ADI’s policy on deferral and vesting of variable remuneration and, if the fraction of variable remuneration that is deferred differs across persons or groups of persons, a description of the factors that determine the fraction and their relative importance; and</w:t>
            </w:r>
          </w:p>
          <w:p w14:paraId="49D04FE4"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a discussion of the ADI’s policy and criteria for adjusting deferred remuneration before vesting and after vesting through clawback arrangements.</w:t>
            </w:r>
          </w:p>
        </w:tc>
      </w:tr>
      <w:tr w:rsidR="00742F5F" w:rsidRPr="00953F7D" w14:paraId="49D04FEA" w14:textId="77777777" w:rsidTr="009C3F64">
        <w:trPr>
          <w:trHeight w:val="70"/>
          <w:jc w:val="center"/>
        </w:trPr>
        <w:tc>
          <w:tcPr>
            <w:tcW w:w="496" w:type="dxa"/>
          </w:tcPr>
          <w:p w14:paraId="49D04FE6" w14:textId="77777777" w:rsidR="00742F5F" w:rsidRPr="00953F7D" w:rsidRDefault="00742F5F" w:rsidP="009164E6">
            <w:pPr>
              <w:widowControl w:val="0"/>
              <w:spacing w:before="60"/>
              <w:jc w:val="both"/>
              <w:rPr>
                <w:color w:val="000000"/>
              </w:rPr>
            </w:pPr>
            <w:r w:rsidRPr="00953F7D">
              <w:rPr>
                <w:color w:val="000000"/>
              </w:rPr>
              <w:t xml:space="preserve">(f) </w:t>
            </w:r>
          </w:p>
        </w:tc>
        <w:tc>
          <w:tcPr>
            <w:tcW w:w="7924" w:type="dxa"/>
          </w:tcPr>
          <w:p w14:paraId="49D04FE7" w14:textId="77777777" w:rsidR="00742F5F" w:rsidRPr="00953F7D" w:rsidRDefault="00742F5F" w:rsidP="00687CED">
            <w:pPr>
              <w:keepNext/>
              <w:spacing w:before="60"/>
              <w:ind w:left="0" w:firstLine="0"/>
              <w:jc w:val="both"/>
              <w:rPr>
                <w:color w:val="000000"/>
              </w:rPr>
            </w:pPr>
            <w:r w:rsidRPr="00953F7D">
              <w:rPr>
                <w:color w:val="000000"/>
              </w:rPr>
              <w:t>Description of the different forms of variable remuneration that the ADI utilises and the rationale for using these different forms. Disclosures must include:</w:t>
            </w:r>
          </w:p>
          <w:p w14:paraId="49D04FE8"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an overview of the forms of variable remuneration offered (i.e., cash, shares and share-linked instruments and other forms); and</w:t>
            </w:r>
          </w:p>
          <w:p w14:paraId="49D04FE9" w14:textId="77777777" w:rsidR="00742F5F" w:rsidRPr="00953F7D" w:rsidRDefault="00742F5F" w:rsidP="00E9482F">
            <w:pPr>
              <w:numPr>
                <w:ilvl w:val="0"/>
                <w:numId w:val="25"/>
              </w:numPr>
              <w:autoSpaceDE w:val="0"/>
              <w:autoSpaceDN w:val="0"/>
              <w:adjustRightInd w:val="0"/>
              <w:ind w:left="621" w:hanging="621"/>
              <w:jc w:val="both"/>
              <w:rPr>
                <w:rFonts w:ascii="Arial" w:hAnsi="Arial" w:cs="Arial"/>
                <w:bCs/>
                <w:color w:val="000000"/>
                <w:szCs w:val="26"/>
              </w:rPr>
            </w:pPr>
            <w:r w:rsidRPr="00953F7D">
              <w:rPr>
                <w:color w:val="000000"/>
              </w:rPr>
              <w:t>a discussion of the use of the different forms of variable remuneration and, if the mix of different forms of variable remuneration differs across persons or groups of persons), a description the factors that determine the mix and their relative importance.</w:t>
            </w:r>
          </w:p>
        </w:tc>
      </w:tr>
      <w:tr w:rsidR="00742F5F" w:rsidRPr="00953F7D" w14:paraId="49D04FEC" w14:textId="77777777" w:rsidTr="009C3F64">
        <w:trPr>
          <w:trHeight w:val="70"/>
          <w:jc w:val="center"/>
        </w:trPr>
        <w:tc>
          <w:tcPr>
            <w:tcW w:w="8420" w:type="dxa"/>
            <w:gridSpan w:val="2"/>
          </w:tcPr>
          <w:p w14:paraId="49D04FEB" w14:textId="77777777" w:rsidR="00742F5F" w:rsidRPr="00953F7D" w:rsidRDefault="00742F5F" w:rsidP="009164E6">
            <w:pPr>
              <w:widowControl w:val="0"/>
              <w:spacing w:before="60"/>
              <w:jc w:val="both"/>
              <w:rPr>
                <w:b/>
                <w:color w:val="000000"/>
              </w:rPr>
            </w:pPr>
            <w:r w:rsidRPr="00953F7D">
              <w:rPr>
                <w:b/>
                <w:color w:val="000000"/>
              </w:rPr>
              <w:t>Quantitative disclosures</w:t>
            </w:r>
          </w:p>
        </w:tc>
      </w:tr>
      <w:tr w:rsidR="00742F5F" w:rsidRPr="00953F7D" w14:paraId="49D04FEF" w14:textId="77777777" w:rsidTr="009C3F64">
        <w:trPr>
          <w:trHeight w:val="70"/>
          <w:jc w:val="center"/>
        </w:trPr>
        <w:tc>
          <w:tcPr>
            <w:tcW w:w="496" w:type="dxa"/>
          </w:tcPr>
          <w:p w14:paraId="49D04FED" w14:textId="77777777" w:rsidR="00742F5F" w:rsidRPr="00953F7D" w:rsidRDefault="00742F5F" w:rsidP="009164E6">
            <w:pPr>
              <w:widowControl w:val="0"/>
              <w:spacing w:before="60"/>
              <w:jc w:val="both"/>
              <w:rPr>
                <w:color w:val="000000"/>
              </w:rPr>
            </w:pPr>
            <w:r w:rsidRPr="00953F7D">
              <w:rPr>
                <w:color w:val="000000"/>
              </w:rPr>
              <w:t>(g)</w:t>
            </w:r>
          </w:p>
        </w:tc>
        <w:tc>
          <w:tcPr>
            <w:tcW w:w="7924" w:type="dxa"/>
          </w:tcPr>
          <w:p w14:paraId="49D04FEE"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Number of meetings held by the main body overseeing remuneration during the financial year and the remuneration paid to its members.</w:t>
            </w:r>
          </w:p>
        </w:tc>
      </w:tr>
      <w:tr w:rsidR="00742F5F" w:rsidRPr="00953F7D" w14:paraId="49D04FF5" w14:textId="77777777" w:rsidTr="009C3F64">
        <w:trPr>
          <w:trHeight w:val="70"/>
          <w:jc w:val="center"/>
        </w:trPr>
        <w:tc>
          <w:tcPr>
            <w:tcW w:w="496" w:type="dxa"/>
          </w:tcPr>
          <w:p w14:paraId="49D04FF0" w14:textId="77777777" w:rsidR="00742F5F" w:rsidRPr="00953F7D" w:rsidRDefault="00742F5F" w:rsidP="009164E6">
            <w:pPr>
              <w:widowControl w:val="0"/>
              <w:spacing w:before="60"/>
              <w:jc w:val="both"/>
              <w:rPr>
                <w:color w:val="000000"/>
              </w:rPr>
            </w:pPr>
            <w:r w:rsidRPr="00953F7D">
              <w:rPr>
                <w:color w:val="000000"/>
              </w:rPr>
              <w:t>(h)</w:t>
            </w:r>
          </w:p>
        </w:tc>
        <w:tc>
          <w:tcPr>
            <w:tcW w:w="7924" w:type="dxa"/>
          </w:tcPr>
          <w:p w14:paraId="49D04FF1"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The number of persons having received a variable remuneration award during the financial year.</w:t>
            </w:r>
          </w:p>
          <w:p w14:paraId="49D04FF2"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Number and total amount of guaranteed bonuses awarded during the financial year.</w:t>
            </w:r>
          </w:p>
          <w:p w14:paraId="49D04FF3"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Number and total amount of sign-on awards made during the financial year.</w:t>
            </w:r>
          </w:p>
          <w:p w14:paraId="49D04FF4"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Number and total amount of termination payments made during the financial year.</w:t>
            </w:r>
          </w:p>
        </w:tc>
      </w:tr>
      <w:tr w:rsidR="00742F5F" w:rsidRPr="00953F7D" w14:paraId="49D04FF9" w14:textId="77777777" w:rsidTr="009C3F64">
        <w:trPr>
          <w:trHeight w:val="70"/>
          <w:jc w:val="center"/>
        </w:trPr>
        <w:tc>
          <w:tcPr>
            <w:tcW w:w="496" w:type="dxa"/>
          </w:tcPr>
          <w:p w14:paraId="49D04FF6" w14:textId="77777777" w:rsidR="00742F5F" w:rsidRPr="00953F7D" w:rsidRDefault="00742F5F" w:rsidP="009164E6">
            <w:pPr>
              <w:widowControl w:val="0"/>
              <w:spacing w:before="60"/>
              <w:jc w:val="both"/>
              <w:rPr>
                <w:color w:val="000000"/>
              </w:rPr>
            </w:pPr>
            <w:r w:rsidRPr="00953F7D">
              <w:rPr>
                <w:color w:val="000000"/>
              </w:rPr>
              <w:t>(i)</w:t>
            </w:r>
          </w:p>
        </w:tc>
        <w:tc>
          <w:tcPr>
            <w:tcW w:w="7924" w:type="dxa"/>
          </w:tcPr>
          <w:p w14:paraId="49D04FF7"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Total amount of outstanding deferred remuneration, split into cash, shares and share-linked instruments and other forms.</w:t>
            </w:r>
          </w:p>
          <w:p w14:paraId="49D04FF8"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rPr>
                <w:color w:val="000000"/>
              </w:rPr>
              <w:t>Total amount of deferred remuneration paid out in the financial year.</w:t>
            </w:r>
          </w:p>
        </w:tc>
      </w:tr>
      <w:tr w:rsidR="00742F5F" w:rsidRPr="00953F7D" w14:paraId="49D04FFF" w14:textId="77777777" w:rsidTr="009C3F64">
        <w:trPr>
          <w:cantSplit/>
          <w:trHeight w:val="70"/>
          <w:jc w:val="center"/>
        </w:trPr>
        <w:tc>
          <w:tcPr>
            <w:tcW w:w="496" w:type="dxa"/>
          </w:tcPr>
          <w:p w14:paraId="49D04FFA" w14:textId="77777777" w:rsidR="00742F5F" w:rsidRPr="00953F7D" w:rsidRDefault="00742F5F" w:rsidP="009164E6">
            <w:pPr>
              <w:widowControl w:val="0"/>
              <w:spacing w:before="60"/>
              <w:jc w:val="both"/>
              <w:rPr>
                <w:color w:val="000000"/>
              </w:rPr>
            </w:pPr>
            <w:r w:rsidRPr="00953F7D">
              <w:rPr>
                <w:color w:val="000000"/>
              </w:rPr>
              <w:t>(j)</w:t>
            </w:r>
          </w:p>
        </w:tc>
        <w:tc>
          <w:tcPr>
            <w:tcW w:w="7924" w:type="dxa"/>
          </w:tcPr>
          <w:p w14:paraId="49D04FFB" w14:textId="4A04422D" w:rsidR="00742F5F" w:rsidRPr="00953F7D" w:rsidRDefault="00742F5F" w:rsidP="00E9482F">
            <w:pPr>
              <w:numPr>
                <w:ilvl w:val="0"/>
                <w:numId w:val="25"/>
              </w:numPr>
              <w:autoSpaceDE w:val="0"/>
              <w:autoSpaceDN w:val="0"/>
              <w:adjustRightInd w:val="0"/>
              <w:ind w:left="621" w:hanging="621"/>
              <w:jc w:val="both"/>
            </w:pPr>
            <w:r w:rsidRPr="00953F7D">
              <w:rPr>
                <w:color w:val="000000"/>
              </w:rPr>
              <w:t>Breakdown</w:t>
            </w:r>
            <w:r w:rsidRPr="00953F7D">
              <w:t xml:space="preserve"> of the amount of remuneration awards for the financial year in </w:t>
            </w:r>
            <w:r w:rsidRPr="00953F7D">
              <w:rPr>
                <w:color w:val="000000"/>
              </w:rPr>
              <w:t>accordance</w:t>
            </w:r>
            <w:r w:rsidRPr="00953F7D">
              <w:t xml:space="preserve"> with Table </w:t>
            </w:r>
            <w:r w:rsidR="00240626">
              <w:t>22</w:t>
            </w:r>
            <w:r w:rsidRPr="00953F7D">
              <w:t>A below to show:</w:t>
            </w:r>
          </w:p>
          <w:p w14:paraId="49D04FFC" w14:textId="77777777" w:rsidR="00742F5F" w:rsidRPr="00953F7D" w:rsidRDefault="00742F5F" w:rsidP="00E9482F">
            <w:pPr>
              <w:numPr>
                <w:ilvl w:val="0"/>
                <w:numId w:val="26"/>
              </w:numPr>
              <w:autoSpaceDE w:val="0"/>
              <w:autoSpaceDN w:val="0"/>
              <w:adjustRightInd w:val="0"/>
              <w:ind w:left="1113" w:hanging="425"/>
              <w:jc w:val="both"/>
              <w:rPr>
                <w:color w:val="000000"/>
              </w:rPr>
            </w:pPr>
            <w:r w:rsidRPr="00953F7D">
              <w:rPr>
                <w:color w:val="000000"/>
              </w:rPr>
              <w:t>fixed and variable;</w:t>
            </w:r>
          </w:p>
          <w:p w14:paraId="49D04FFD" w14:textId="77777777" w:rsidR="00742F5F" w:rsidRPr="00953F7D" w:rsidRDefault="00742F5F" w:rsidP="00E9482F">
            <w:pPr>
              <w:numPr>
                <w:ilvl w:val="0"/>
                <w:numId w:val="26"/>
              </w:numPr>
              <w:autoSpaceDE w:val="0"/>
              <w:autoSpaceDN w:val="0"/>
              <w:adjustRightInd w:val="0"/>
              <w:ind w:left="1113" w:hanging="425"/>
              <w:jc w:val="both"/>
              <w:rPr>
                <w:color w:val="000000"/>
              </w:rPr>
            </w:pPr>
            <w:r w:rsidRPr="00953F7D">
              <w:rPr>
                <w:color w:val="000000"/>
              </w:rPr>
              <w:t>deferred and non-deferred; and</w:t>
            </w:r>
          </w:p>
          <w:p w14:paraId="49D04FFE" w14:textId="77777777" w:rsidR="00742F5F" w:rsidRPr="00953F7D" w:rsidRDefault="00742F5F" w:rsidP="00E9482F">
            <w:pPr>
              <w:numPr>
                <w:ilvl w:val="0"/>
                <w:numId w:val="26"/>
              </w:numPr>
              <w:autoSpaceDE w:val="0"/>
              <w:autoSpaceDN w:val="0"/>
              <w:adjustRightInd w:val="0"/>
              <w:ind w:left="1113" w:hanging="425"/>
              <w:jc w:val="both"/>
              <w:rPr>
                <w:color w:val="000000"/>
              </w:rPr>
            </w:pPr>
            <w:r w:rsidRPr="00953F7D">
              <w:rPr>
                <w:color w:val="000000"/>
              </w:rPr>
              <w:t>the different forms used (cash, shares and share-linked instruments and other forms).</w:t>
            </w:r>
          </w:p>
        </w:tc>
      </w:tr>
      <w:tr w:rsidR="00742F5F" w:rsidRPr="00953F7D" w14:paraId="49D05005" w14:textId="77777777" w:rsidTr="009C3F64">
        <w:trPr>
          <w:trHeight w:val="70"/>
          <w:jc w:val="center"/>
        </w:trPr>
        <w:tc>
          <w:tcPr>
            <w:tcW w:w="496" w:type="dxa"/>
          </w:tcPr>
          <w:p w14:paraId="49D05000" w14:textId="77777777" w:rsidR="00742F5F" w:rsidRPr="00953F7D" w:rsidRDefault="00742F5F" w:rsidP="009164E6">
            <w:pPr>
              <w:widowControl w:val="0"/>
              <w:spacing w:before="60"/>
              <w:jc w:val="both"/>
              <w:rPr>
                <w:color w:val="000000"/>
              </w:rPr>
            </w:pPr>
            <w:r w:rsidRPr="00953F7D">
              <w:rPr>
                <w:color w:val="000000"/>
              </w:rPr>
              <w:t>(k)</w:t>
            </w:r>
          </w:p>
        </w:tc>
        <w:tc>
          <w:tcPr>
            <w:tcW w:w="7924" w:type="dxa"/>
          </w:tcPr>
          <w:p w14:paraId="49D05001" w14:textId="77777777" w:rsidR="00742F5F" w:rsidRPr="00953F7D" w:rsidRDefault="00742F5F" w:rsidP="00687CED">
            <w:pPr>
              <w:widowControl w:val="0"/>
              <w:spacing w:before="60"/>
              <w:ind w:left="0" w:firstLine="0"/>
              <w:jc w:val="both"/>
              <w:rPr>
                <w:color w:val="000000"/>
              </w:rPr>
            </w:pPr>
            <w:r w:rsidRPr="00953F7D">
              <w:rPr>
                <w:color w:val="000000"/>
              </w:rPr>
              <w:t>Quantitative information about persons’ exposure to implicit (e.g. fluctuations in the value of shares or performance units) and explicit adjustments (e.g. malus, clawbacks or similar reversals or downward revaluations of awards) of deferred remuneration and retained remuneration:</w:t>
            </w:r>
          </w:p>
          <w:p w14:paraId="49D05002" w14:textId="77777777" w:rsidR="00742F5F" w:rsidRPr="00953F7D" w:rsidRDefault="00742F5F" w:rsidP="00E9482F">
            <w:pPr>
              <w:numPr>
                <w:ilvl w:val="0"/>
                <w:numId w:val="25"/>
              </w:numPr>
              <w:autoSpaceDE w:val="0"/>
              <w:autoSpaceDN w:val="0"/>
              <w:adjustRightInd w:val="0"/>
              <w:ind w:left="621" w:hanging="621"/>
              <w:jc w:val="both"/>
            </w:pPr>
            <w:r w:rsidRPr="00953F7D">
              <w:rPr>
                <w:color w:val="000000"/>
              </w:rPr>
              <w:t xml:space="preserve">Total amount of outstanding deferred remuneration and retained </w:t>
            </w:r>
            <w:r w:rsidRPr="00953F7D">
              <w:t>remuneration exposed to ex post explicit and/or implicit adjustments.</w:t>
            </w:r>
          </w:p>
          <w:p w14:paraId="49D05003" w14:textId="77777777" w:rsidR="00742F5F" w:rsidRPr="00953F7D" w:rsidRDefault="00742F5F" w:rsidP="00E9482F">
            <w:pPr>
              <w:numPr>
                <w:ilvl w:val="0"/>
                <w:numId w:val="25"/>
              </w:numPr>
              <w:autoSpaceDE w:val="0"/>
              <w:autoSpaceDN w:val="0"/>
              <w:adjustRightInd w:val="0"/>
              <w:ind w:left="621" w:hanging="621"/>
              <w:jc w:val="both"/>
            </w:pPr>
            <w:r w:rsidRPr="00953F7D">
              <w:t>Total amount of reductions during the financial year due to ex pos</w:t>
            </w:r>
            <w:r w:rsidR="00A94D27">
              <w:t>t</w:t>
            </w:r>
            <w:r w:rsidRPr="00953F7D">
              <w:t xml:space="preserve"> explicit adjustments.</w:t>
            </w:r>
          </w:p>
          <w:p w14:paraId="49D05004" w14:textId="77777777" w:rsidR="00742F5F" w:rsidRPr="00953F7D" w:rsidRDefault="00742F5F" w:rsidP="00E9482F">
            <w:pPr>
              <w:numPr>
                <w:ilvl w:val="0"/>
                <w:numId w:val="25"/>
              </w:numPr>
              <w:autoSpaceDE w:val="0"/>
              <w:autoSpaceDN w:val="0"/>
              <w:adjustRightInd w:val="0"/>
              <w:ind w:left="621" w:hanging="621"/>
              <w:jc w:val="both"/>
              <w:rPr>
                <w:color w:val="000000"/>
              </w:rPr>
            </w:pPr>
            <w:r w:rsidRPr="00953F7D">
              <w:t>Total amount of reductions</w:t>
            </w:r>
            <w:r w:rsidRPr="00953F7D">
              <w:rPr>
                <w:color w:val="000000"/>
              </w:rPr>
              <w:t xml:space="preserve"> during the financial year due to ex post implicit adjustments.</w:t>
            </w:r>
          </w:p>
        </w:tc>
      </w:tr>
    </w:tbl>
    <w:p w14:paraId="49D05006" w14:textId="77777777" w:rsidR="00742F5F" w:rsidRPr="00953F7D" w:rsidRDefault="00742F5F" w:rsidP="00742F5F">
      <w:pPr>
        <w:autoSpaceDE w:val="0"/>
        <w:autoSpaceDN w:val="0"/>
        <w:adjustRightInd w:val="0"/>
        <w:jc w:val="both"/>
        <w:rPr>
          <w:b/>
          <w:bCs/>
        </w:rPr>
      </w:pPr>
    </w:p>
    <w:p w14:paraId="49D05007" w14:textId="77777777" w:rsidR="00742F5F" w:rsidRPr="00953F7D" w:rsidRDefault="00742F5F" w:rsidP="00742F5F">
      <w:pPr>
        <w:jc w:val="both"/>
      </w:pPr>
    </w:p>
    <w:p w14:paraId="49D05008" w14:textId="2F4B86C1" w:rsidR="00742F5F" w:rsidRPr="00953F7D" w:rsidRDefault="00742F5F" w:rsidP="00DE4EDE">
      <w:pPr>
        <w:ind w:firstLine="0"/>
        <w:jc w:val="both"/>
        <w:rPr>
          <w:color w:val="000000"/>
        </w:rPr>
      </w:pPr>
      <w:r w:rsidRPr="00953F7D">
        <w:t xml:space="preserve">Table </w:t>
      </w:r>
      <w:r w:rsidR="00390857">
        <w:t>22</w:t>
      </w:r>
      <w:r w:rsidRPr="00953F7D">
        <w:t>A: Total value of remuneration awards for senior managers/material risk-takers</w:t>
      </w:r>
    </w:p>
    <w:p w14:paraId="49D05009" w14:textId="77777777" w:rsidR="00742F5F" w:rsidRPr="00953F7D" w:rsidRDefault="00742F5F" w:rsidP="00742F5F">
      <w:pPr>
        <w:jc w:val="both"/>
        <w:rPr>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6"/>
        <w:gridCol w:w="2097"/>
        <w:gridCol w:w="2081"/>
      </w:tblGrid>
      <w:tr w:rsidR="00742F5F" w:rsidRPr="00953F7D" w14:paraId="49D0500D" w14:textId="77777777" w:rsidTr="009C3F64">
        <w:tc>
          <w:tcPr>
            <w:tcW w:w="4111" w:type="dxa"/>
          </w:tcPr>
          <w:p w14:paraId="49D0500A" w14:textId="77777777" w:rsidR="00742F5F" w:rsidRPr="00953F7D" w:rsidRDefault="00742F5F" w:rsidP="00DE4EDE">
            <w:pPr>
              <w:ind w:left="33" w:hanging="33"/>
              <w:jc w:val="both"/>
              <w:rPr>
                <w:b/>
              </w:rPr>
            </w:pPr>
            <w:r w:rsidRPr="00953F7D">
              <w:rPr>
                <w:b/>
              </w:rPr>
              <w:t>Total value of remuneration awards for the current financial year</w:t>
            </w:r>
          </w:p>
        </w:tc>
        <w:tc>
          <w:tcPr>
            <w:tcW w:w="2126" w:type="dxa"/>
          </w:tcPr>
          <w:p w14:paraId="49D0500B" w14:textId="77777777" w:rsidR="00742F5F" w:rsidRPr="00953F7D" w:rsidRDefault="00742F5F" w:rsidP="009164E6">
            <w:pPr>
              <w:jc w:val="both"/>
              <w:rPr>
                <w:b/>
              </w:rPr>
            </w:pPr>
            <w:r w:rsidRPr="00953F7D">
              <w:rPr>
                <w:b/>
              </w:rPr>
              <w:t>Unrestricted</w:t>
            </w:r>
          </w:p>
        </w:tc>
        <w:tc>
          <w:tcPr>
            <w:tcW w:w="2127" w:type="dxa"/>
          </w:tcPr>
          <w:p w14:paraId="49D0500C" w14:textId="77777777" w:rsidR="00742F5F" w:rsidRPr="00953F7D" w:rsidRDefault="00742F5F" w:rsidP="009164E6">
            <w:pPr>
              <w:jc w:val="both"/>
              <w:rPr>
                <w:b/>
              </w:rPr>
            </w:pPr>
            <w:r w:rsidRPr="00953F7D">
              <w:rPr>
                <w:b/>
              </w:rPr>
              <w:t>Deferred</w:t>
            </w:r>
          </w:p>
        </w:tc>
      </w:tr>
      <w:tr w:rsidR="00742F5F" w:rsidRPr="00953F7D" w14:paraId="49D05011" w14:textId="77777777" w:rsidTr="009C3F64">
        <w:tc>
          <w:tcPr>
            <w:tcW w:w="4111" w:type="dxa"/>
          </w:tcPr>
          <w:p w14:paraId="49D0500E" w14:textId="77777777" w:rsidR="00742F5F" w:rsidRPr="00953F7D" w:rsidRDefault="00742F5F" w:rsidP="009164E6">
            <w:pPr>
              <w:jc w:val="both"/>
            </w:pPr>
            <w:r w:rsidRPr="00953F7D">
              <w:t>Fixed remuneration</w:t>
            </w:r>
          </w:p>
        </w:tc>
        <w:tc>
          <w:tcPr>
            <w:tcW w:w="2126" w:type="dxa"/>
          </w:tcPr>
          <w:p w14:paraId="49D0500F" w14:textId="77777777" w:rsidR="00742F5F" w:rsidRPr="00953F7D" w:rsidRDefault="00742F5F" w:rsidP="009164E6">
            <w:pPr>
              <w:jc w:val="both"/>
            </w:pPr>
          </w:p>
        </w:tc>
        <w:tc>
          <w:tcPr>
            <w:tcW w:w="2127" w:type="dxa"/>
          </w:tcPr>
          <w:p w14:paraId="49D05010" w14:textId="77777777" w:rsidR="00742F5F" w:rsidRPr="00953F7D" w:rsidRDefault="00742F5F" w:rsidP="009164E6">
            <w:pPr>
              <w:jc w:val="both"/>
            </w:pPr>
          </w:p>
        </w:tc>
      </w:tr>
      <w:tr w:rsidR="00742F5F" w:rsidRPr="00953F7D" w14:paraId="49D05015" w14:textId="77777777" w:rsidTr="009C3F64">
        <w:tc>
          <w:tcPr>
            <w:tcW w:w="4111" w:type="dxa"/>
          </w:tcPr>
          <w:p w14:paraId="49D05012" w14:textId="77777777" w:rsidR="00742F5F" w:rsidRPr="00953F7D" w:rsidRDefault="00742F5F" w:rsidP="00E9482F">
            <w:pPr>
              <w:numPr>
                <w:ilvl w:val="0"/>
                <w:numId w:val="27"/>
              </w:numPr>
              <w:contextualSpacing/>
              <w:jc w:val="both"/>
            </w:pPr>
            <w:r w:rsidRPr="00953F7D">
              <w:t>Cash-based</w:t>
            </w:r>
          </w:p>
        </w:tc>
        <w:tc>
          <w:tcPr>
            <w:tcW w:w="2126" w:type="dxa"/>
          </w:tcPr>
          <w:p w14:paraId="49D05013" w14:textId="77777777" w:rsidR="00742F5F" w:rsidRPr="00953F7D" w:rsidRDefault="00742F5F" w:rsidP="009164E6">
            <w:pPr>
              <w:jc w:val="both"/>
            </w:pPr>
          </w:p>
        </w:tc>
        <w:tc>
          <w:tcPr>
            <w:tcW w:w="2127" w:type="dxa"/>
          </w:tcPr>
          <w:p w14:paraId="49D05014" w14:textId="77777777" w:rsidR="00742F5F" w:rsidRPr="00953F7D" w:rsidRDefault="00742F5F" w:rsidP="009164E6">
            <w:pPr>
              <w:jc w:val="both"/>
            </w:pPr>
          </w:p>
        </w:tc>
      </w:tr>
      <w:tr w:rsidR="00742F5F" w:rsidRPr="00953F7D" w14:paraId="49D05019" w14:textId="77777777" w:rsidTr="009C3F64">
        <w:tc>
          <w:tcPr>
            <w:tcW w:w="4111" w:type="dxa"/>
          </w:tcPr>
          <w:p w14:paraId="49D05016" w14:textId="77777777" w:rsidR="00742F5F" w:rsidRPr="00953F7D" w:rsidRDefault="00742F5F" w:rsidP="00E9482F">
            <w:pPr>
              <w:numPr>
                <w:ilvl w:val="0"/>
                <w:numId w:val="27"/>
              </w:numPr>
              <w:contextualSpacing/>
              <w:jc w:val="both"/>
            </w:pPr>
            <w:r w:rsidRPr="00953F7D">
              <w:t>Shares and share-linked instruments</w:t>
            </w:r>
          </w:p>
        </w:tc>
        <w:tc>
          <w:tcPr>
            <w:tcW w:w="2126" w:type="dxa"/>
          </w:tcPr>
          <w:p w14:paraId="49D05017" w14:textId="77777777" w:rsidR="00742F5F" w:rsidRPr="00953F7D" w:rsidRDefault="00742F5F" w:rsidP="009164E6">
            <w:pPr>
              <w:jc w:val="both"/>
            </w:pPr>
          </w:p>
        </w:tc>
        <w:tc>
          <w:tcPr>
            <w:tcW w:w="2127" w:type="dxa"/>
          </w:tcPr>
          <w:p w14:paraId="49D05018" w14:textId="77777777" w:rsidR="00742F5F" w:rsidRPr="00953F7D" w:rsidRDefault="00742F5F" w:rsidP="009164E6">
            <w:pPr>
              <w:jc w:val="both"/>
            </w:pPr>
          </w:p>
        </w:tc>
      </w:tr>
      <w:tr w:rsidR="00742F5F" w:rsidRPr="00953F7D" w14:paraId="49D0501D" w14:textId="77777777" w:rsidTr="009C3F64">
        <w:tc>
          <w:tcPr>
            <w:tcW w:w="4111" w:type="dxa"/>
          </w:tcPr>
          <w:p w14:paraId="49D0501A" w14:textId="77777777" w:rsidR="00742F5F" w:rsidRPr="00953F7D" w:rsidRDefault="00742F5F" w:rsidP="00E9482F">
            <w:pPr>
              <w:numPr>
                <w:ilvl w:val="0"/>
                <w:numId w:val="27"/>
              </w:numPr>
              <w:contextualSpacing/>
              <w:jc w:val="both"/>
            </w:pPr>
            <w:r w:rsidRPr="00953F7D">
              <w:t>Other</w:t>
            </w:r>
          </w:p>
        </w:tc>
        <w:tc>
          <w:tcPr>
            <w:tcW w:w="2126" w:type="dxa"/>
          </w:tcPr>
          <w:p w14:paraId="49D0501B" w14:textId="77777777" w:rsidR="00742F5F" w:rsidRPr="00953F7D" w:rsidRDefault="00742F5F" w:rsidP="009164E6">
            <w:pPr>
              <w:jc w:val="both"/>
            </w:pPr>
          </w:p>
        </w:tc>
        <w:tc>
          <w:tcPr>
            <w:tcW w:w="2127" w:type="dxa"/>
          </w:tcPr>
          <w:p w14:paraId="49D0501C" w14:textId="77777777" w:rsidR="00742F5F" w:rsidRPr="00953F7D" w:rsidRDefault="00742F5F" w:rsidP="009164E6">
            <w:pPr>
              <w:jc w:val="both"/>
            </w:pPr>
          </w:p>
        </w:tc>
      </w:tr>
      <w:tr w:rsidR="00742F5F" w:rsidRPr="00953F7D" w14:paraId="49D05021" w14:textId="77777777" w:rsidTr="009C3F64">
        <w:tc>
          <w:tcPr>
            <w:tcW w:w="4111" w:type="dxa"/>
          </w:tcPr>
          <w:p w14:paraId="49D0501E" w14:textId="77777777" w:rsidR="00742F5F" w:rsidRPr="00953F7D" w:rsidRDefault="00742F5F" w:rsidP="009164E6">
            <w:pPr>
              <w:jc w:val="both"/>
            </w:pPr>
            <w:r w:rsidRPr="00953F7D">
              <w:t>Variable remuneration</w:t>
            </w:r>
          </w:p>
        </w:tc>
        <w:tc>
          <w:tcPr>
            <w:tcW w:w="2126" w:type="dxa"/>
          </w:tcPr>
          <w:p w14:paraId="49D0501F" w14:textId="77777777" w:rsidR="00742F5F" w:rsidRPr="00953F7D" w:rsidRDefault="00742F5F" w:rsidP="009164E6">
            <w:pPr>
              <w:jc w:val="both"/>
            </w:pPr>
          </w:p>
        </w:tc>
        <w:tc>
          <w:tcPr>
            <w:tcW w:w="2127" w:type="dxa"/>
          </w:tcPr>
          <w:p w14:paraId="49D05020" w14:textId="77777777" w:rsidR="00742F5F" w:rsidRPr="00953F7D" w:rsidRDefault="00742F5F" w:rsidP="009164E6">
            <w:pPr>
              <w:jc w:val="both"/>
            </w:pPr>
          </w:p>
        </w:tc>
      </w:tr>
      <w:tr w:rsidR="00742F5F" w:rsidRPr="00953F7D" w14:paraId="49D05025" w14:textId="77777777" w:rsidTr="009C3F64">
        <w:tc>
          <w:tcPr>
            <w:tcW w:w="4111" w:type="dxa"/>
          </w:tcPr>
          <w:p w14:paraId="49D05022" w14:textId="77777777" w:rsidR="00742F5F" w:rsidRPr="00953F7D" w:rsidRDefault="00742F5F" w:rsidP="00E9482F">
            <w:pPr>
              <w:numPr>
                <w:ilvl w:val="0"/>
                <w:numId w:val="27"/>
              </w:numPr>
              <w:contextualSpacing/>
              <w:jc w:val="both"/>
            </w:pPr>
            <w:r w:rsidRPr="00953F7D">
              <w:t>Cash-based</w:t>
            </w:r>
          </w:p>
        </w:tc>
        <w:tc>
          <w:tcPr>
            <w:tcW w:w="2126" w:type="dxa"/>
          </w:tcPr>
          <w:p w14:paraId="49D05023" w14:textId="77777777" w:rsidR="00742F5F" w:rsidRPr="00953F7D" w:rsidRDefault="00742F5F" w:rsidP="009164E6">
            <w:pPr>
              <w:jc w:val="both"/>
            </w:pPr>
          </w:p>
        </w:tc>
        <w:tc>
          <w:tcPr>
            <w:tcW w:w="2127" w:type="dxa"/>
          </w:tcPr>
          <w:p w14:paraId="49D05024" w14:textId="77777777" w:rsidR="00742F5F" w:rsidRPr="00953F7D" w:rsidRDefault="00742F5F" w:rsidP="009164E6">
            <w:pPr>
              <w:jc w:val="both"/>
            </w:pPr>
          </w:p>
        </w:tc>
      </w:tr>
      <w:tr w:rsidR="00742F5F" w:rsidRPr="00953F7D" w14:paraId="49D05029" w14:textId="77777777" w:rsidTr="009C3F64">
        <w:tc>
          <w:tcPr>
            <w:tcW w:w="4111" w:type="dxa"/>
          </w:tcPr>
          <w:p w14:paraId="49D05026" w14:textId="77777777" w:rsidR="00742F5F" w:rsidRPr="00953F7D" w:rsidRDefault="00742F5F" w:rsidP="00E9482F">
            <w:pPr>
              <w:numPr>
                <w:ilvl w:val="0"/>
                <w:numId w:val="27"/>
              </w:numPr>
              <w:contextualSpacing/>
              <w:jc w:val="both"/>
            </w:pPr>
            <w:r w:rsidRPr="00953F7D">
              <w:t>Shares and share-linked instruments</w:t>
            </w:r>
          </w:p>
        </w:tc>
        <w:tc>
          <w:tcPr>
            <w:tcW w:w="2126" w:type="dxa"/>
          </w:tcPr>
          <w:p w14:paraId="49D05027" w14:textId="77777777" w:rsidR="00742F5F" w:rsidRPr="00953F7D" w:rsidRDefault="00742F5F" w:rsidP="009164E6">
            <w:pPr>
              <w:jc w:val="both"/>
            </w:pPr>
          </w:p>
        </w:tc>
        <w:tc>
          <w:tcPr>
            <w:tcW w:w="2127" w:type="dxa"/>
          </w:tcPr>
          <w:p w14:paraId="49D05028" w14:textId="77777777" w:rsidR="00742F5F" w:rsidRPr="00953F7D" w:rsidRDefault="00742F5F" w:rsidP="009164E6">
            <w:pPr>
              <w:jc w:val="both"/>
            </w:pPr>
          </w:p>
        </w:tc>
      </w:tr>
      <w:tr w:rsidR="00742F5F" w:rsidRPr="00953F7D" w14:paraId="49D0502D" w14:textId="77777777" w:rsidTr="009C3F64">
        <w:tc>
          <w:tcPr>
            <w:tcW w:w="4111" w:type="dxa"/>
          </w:tcPr>
          <w:p w14:paraId="49D0502A" w14:textId="77777777" w:rsidR="00742F5F" w:rsidRPr="00953F7D" w:rsidRDefault="00742F5F" w:rsidP="00E9482F">
            <w:pPr>
              <w:numPr>
                <w:ilvl w:val="0"/>
                <w:numId w:val="27"/>
              </w:numPr>
              <w:contextualSpacing/>
              <w:jc w:val="both"/>
            </w:pPr>
            <w:r w:rsidRPr="00953F7D">
              <w:t>Other</w:t>
            </w:r>
          </w:p>
        </w:tc>
        <w:tc>
          <w:tcPr>
            <w:tcW w:w="2126" w:type="dxa"/>
          </w:tcPr>
          <w:p w14:paraId="49D0502B" w14:textId="77777777" w:rsidR="00742F5F" w:rsidRPr="00953F7D" w:rsidRDefault="00742F5F" w:rsidP="009164E6">
            <w:pPr>
              <w:jc w:val="both"/>
            </w:pPr>
          </w:p>
        </w:tc>
        <w:tc>
          <w:tcPr>
            <w:tcW w:w="2127" w:type="dxa"/>
          </w:tcPr>
          <w:p w14:paraId="49D0502C" w14:textId="77777777" w:rsidR="00742F5F" w:rsidRPr="00953F7D" w:rsidRDefault="00742F5F" w:rsidP="009164E6">
            <w:pPr>
              <w:jc w:val="both"/>
            </w:pPr>
          </w:p>
        </w:tc>
      </w:tr>
    </w:tbl>
    <w:p w14:paraId="49D0502E" w14:textId="77777777" w:rsidR="00A717D0" w:rsidRPr="00953F7D" w:rsidRDefault="00A717D0" w:rsidP="00742F5F">
      <w:pPr>
        <w:jc w:val="both"/>
        <w:sectPr w:rsidR="00A717D0" w:rsidRPr="00953F7D" w:rsidSect="008D3C2B">
          <w:footerReference w:type="default" r:id="rId30"/>
          <w:footerReference w:type="first" r:id="rId31"/>
          <w:pgSz w:w="11906" w:h="16838"/>
          <w:pgMar w:top="1440" w:right="1797" w:bottom="1440" w:left="1797" w:header="709" w:footer="709" w:gutter="0"/>
          <w:cols w:space="708"/>
          <w:titlePg/>
          <w:docGrid w:linePitch="360"/>
        </w:sectPr>
      </w:pPr>
    </w:p>
    <w:p w14:paraId="49D0502F" w14:textId="77777777" w:rsidR="00742F5F" w:rsidRPr="00953F7D" w:rsidRDefault="00A717D0" w:rsidP="0090459F">
      <w:pPr>
        <w:pStyle w:val="Heading3"/>
        <w:spacing w:before="120" w:after="360"/>
        <w:jc w:val="both"/>
        <w:rPr>
          <w:b/>
          <w:sz w:val="32"/>
          <w:szCs w:val="32"/>
        </w:rPr>
      </w:pPr>
      <w:bookmarkStart w:id="208" w:name="_Toc387407373"/>
      <w:bookmarkStart w:id="209" w:name="_Toc391024790"/>
      <w:bookmarkStart w:id="210" w:name="_Toc506286050"/>
      <w:r w:rsidRPr="00953F7D">
        <w:rPr>
          <w:b/>
          <w:sz w:val="32"/>
          <w:szCs w:val="32"/>
        </w:rPr>
        <w:t xml:space="preserve">Attachment </w:t>
      </w:r>
      <w:r w:rsidR="008048A9" w:rsidRPr="00953F7D">
        <w:rPr>
          <w:b/>
          <w:sz w:val="32"/>
          <w:szCs w:val="32"/>
        </w:rPr>
        <w:t>H</w:t>
      </w:r>
      <w:bookmarkEnd w:id="208"/>
      <w:bookmarkEnd w:id="209"/>
      <w:bookmarkEnd w:id="210"/>
    </w:p>
    <w:p w14:paraId="49D05030" w14:textId="77777777" w:rsidR="00A717D0" w:rsidRPr="00953F7D" w:rsidRDefault="004A780F" w:rsidP="00F74F2D">
      <w:pPr>
        <w:pStyle w:val="Heading3"/>
        <w:spacing w:before="120" w:after="360"/>
        <w:ind w:left="0" w:firstLine="0"/>
        <w:rPr>
          <w:b/>
          <w:sz w:val="32"/>
          <w:szCs w:val="32"/>
        </w:rPr>
      </w:pPr>
      <w:bookmarkStart w:id="211" w:name="_Toc395701866"/>
      <w:bookmarkStart w:id="212" w:name="_Toc506286051"/>
      <w:r w:rsidRPr="00953F7D">
        <w:rPr>
          <w:b/>
          <w:sz w:val="32"/>
          <w:szCs w:val="32"/>
        </w:rPr>
        <w:t>D</w:t>
      </w:r>
      <w:r w:rsidR="00A717D0" w:rsidRPr="00953F7D">
        <w:rPr>
          <w:b/>
          <w:sz w:val="32"/>
          <w:szCs w:val="32"/>
        </w:rPr>
        <w:t>isclosure</w:t>
      </w:r>
      <w:r w:rsidR="00266C95" w:rsidRPr="00953F7D">
        <w:rPr>
          <w:b/>
          <w:sz w:val="32"/>
          <w:szCs w:val="32"/>
        </w:rPr>
        <w:t xml:space="preserve">s for the identification of potential </w:t>
      </w:r>
      <w:r w:rsidRPr="00953F7D">
        <w:rPr>
          <w:b/>
          <w:sz w:val="32"/>
          <w:szCs w:val="32"/>
        </w:rPr>
        <w:t>G-SIBs</w:t>
      </w:r>
      <w:bookmarkEnd w:id="211"/>
      <w:bookmarkEnd w:id="212"/>
    </w:p>
    <w:p w14:paraId="49D05031" w14:textId="7F7D6E2E" w:rsidR="00A717D0" w:rsidRPr="00953F7D" w:rsidRDefault="00436224" w:rsidP="00E9482F">
      <w:pPr>
        <w:pStyle w:val="BodyText"/>
        <w:numPr>
          <w:ilvl w:val="0"/>
          <w:numId w:val="34"/>
        </w:numPr>
      </w:pPr>
      <w:r w:rsidRPr="00953F7D">
        <w:t>If required by</w:t>
      </w:r>
      <w:r w:rsidR="00A717D0" w:rsidRPr="00953F7D">
        <w:t xml:space="preserve"> APRA</w:t>
      </w:r>
      <w:r w:rsidRPr="00953F7D">
        <w:t xml:space="preserve">, </w:t>
      </w:r>
      <w:r w:rsidR="003861D0" w:rsidRPr="00953F7D">
        <w:t xml:space="preserve">an ADI </w:t>
      </w:r>
      <w:r w:rsidR="00A717D0" w:rsidRPr="00953F7D">
        <w:t xml:space="preserve">must </w:t>
      </w:r>
      <w:r w:rsidR="008B5AA4" w:rsidRPr="00953F7D">
        <w:t xml:space="preserve">disclose </w:t>
      </w:r>
      <w:r w:rsidR="00F91488" w:rsidRPr="00953F7D">
        <w:t xml:space="preserve">the indicators </w:t>
      </w:r>
      <w:r w:rsidR="00A717D0" w:rsidRPr="00953F7D">
        <w:t xml:space="preserve">in </w:t>
      </w:r>
      <w:r w:rsidR="00D079F9" w:rsidRPr="00953F7D">
        <w:t>Table</w:t>
      </w:r>
      <w:r w:rsidR="00A717D0" w:rsidRPr="00953F7D">
        <w:t xml:space="preserve"> </w:t>
      </w:r>
      <w:r w:rsidR="00390857">
        <w:t>23</w:t>
      </w:r>
      <w:r w:rsidR="00C57803">
        <w:t>.</w:t>
      </w:r>
    </w:p>
    <w:p w14:paraId="49D05032" w14:textId="09F8D346" w:rsidR="008B5AA4" w:rsidRPr="00953F7D" w:rsidRDefault="008B5AA4" w:rsidP="00E9482F">
      <w:pPr>
        <w:pStyle w:val="BodyText"/>
      </w:pPr>
      <w:r w:rsidRPr="00953F7D">
        <w:t xml:space="preserve">In completing Table </w:t>
      </w:r>
      <w:r w:rsidR="00390857">
        <w:t>23</w:t>
      </w:r>
      <w:r w:rsidRPr="00953F7D">
        <w:t xml:space="preserve">, an ADI must disclose the reporting information identified in the reporting template for the end of year data collection exercise of the Macroprudential Supervision Group as issued by the Basel Committee in respect of the reporting year for the disclosure. The reporting information must be </w:t>
      </w:r>
      <w:r w:rsidR="009F2B7D" w:rsidRPr="00953F7D">
        <w:t xml:space="preserve">calculated </w:t>
      </w:r>
      <w:r w:rsidRPr="00953F7D">
        <w:t>in accordance with the reporting instructions issued by the Basel Committee in respect of the relevant reporting template.</w:t>
      </w:r>
    </w:p>
    <w:p w14:paraId="49D05033" w14:textId="77777777" w:rsidR="00A717D0" w:rsidRPr="00953F7D" w:rsidRDefault="00A717D0" w:rsidP="0090459F">
      <w:pPr>
        <w:pStyle w:val="ListParagraph"/>
        <w:ind w:left="360"/>
      </w:pPr>
    </w:p>
    <w:p w14:paraId="49D05034" w14:textId="29CDE1F3" w:rsidR="00A717D0" w:rsidRPr="00953F7D" w:rsidRDefault="00A717D0" w:rsidP="00830D13">
      <w:pPr>
        <w:pStyle w:val="ListParagraph"/>
        <w:ind w:left="567" w:firstLine="0"/>
      </w:pPr>
      <w:r w:rsidRPr="00953F7D">
        <w:t xml:space="preserve">Table </w:t>
      </w:r>
      <w:r w:rsidR="00390857">
        <w:t>23</w:t>
      </w:r>
      <w:r w:rsidRPr="00953F7D">
        <w:t xml:space="preserve">: </w:t>
      </w:r>
      <w:r w:rsidR="004A780F" w:rsidRPr="00953F7D">
        <w:t>D</w:t>
      </w:r>
      <w:r w:rsidRPr="00953F7D">
        <w:t>isclosure</w:t>
      </w:r>
      <w:r w:rsidR="00266C95" w:rsidRPr="00953F7D">
        <w:t xml:space="preserve">s for the identification of potential </w:t>
      </w:r>
      <w:r w:rsidR="004A780F" w:rsidRPr="00953F7D">
        <w:t>G-SIBs</w:t>
      </w:r>
      <w:r w:rsidRPr="00953F7D">
        <w:t xml:space="preserve"> </w:t>
      </w:r>
    </w:p>
    <w:p w14:paraId="49D05035" w14:textId="77777777" w:rsidR="003861D0" w:rsidRPr="00953F7D" w:rsidRDefault="003861D0" w:rsidP="007B355E">
      <w:pPr>
        <w:pStyle w:val="ListParagraph"/>
        <w:ind w:left="927" w:hanging="207"/>
      </w:pPr>
    </w:p>
    <w:tbl>
      <w:tblPr>
        <w:tblStyle w:val="TableGrid"/>
        <w:tblW w:w="0" w:type="auto"/>
        <w:tblInd w:w="108" w:type="dxa"/>
        <w:tblLayout w:type="fixed"/>
        <w:tblLook w:val="04A0" w:firstRow="1" w:lastRow="0" w:firstColumn="1" w:lastColumn="0" w:noHBand="0" w:noVBand="1"/>
      </w:tblPr>
      <w:tblGrid>
        <w:gridCol w:w="709"/>
        <w:gridCol w:w="5528"/>
        <w:gridCol w:w="2127"/>
      </w:tblGrid>
      <w:tr w:rsidR="003861D0" w:rsidRPr="00953F7D" w14:paraId="49D05039" w14:textId="77777777" w:rsidTr="003C256A">
        <w:tc>
          <w:tcPr>
            <w:tcW w:w="6237" w:type="dxa"/>
            <w:gridSpan w:val="2"/>
            <w:shd w:val="clear" w:color="auto" w:fill="A6A6A6" w:themeFill="background1" w:themeFillShade="A6"/>
            <w:vAlign w:val="center"/>
          </w:tcPr>
          <w:p w14:paraId="49D05036" w14:textId="77777777" w:rsidR="003861D0" w:rsidRPr="00953F7D" w:rsidRDefault="003861D0" w:rsidP="00ED68F1">
            <w:pPr>
              <w:rPr>
                <w:b/>
              </w:rPr>
            </w:pPr>
            <w:r w:rsidRPr="00953F7D">
              <w:rPr>
                <w:b/>
              </w:rPr>
              <w:t>Size</w:t>
            </w:r>
          </w:p>
        </w:tc>
        <w:tc>
          <w:tcPr>
            <w:tcW w:w="2127" w:type="dxa"/>
            <w:shd w:val="clear" w:color="auto" w:fill="A6A6A6" w:themeFill="background1" w:themeFillShade="A6"/>
            <w:vAlign w:val="center"/>
          </w:tcPr>
          <w:p w14:paraId="49D05037" w14:textId="77777777" w:rsidR="003861D0" w:rsidRPr="00953F7D" w:rsidRDefault="003861D0" w:rsidP="00ED68F1">
            <w:pPr>
              <w:rPr>
                <w:b/>
              </w:rPr>
            </w:pPr>
            <w:r w:rsidRPr="00953F7D">
              <w:rPr>
                <w:b/>
              </w:rPr>
              <w:t>Current reporting year value</w:t>
            </w:r>
          </w:p>
          <w:p w14:paraId="49D05038" w14:textId="77777777" w:rsidR="003861D0" w:rsidRPr="00953F7D" w:rsidRDefault="003861D0" w:rsidP="00ED68F1">
            <w:pPr>
              <w:jc w:val="center"/>
              <w:rPr>
                <w:b/>
              </w:rPr>
            </w:pPr>
            <w:r w:rsidRPr="00953F7D">
              <w:rPr>
                <w:b/>
              </w:rPr>
              <w:t>(A$m)</w:t>
            </w:r>
          </w:p>
        </w:tc>
      </w:tr>
      <w:tr w:rsidR="003861D0" w:rsidRPr="00953F7D" w14:paraId="49D0503D" w14:textId="77777777" w:rsidTr="00DF452D">
        <w:tc>
          <w:tcPr>
            <w:tcW w:w="709" w:type="dxa"/>
            <w:shd w:val="clear" w:color="auto" w:fill="auto"/>
            <w:vAlign w:val="center"/>
          </w:tcPr>
          <w:p w14:paraId="49D0503A" w14:textId="77777777" w:rsidR="003861D0" w:rsidRPr="00953F7D" w:rsidRDefault="003861D0" w:rsidP="00ED68F1">
            <w:r w:rsidRPr="00953F7D">
              <w:t>1</w:t>
            </w:r>
          </w:p>
        </w:tc>
        <w:tc>
          <w:tcPr>
            <w:tcW w:w="5528" w:type="dxa"/>
            <w:shd w:val="clear" w:color="auto" w:fill="auto"/>
            <w:vAlign w:val="center"/>
          </w:tcPr>
          <w:p w14:paraId="49D0503B" w14:textId="77777777" w:rsidR="003861D0" w:rsidRPr="00953F7D" w:rsidRDefault="003861D0" w:rsidP="00ED68F1">
            <w:pPr>
              <w:ind w:left="34" w:firstLine="0"/>
            </w:pPr>
            <w:r w:rsidRPr="00953F7D">
              <w:t xml:space="preserve">Total exposures </w:t>
            </w:r>
          </w:p>
        </w:tc>
        <w:tc>
          <w:tcPr>
            <w:tcW w:w="2127" w:type="dxa"/>
            <w:shd w:val="clear" w:color="auto" w:fill="auto"/>
            <w:vAlign w:val="center"/>
          </w:tcPr>
          <w:p w14:paraId="49D0503C" w14:textId="77777777" w:rsidR="003861D0" w:rsidRPr="00953F7D" w:rsidRDefault="003861D0" w:rsidP="00ED68F1">
            <w:pPr>
              <w:pStyle w:val="ListParagraph"/>
              <w:ind w:left="360"/>
            </w:pPr>
          </w:p>
        </w:tc>
      </w:tr>
      <w:tr w:rsidR="003861D0" w:rsidRPr="00953F7D" w14:paraId="49D0503F" w14:textId="77777777" w:rsidTr="003C256A">
        <w:tc>
          <w:tcPr>
            <w:tcW w:w="8364" w:type="dxa"/>
            <w:gridSpan w:val="3"/>
            <w:shd w:val="clear" w:color="auto" w:fill="A6A6A6" w:themeFill="background1" w:themeFillShade="A6"/>
            <w:vAlign w:val="center"/>
          </w:tcPr>
          <w:p w14:paraId="49D0503E" w14:textId="77777777" w:rsidR="003861D0" w:rsidRPr="00953F7D" w:rsidRDefault="003861D0" w:rsidP="006D4D50">
            <w:r w:rsidRPr="00953F7D">
              <w:rPr>
                <w:b/>
              </w:rPr>
              <w:t>Interconnectedness</w:t>
            </w:r>
          </w:p>
        </w:tc>
      </w:tr>
      <w:tr w:rsidR="003861D0" w:rsidRPr="00953F7D" w14:paraId="49D05043" w14:textId="77777777" w:rsidTr="00DF452D">
        <w:tc>
          <w:tcPr>
            <w:tcW w:w="709" w:type="dxa"/>
            <w:shd w:val="clear" w:color="auto" w:fill="auto"/>
            <w:vAlign w:val="center"/>
          </w:tcPr>
          <w:p w14:paraId="49D05040" w14:textId="77777777" w:rsidR="003861D0" w:rsidRPr="00953F7D" w:rsidRDefault="003861D0" w:rsidP="00ED68F1">
            <w:pPr>
              <w:tabs>
                <w:tab w:val="left" w:pos="0"/>
              </w:tabs>
            </w:pPr>
            <w:r w:rsidRPr="00953F7D">
              <w:t>2</w:t>
            </w:r>
          </w:p>
        </w:tc>
        <w:tc>
          <w:tcPr>
            <w:tcW w:w="5528" w:type="dxa"/>
            <w:shd w:val="clear" w:color="auto" w:fill="auto"/>
            <w:vAlign w:val="center"/>
          </w:tcPr>
          <w:p w14:paraId="49D05041" w14:textId="77777777" w:rsidR="003861D0" w:rsidRPr="00953F7D" w:rsidRDefault="003861D0" w:rsidP="00ED68F1">
            <w:pPr>
              <w:tabs>
                <w:tab w:val="left" w:pos="0"/>
              </w:tabs>
              <w:ind w:left="34" w:firstLine="0"/>
            </w:pPr>
            <w:r w:rsidRPr="00953F7D">
              <w:t xml:space="preserve">Intra-financial system assets </w:t>
            </w:r>
          </w:p>
        </w:tc>
        <w:tc>
          <w:tcPr>
            <w:tcW w:w="2127" w:type="dxa"/>
            <w:tcBorders>
              <w:bottom w:val="single" w:sz="4" w:space="0" w:color="auto"/>
            </w:tcBorders>
            <w:shd w:val="clear" w:color="auto" w:fill="auto"/>
            <w:vAlign w:val="center"/>
          </w:tcPr>
          <w:p w14:paraId="49D05042" w14:textId="77777777" w:rsidR="003861D0" w:rsidRPr="00953F7D" w:rsidRDefault="003861D0" w:rsidP="00ED68F1">
            <w:pPr>
              <w:pStyle w:val="ListParagraph"/>
              <w:ind w:left="360"/>
            </w:pPr>
          </w:p>
        </w:tc>
      </w:tr>
      <w:tr w:rsidR="003861D0" w:rsidRPr="00953F7D" w14:paraId="49D05047" w14:textId="77777777" w:rsidTr="00DF452D">
        <w:tc>
          <w:tcPr>
            <w:tcW w:w="709" w:type="dxa"/>
            <w:shd w:val="clear" w:color="auto" w:fill="auto"/>
            <w:vAlign w:val="center"/>
          </w:tcPr>
          <w:p w14:paraId="49D05044" w14:textId="77777777" w:rsidR="003861D0" w:rsidRPr="00953F7D" w:rsidRDefault="003861D0" w:rsidP="00ED68F1">
            <w:pPr>
              <w:tabs>
                <w:tab w:val="left" w:pos="0"/>
              </w:tabs>
            </w:pPr>
            <w:r w:rsidRPr="00953F7D">
              <w:t>3</w:t>
            </w:r>
          </w:p>
        </w:tc>
        <w:tc>
          <w:tcPr>
            <w:tcW w:w="5528" w:type="dxa"/>
            <w:shd w:val="clear" w:color="auto" w:fill="auto"/>
            <w:vAlign w:val="center"/>
          </w:tcPr>
          <w:p w14:paraId="49D05045" w14:textId="77777777" w:rsidR="003861D0" w:rsidRPr="00953F7D" w:rsidRDefault="003861D0" w:rsidP="00ED68F1">
            <w:pPr>
              <w:tabs>
                <w:tab w:val="left" w:pos="0"/>
              </w:tabs>
              <w:ind w:left="34" w:firstLine="0"/>
            </w:pPr>
            <w:r w:rsidRPr="00953F7D">
              <w:t xml:space="preserve">Intra-financial system liabilities </w:t>
            </w:r>
          </w:p>
        </w:tc>
        <w:tc>
          <w:tcPr>
            <w:tcW w:w="2127" w:type="dxa"/>
            <w:tcBorders>
              <w:bottom w:val="single" w:sz="4" w:space="0" w:color="auto"/>
            </w:tcBorders>
            <w:shd w:val="clear" w:color="auto" w:fill="auto"/>
            <w:vAlign w:val="center"/>
          </w:tcPr>
          <w:p w14:paraId="49D05046" w14:textId="77777777" w:rsidR="003861D0" w:rsidRPr="00953F7D" w:rsidRDefault="003861D0" w:rsidP="00ED68F1">
            <w:pPr>
              <w:pStyle w:val="ListParagraph"/>
              <w:ind w:left="360"/>
            </w:pPr>
          </w:p>
        </w:tc>
      </w:tr>
      <w:tr w:rsidR="003861D0" w:rsidRPr="00953F7D" w14:paraId="49D0504B" w14:textId="77777777" w:rsidTr="00DF452D">
        <w:tc>
          <w:tcPr>
            <w:tcW w:w="709" w:type="dxa"/>
            <w:shd w:val="clear" w:color="auto" w:fill="auto"/>
            <w:vAlign w:val="center"/>
          </w:tcPr>
          <w:p w14:paraId="49D05048" w14:textId="77777777" w:rsidR="003861D0" w:rsidRPr="00953F7D" w:rsidRDefault="003861D0" w:rsidP="00ED68F1">
            <w:pPr>
              <w:tabs>
                <w:tab w:val="left" w:pos="0"/>
              </w:tabs>
            </w:pPr>
            <w:r w:rsidRPr="00953F7D">
              <w:t>4</w:t>
            </w:r>
          </w:p>
        </w:tc>
        <w:tc>
          <w:tcPr>
            <w:tcW w:w="5528" w:type="dxa"/>
            <w:shd w:val="clear" w:color="auto" w:fill="auto"/>
            <w:vAlign w:val="center"/>
          </w:tcPr>
          <w:p w14:paraId="49D05049" w14:textId="77777777" w:rsidR="003861D0" w:rsidRPr="00953F7D" w:rsidRDefault="003861D0" w:rsidP="00ED68F1">
            <w:pPr>
              <w:tabs>
                <w:tab w:val="left" w:pos="0"/>
              </w:tabs>
              <w:ind w:left="34" w:firstLine="0"/>
            </w:pPr>
            <w:r w:rsidRPr="00953F7D">
              <w:t xml:space="preserve">Securities outstanding </w:t>
            </w:r>
          </w:p>
        </w:tc>
        <w:tc>
          <w:tcPr>
            <w:tcW w:w="2127" w:type="dxa"/>
            <w:tcBorders>
              <w:bottom w:val="single" w:sz="4" w:space="0" w:color="auto"/>
            </w:tcBorders>
            <w:shd w:val="clear" w:color="auto" w:fill="auto"/>
            <w:vAlign w:val="center"/>
          </w:tcPr>
          <w:p w14:paraId="49D0504A" w14:textId="77777777" w:rsidR="003861D0" w:rsidRPr="00953F7D" w:rsidRDefault="003861D0" w:rsidP="00ED68F1">
            <w:pPr>
              <w:pStyle w:val="ListParagraph"/>
              <w:ind w:left="360"/>
              <w:rPr>
                <w:i/>
              </w:rPr>
            </w:pPr>
          </w:p>
        </w:tc>
      </w:tr>
      <w:tr w:rsidR="003861D0" w:rsidRPr="00953F7D" w14:paraId="49D0504D" w14:textId="77777777" w:rsidTr="003C256A">
        <w:tc>
          <w:tcPr>
            <w:tcW w:w="8364" w:type="dxa"/>
            <w:gridSpan w:val="3"/>
            <w:shd w:val="clear" w:color="auto" w:fill="A6A6A6" w:themeFill="background1" w:themeFillShade="A6"/>
            <w:vAlign w:val="center"/>
          </w:tcPr>
          <w:p w14:paraId="49D0504C" w14:textId="77777777" w:rsidR="003861D0" w:rsidRPr="00953F7D" w:rsidRDefault="003861D0" w:rsidP="00ED68F1">
            <w:pPr>
              <w:rPr>
                <w:b/>
              </w:rPr>
            </w:pPr>
            <w:r w:rsidRPr="00953F7D">
              <w:rPr>
                <w:b/>
              </w:rPr>
              <w:t>Substitutability/ financial institution infrastructure</w:t>
            </w:r>
          </w:p>
        </w:tc>
      </w:tr>
      <w:tr w:rsidR="003861D0" w:rsidRPr="00953F7D" w14:paraId="49D05051" w14:textId="77777777" w:rsidTr="00DF452D">
        <w:tc>
          <w:tcPr>
            <w:tcW w:w="709" w:type="dxa"/>
            <w:shd w:val="clear" w:color="auto" w:fill="auto"/>
            <w:vAlign w:val="center"/>
          </w:tcPr>
          <w:p w14:paraId="49D0504E" w14:textId="77777777" w:rsidR="003861D0" w:rsidRPr="00953F7D" w:rsidRDefault="003861D0" w:rsidP="00ED68F1">
            <w:r w:rsidRPr="00953F7D">
              <w:t>5</w:t>
            </w:r>
          </w:p>
        </w:tc>
        <w:tc>
          <w:tcPr>
            <w:tcW w:w="5528" w:type="dxa"/>
            <w:shd w:val="clear" w:color="auto" w:fill="auto"/>
            <w:vAlign w:val="center"/>
          </w:tcPr>
          <w:p w14:paraId="49D0504F" w14:textId="77777777" w:rsidR="003861D0" w:rsidRPr="00953F7D" w:rsidRDefault="003861D0" w:rsidP="00ED68F1">
            <w:pPr>
              <w:ind w:left="0" w:firstLine="0"/>
            </w:pPr>
            <w:r w:rsidRPr="00953F7D">
              <w:t xml:space="preserve">Payments made in the reporting year (excluding intragroup payments) </w:t>
            </w:r>
          </w:p>
        </w:tc>
        <w:tc>
          <w:tcPr>
            <w:tcW w:w="2127" w:type="dxa"/>
            <w:tcBorders>
              <w:bottom w:val="single" w:sz="4" w:space="0" w:color="auto"/>
            </w:tcBorders>
            <w:shd w:val="clear" w:color="auto" w:fill="auto"/>
            <w:vAlign w:val="center"/>
          </w:tcPr>
          <w:p w14:paraId="49D05050" w14:textId="77777777" w:rsidR="003861D0" w:rsidRPr="00953F7D" w:rsidRDefault="003861D0" w:rsidP="00ED68F1"/>
        </w:tc>
      </w:tr>
      <w:tr w:rsidR="003861D0" w:rsidRPr="00953F7D" w14:paraId="49D05055" w14:textId="77777777" w:rsidTr="00DF452D">
        <w:tc>
          <w:tcPr>
            <w:tcW w:w="709" w:type="dxa"/>
            <w:shd w:val="clear" w:color="auto" w:fill="auto"/>
            <w:vAlign w:val="center"/>
          </w:tcPr>
          <w:p w14:paraId="49D05052" w14:textId="77777777" w:rsidR="003861D0" w:rsidRPr="00953F7D" w:rsidRDefault="003861D0" w:rsidP="00ED68F1">
            <w:pPr>
              <w:tabs>
                <w:tab w:val="left" w:pos="0"/>
              </w:tabs>
            </w:pPr>
            <w:r w:rsidRPr="00953F7D">
              <w:t>6</w:t>
            </w:r>
          </w:p>
        </w:tc>
        <w:tc>
          <w:tcPr>
            <w:tcW w:w="5528" w:type="dxa"/>
            <w:shd w:val="clear" w:color="auto" w:fill="auto"/>
            <w:vAlign w:val="center"/>
          </w:tcPr>
          <w:p w14:paraId="49D05053" w14:textId="77777777" w:rsidR="003861D0" w:rsidRPr="00953F7D" w:rsidRDefault="003861D0" w:rsidP="00ED68F1">
            <w:pPr>
              <w:tabs>
                <w:tab w:val="left" w:pos="0"/>
              </w:tabs>
              <w:ind w:left="0" w:firstLine="0"/>
            </w:pPr>
            <w:r w:rsidRPr="00953F7D">
              <w:t xml:space="preserve">Assets under custody </w:t>
            </w:r>
          </w:p>
        </w:tc>
        <w:tc>
          <w:tcPr>
            <w:tcW w:w="2127" w:type="dxa"/>
            <w:shd w:val="clear" w:color="auto" w:fill="auto"/>
            <w:vAlign w:val="center"/>
          </w:tcPr>
          <w:p w14:paraId="49D05054" w14:textId="77777777" w:rsidR="003861D0" w:rsidRPr="00953F7D" w:rsidRDefault="003861D0" w:rsidP="00ED68F1">
            <w:pPr>
              <w:pStyle w:val="ListParagraph"/>
              <w:ind w:left="360"/>
            </w:pPr>
          </w:p>
        </w:tc>
      </w:tr>
      <w:tr w:rsidR="003861D0" w:rsidRPr="00953F7D" w14:paraId="49D05059" w14:textId="77777777" w:rsidTr="00DF452D">
        <w:tc>
          <w:tcPr>
            <w:tcW w:w="709" w:type="dxa"/>
            <w:shd w:val="clear" w:color="auto" w:fill="auto"/>
            <w:vAlign w:val="center"/>
          </w:tcPr>
          <w:p w14:paraId="49D05056" w14:textId="77777777" w:rsidR="003861D0" w:rsidRPr="00953F7D" w:rsidRDefault="003861D0" w:rsidP="00ED68F1">
            <w:pPr>
              <w:tabs>
                <w:tab w:val="left" w:pos="0"/>
              </w:tabs>
            </w:pPr>
            <w:r w:rsidRPr="00953F7D">
              <w:t>7</w:t>
            </w:r>
          </w:p>
        </w:tc>
        <w:tc>
          <w:tcPr>
            <w:tcW w:w="5528" w:type="dxa"/>
            <w:shd w:val="clear" w:color="auto" w:fill="auto"/>
            <w:vAlign w:val="center"/>
          </w:tcPr>
          <w:p w14:paraId="49D05057" w14:textId="77777777" w:rsidR="003861D0" w:rsidRPr="00953F7D" w:rsidRDefault="003861D0" w:rsidP="00ED68F1">
            <w:pPr>
              <w:tabs>
                <w:tab w:val="left" w:pos="0"/>
              </w:tabs>
              <w:ind w:left="0" w:firstLine="0"/>
            </w:pPr>
            <w:r w:rsidRPr="00953F7D">
              <w:t xml:space="preserve">Underwritten transactions in debt and equity markets </w:t>
            </w:r>
          </w:p>
        </w:tc>
        <w:tc>
          <w:tcPr>
            <w:tcW w:w="2127" w:type="dxa"/>
            <w:tcBorders>
              <w:bottom w:val="single" w:sz="4" w:space="0" w:color="auto"/>
            </w:tcBorders>
            <w:shd w:val="clear" w:color="auto" w:fill="auto"/>
            <w:vAlign w:val="center"/>
          </w:tcPr>
          <w:p w14:paraId="49D05058" w14:textId="77777777" w:rsidR="003861D0" w:rsidRPr="00953F7D" w:rsidRDefault="003861D0" w:rsidP="00ED68F1">
            <w:pPr>
              <w:pStyle w:val="ListParagraph"/>
              <w:ind w:left="360"/>
            </w:pPr>
          </w:p>
        </w:tc>
      </w:tr>
      <w:tr w:rsidR="003861D0" w:rsidRPr="00953F7D" w14:paraId="49D0505B" w14:textId="77777777" w:rsidTr="003C256A">
        <w:tc>
          <w:tcPr>
            <w:tcW w:w="8364" w:type="dxa"/>
            <w:gridSpan w:val="3"/>
            <w:shd w:val="clear" w:color="auto" w:fill="A6A6A6" w:themeFill="background1" w:themeFillShade="A6"/>
            <w:vAlign w:val="center"/>
          </w:tcPr>
          <w:p w14:paraId="49D0505A" w14:textId="77777777" w:rsidR="003861D0" w:rsidRPr="00953F7D" w:rsidRDefault="003861D0" w:rsidP="00ED68F1">
            <w:pPr>
              <w:rPr>
                <w:b/>
              </w:rPr>
            </w:pPr>
            <w:r w:rsidRPr="00953F7D">
              <w:rPr>
                <w:b/>
              </w:rPr>
              <w:t>Complexity</w:t>
            </w:r>
          </w:p>
        </w:tc>
      </w:tr>
      <w:tr w:rsidR="003861D0" w:rsidRPr="00953F7D" w14:paraId="49D0505F" w14:textId="77777777" w:rsidTr="00DF452D">
        <w:tc>
          <w:tcPr>
            <w:tcW w:w="709" w:type="dxa"/>
            <w:shd w:val="clear" w:color="auto" w:fill="auto"/>
            <w:vAlign w:val="center"/>
          </w:tcPr>
          <w:p w14:paraId="49D0505C" w14:textId="77777777" w:rsidR="003861D0" w:rsidRPr="00953F7D" w:rsidRDefault="003861D0" w:rsidP="00ED68F1">
            <w:r w:rsidRPr="00953F7D">
              <w:t>8</w:t>
            </w:r>
          </w:p>
        </w:tc>
        <w:tc>
          <w:tcPr>
            <w:tcW w:w="5528" w:type="dxa"/>
            <w:shd w:val="clear" w:color="auto" w:fill="auto"/>
            <w:vAlign w:val="center"/>
          </w:tcPr>
          <w:p w14:paraId="49D0505D" w14:textId="77777777" w:rsidR="003861D0" w:rsidRPr="00953F7D" w:rsidRDefault="003861D0" w:rsidP="009F2B7D">
            <w:pPr>
              <w:ind w:left="0" w:firstLine="0"/>
            </w:pPr>
            <w:r w:rsidRPr="00953F7D">
              <w:t xml:space="preserve">Notional amount of over-the-counter (OTC) </w:t>
            </w:r>
            <w:r w:rsidR="009F2B7D" w:rsidRPr="00953F7D">
              <w:t>d</w:t>
            </w:r>
            <w:r w:rsidRPr="00953F7D">
              <w:t xml:space="preserve">erivatives </w:t>
            </w:r>
          </w:p>
        </w:tc>
        <w:tc>
          <w:tcPr>
            <w:tcW w:w="2127" w:type="dxa"/>
            <w:tcBorders>
              <w:bottom w:val="single" w:sz="4" w:space="0" w:color="auto"/>
            </w:tcBorders>
            <w:shd w:val="clear" w:color="auto" w:fill="auto"/>
            <w:vAlign w:val="center"/>
          </w:tcPr>
          <w:p w14:paraId="49D0505E" w14:textId="77777777" w:rsidR="003861D0" w:rsidRPr="00953F7D" w:rsidRDefault="003861D0" w:rsidP="00ED68F1"/>
        </w:tc>
      </w:tr>
      <w:tr w:rsidR="003861D0" w:rsidRPr="00953F7D" w14:paraId="49D05063" w14:textId="77777777" w:rsidTr="00DF452D">
        <w:tc>
          <w:tcPr>
            <w:tcW w:w="709" w:type="dxa"/>
            <w:shd w:val="clear" w:color="auto" w:fill="auto"/>
            <w:vAlign w:val="center"/>
          </w:tcPr>
          <w:p w14:paraId="49D05060" w14:textId="77777777" w:rsidR="003861D0" w:rsidRPr="00953F7D" w:rsidRDefault="003861D0" w:rsidP="00ED68F1">
            <w:r w:rsidRPr="00953F7D">
              <w:t>9</w:t>
            </w:r>
          </w:p>
        </w:tc>
        <w:tc>
          <w:tcPr>
            <w:tcW w:w="5528" w:type="dxa"/>
            <w:shd w:val="clear" w:color="auto" w:fill="auto"/>
            <w:vAlign w:val="center"/>
          </w:tcPr>
          <w:p w14:paraId="49D05061" w14:textId="77777777" w:rsidR="003861D0" w:rsidRPr="00953F7D" w:rsidRDefault="003861D0" w:rsidP="00ED68F1">
            <w:pPr>
              <w:ind w:left="0" w:firstLine="0"/>
            </w:pPr>
            <w:r w:rsidRPr="00953F7D">
              <w:t xml:space="preserve">Trading and available-for-sale securities </w:t>
            </w:r>
          </w:p>
        </w:tc>
        <w:tc>
          <w:tcPr>
            <w:tcW w:w="2127" w:type="dxa"/>
            <w:tcBorders>
              <w:bottom w:val="single" w:sz="4" w:space="0" w:color="auto"/>
            </w:tcBorders>
            <w:shd w:val="clear" w:color="auto" w:fill="auto"/>
            <w:vAlign w:val="center"/>
          </w:tcPr>
          <w:p w14:paraId="49D05062" w14:textId="77777777" w:rsidR="003861D0" w:rsidRPr="00953F7D" w:rsidRDefault="003861D0" w:rsidP="00ED68F1"/>
        </w:tc>
      </w:tr>
      <w:tr w:rsidR="003861D0" w:rsidRPr="00953F7D" w14:paraId="49D05067" w14:textId="77777777" w:rsidTr="00DF452D">
        <w:tc>
          <w:tcPr>
            <w:tcW w:w="709" w:type="dxa"/>
            <w:shd w:val="clear" w:color="auto" w:fill="auto"/>
            <w:vAlign w:val="center"/>
          </w:tcPr>
          <w:p w14:paraId="49D05064" w14:textId="77777777" w:rsidR="003861D0" w:rsidRPr="00953F7D" w:rsidRDefault="003861D0" w:rsidP="00ED68F1">
            <w:r w:rsidRPr="00953F7D">
              <w:t>10</w:t>
            </w:r>
          </w:p>
        </w:tc>
        <w:tc>
          <w:tcPr>
            <w:tcW w:w="5528" w:type="dxa"/>
            <w:shd w:val="clear" w:color="auto" w:fill="auto"/>
            <w:vAlign w:val="center"/>
          </w:tcPr>
          <w:p w14:paraId="49D05065" w14:textId="77777777" w:rsidR="003861D0" w:rsidRPr="00953F7D" w:rsidRDefault="003861D0" w:rsidP="00ED68F1">
            <w:pPr>
              <w:ind w:left="0" w:firstLine="0"/>
            </w:pPr>
            <w:r w:rsidRPr="00953F7D">
              <w:t xml:space="preserve">Level 3 assets </w:t>
            </w:r>
          </w:p>
        </w:tc>
        <w:tc>
          <w:tcPr>
            <w:tcW w:w="2127" w:type="dxa"/>
            <w:shd w:val="clear" w:color="auto" w:fill="auto"/>
            <w:vAlign w:val="center"/>
          </w:tcPr>
          <w:p w14:paraId="49D05066" w14:textId="77777777" w:rsidR="003861D0" w:rsidRPr="00953F7D" w:rsidRDefault="003861D0" w:rsidP="00ED68F1"/>
        </w:tc>
      </w:tr>
      <w:tr w:rsidR="003861D0" w:rsidRPr="00953F7D" w14:paraId="49D05069" w14:textId="77777777" w:rsidTr="003C256A">
        <w:tc>
          <w:tcPr>
            <w:tcW w:w="8364" w:type="dxa"/>
            <w:gridSpan w:val="3"/>
            <w:shd w:val="clear" w:color="auto" w:fill="A6A6A6" w:themeFill="background1" w:themeFillShade="A6"/>
            <w:vAlign w:val="center"/>
          </w:tcPr>
          <w:p w14:paraId="49D05068" w14:textId="77777777" w:rsidR="003861D0" w:rsidRPr="00953F7D" w:rsidRDefault="003861D0" w:rsidP="00ED68F1">
            <w:pPr>
              <w:rPr>
                <w:b/>
              </w:rPr>
            </w:pPr>
            <w:r w:rsidRPr="00953F7D">
              <w:rPr>
                <w:b/>
              </w:rPr>
              <w:t>Cross-Jurisdictional Activity</w:t>
            </w:r>
          </w:p>
        </w:tc>
      </w:tr>
      <w:tr w:rsidR="003861D0" w:rsidRPr="00953F7D" w14:paraId="49D0506D" w14:textId="77777777" w:rsidTr="00DF452D">
        <w:tc>
          <w:tcPr>
            <w:tcW w:w="709" w:type="dxa"/>
            <w:shd w:val="clear" w:color="auto" w:fill="auto"/>
            <w:vAlign w:val="center"/>
          </w:tcPr>
          <w:p w14:paraId="49D0506A" w14:textId="77777777" w:rsidR="003861D0" w:rsidRPr="00953F7D" w:rsidRDefault="003861D0" w:rsidP="00ED68F1">
            <w:r w:rsidRPr="00953F7D">
              <w:t>11</w:t>
            </w:r>
          </w:p>
        </w:tc>
        <w:tc>
          <w:tcPr>
            <w:tcW w:w="5528" w:type="dxa"/>
            <w:shd w:val="clear" w:color="auto" w:fill="auto"/>
            <w:vAlign w:val="center"/>
          </w:tcPr>
          <w:p w14:paraId="49D0506B" w14:textId="77777777" w:rsidR="003861D0" w:rsidRPr="00953F7D" w:rsidRDefault="003861D0" w:rsidP="00ED68F1">
            <w:pPr>
              <w:ind w:left="34" w:hanging="34"/>
            </w:pPr>
            <w:r w:rsidRPr="00953F7D">
              <w:t xml:space="preserve">Cross-jurisdictional claims </w:t>
            </w:r>
          </w:p>
        </w:tc>
        <w:tc>
          <w:tcPr>
            <w:tcW w:w="2127" w:type="dxa"/>
            <w:shd w:val="clear" w:color="auto" w:fill="auto"/>
            <w:vAlign w:val="center"/>
          </w:tcPr>
          <w:p w14:paraId="49D0506C" w14:textId="77777777" w:rsidR="003861D0" w:rsidRPr="00953F7D" w:rsidRDefault="003861D0" w:rsidP="00ED68F1"/>
        </w:tc>
      </w:tr>
      <w:tr w:rsidR="003861D0" w:rsidRPr="00953F7D" w14:paraId="49D05071" w14:textId="77777777" w:rsidTr="00DF452D">
        <w:tc>
          <w:tcPr>
            <w:tcW w:w="709" w:type="dxa"/>
            <w:shd w:val="clear" w:color="auto" w:fill="auto"/>
            <w:vAlign w:val="center"/>
          </w:tcPr>
          <w:p w14:paraId="49D0506E" w14:textId="77777777" w:rsidR="003861D0" w:rsidRPr="00953F7D" w:rsidRDefault="003861D0" w:rsidP="00ED68F1">
            <w:r w:rsidRPr="00953F7D">
              <w:t>12</w:t>
            </w:r>
          </w:p>
        </w:tc>
        <w:tc>
          <w:tcPr>
            <w:tcW w:w="5528" w:type="dxa"/>
            <w:shd w:val="clear" w:color="auto" w:fill="auto"/>
            <w:vAlign w:val="center"/>
          </w:tcPr>
          <w:p w14:paraId="49D0506F" w14:textId="77777777" w:rsidR="003861D0" w:rsidRPr="00953F7D" w:rsidRDefault="003861D0" w:rsidP="00ED68F1">
            <w:pPr>
              <w:ind w:left="34" w:hanging="34"/>
            </w:pPr>
            <w:r w:rsidRPr="00953F7D">
              <w:t xml:space="preserve">Cross-jurisdictional liabilities </w:t>
            </w:r>
          </w:p>
        </w:tc>
        <w:tc>
          <w:tcPr>
            <w:tcW w:w="2127" w:type="dxa"/>
            <w:tcBorders>
              <w:bottom w:val="single" w:sz="4" w:space="0" w:color="auto"/>
            </w:tcBorders>
            <w:shd w:val="clear" w:color="auto" w:fill="auto"/>
            <w:vAlign w:val="center"/>
          </w:tcPr>
          <w:p w14:paraId="49D05070" w14:textId="77777777" w:rsidR="003861D0" w:rsidRPr="00953F7D" w:rsidRDefault="003861D0" w:rsidP="00ED68F1"/>
        </w:tc>
      </w:tr>
    </w:tbl>
    <w:p w14:paraId="49D05072" w14:textId="77777777" w:rsidR="00A717D0" w:rsidRPr="00953F7D" w:rsidRDefault="00A717D0" w:rsidP="00DE4EDE">
      <w:pPr>
        <w:spacing w:after="240"/>
        <w:ind w:firstLine="0"/>
      </w:pPr>
    </w:p>
    <w:p w14:paraId="49D05073" w14:textId="77777777" w:rsidR="00851D5C" w:rsidRPr="00953F7D" w:rsidRDefault="00851D5C" w:rsidP="00851D5C"/>
    <w:p w14:paraId="49D05074" w14:textId="77777777" w:rsidR="00D532B9" w:rsidRPr="00953F7D" w:rsidRDefault="00D532B9" w:rsidP="00260A6E">
      <w:pPr>
        <w:pStyle w:val="Heading3"/>
        <w:spacing w:before="120" w:after="360"/>
        <w:jc w:val="both"/>
        <w:rPr>
          <w:b/>
          <w:sz w:val="32"/>
          <w:szCs w:val="32"/>
        </w:rPr>
        <w:sectPr w:rsidR="00D532B9" w:rsidRPr="00953F7D" w:rsidSect="008D3C2B">
          <w:footerReference w:type="default" r:id="rId32"/>
          <w:footerReference w:type="first" r:id="rId33"/>
          <w:pgSz w:w="11906" w:h="16838"/>
          <w:pgMar w:top="1440" w:right="1797" w:bottom="1440" w:left="1797" w:header="709" w:footer="709" w:gutter="0"/>
          <w:cols w:space="708"/>
          <w:titlePg/>
          <w:docGrid w:linePitch="360"/>
        </w:sectPr>
      </w:pPr>
    </w:p>
    <w:p w14:paraId="49D05075" w14:textId="77777777" w:rsidR="00260A6E" w:rsidRPr="00953F7D" w:rsidRDefault="00260A6E" w:rsidP="00F74F2D">
      <w:pPr>
        <w:pStyle w:val="Heading3"/>
        <w:spacing w:before="120" w:after="360"/>
        <w:jc w:val="both"/>
        <w:rPr>
          <w:b/>
          <w:sz w:val="32"/>
          <w:szCs w:val="32"/>
        </w:rPr>
      </w:pPr>
      <w:bookmarkStart w:id="213" w:name="_Toc506286052"/>
      <w:r w:rsidRPr="00953F7D">
        <w:rPr>
          <w:b/>
          <w:sz w:val="32"/>
          <w:szCs w:val="32"/>
        </w:rPr>
        <w:t>Attachment I</w:t>
      </w:r>
      <w:bookmarkEnd w:id="213"/>
      <w:r w:rsidRPr="00953F7D">
        <w:rPr>
          <w:b/>
          <w:sz w:val="32"/>
          <w:szCs w:val="32"/>
        </w:rPr>
        <w:t xml:space="preserve"> </w:t>
      </w:r>
    </w:p>
    <w:p w14:paraId="49D05076" w14:textId="77777777" w:rsidR="00260A6E" w:rsidRPr="00953F7D" w:rsidRDefault="00E70F3F" w:rsidP="009C3F64">
      <w:pPr>
        <w:pStyle w:val="Heading3"/>
        <w:spacing w:before="120"/>
        <w:jc w:val="both"/>
        <w:rPr>
          <w:b/>
          <w:sz w:val="32"/>
          <w:szCs w:val="32"/>
        </w:rPr>
      </w:pPr>
      <w:bookmarkStart w:id="214" w:name="_Toc395701868"/>
      <w:bookmarkStart w:id="215" w:name="_Toc506286053"/>
      <w:r w:rsidRPr="00953F7D">
        <w:rPr>
          <w:b/>
          <w:sz w:val="32"/>
          <w:szCs w:val="32"/>
        </w:rPr>
        <w:t>Frequency</w:t>
      </w:r>
      <w:r w:rsidR="00260A6E" w:rsidRPr="00953F7D">
        <w:rPr>
          <w:b/>
          <w:sz w:val="32"/>
          <w:szCs w:val="32"/>
        </w:rPr>
        <w:t xml:space="preserve"> and </w:t>
      </w:r>
      <w:r w:rsidRPr="00953F7D">
        <w:rPr>
          <w:b/>
          <w:sz w:val="32"/>
          <w:szCs w:val="32"/>
        </w:rPr>
        <w:t>timing</w:t>
      </w:r>
      <w:r w:rsidR="00260A6E" w:rsidRPr="00953F7D">
        <w:rPr>
          <w:b/>
          <w:sz w:val="32"/>
          <w:szCs w:val="32"/>
        </w:rPr>
        <w:t xml:space="preserve"> of disclosure requirements</w:t>
      </w:r>
      <w:bookmarkEnd w:id="214"/>
      <w:bookmarkEnd w:id="215"/>
    </w:p>
    <w:p w14:paraId="49D05077" w14:textId="77777777" w:rsidR="00376A7D" w:rsidRDefault="00376A7D" w:rsidP="00F74F2D"/>
    <w:p w14:paraId="49D05078" w14:textId="5A61DF9F" w:rsidR="000B3E76" w:rsidRPr="00953F7D" w:rsidRDefault="00F74F2D" w:rsidP="00F74F2D">
      <w:r w:rsidRPr="00953F7D">
        <w:t xml:space="preserve">Table </w:t>
      </w:r>
      <w:r w:rsidR="00390857">
        <w:t>24</w:t>
      </w:r>
      <w:r w:rsidRPr="00953F7D">
        <w:t>: Frequency of disclosure requirements</w:t>
      </w:r>
    </w:p>
    <w:p w14:paraId="49D05079" w14:textId="77777777" w:rsidR="00F74F2D" w:rsidRPr="00953F7D" w:rsidRDefault="00F74F2D" w:rsidP="00F74F2D"/>
    <w:tbl>
      <w:tblPr>
        <w:tblStyle w:val="TableGrid"/>
        <w:tblW w:w="0" w:type="auto"/>
        <w:tblInd w:w="-34" w:type="dxa"/>
        <w:tblLook w:val="04A0" w:firstRow="1" w:lastRow="0" w:firstColumn="1" w:lastColumn="0" w:noHBand="0" w:noVBand="1"/>
      </w:tblPr>
      <w:tblGrid>
        <w:gridCol w:w="4395"/>
        <w:gridCol w:w="1417"/>
        <w:gridCol w:w="1560"/>
        <w:gridCol w:w="1417"/>
        <w:gridCol w:w="3260"/>
        <w:gridCol w:w="1843"/>
      </w:tblGrid>
      <w:tr w:rsidR="00266C95" w:rsidRPr="00953F7D" w14:paraId="49D05080" w14:textId="77777777" w:rsidTr="00D11E4D">
        <w:trPr>
          <w:trHeight w:val="648"/>
          <w:tblHeader/>
        </w:trPr>
        <w:tc>
          <w:tcPr>
            <w:tcW w:w="4395" w:type="dxa"/>
          </w:tcPr>
          <w:p w14:paraId="49D0507A" w14:textId="77777777" w:rsidR="00266C95" w:rsidRPr="00953F7D" w:rsidRDefault="00266C95" w:rsidP="00F74F2D">
            <w:pPr>
              <w:jc w:val="center"/>
              <w:rPr>
                <w:b/>
              </w:rPr>
            </w:pPr>
          </w:p>
        </w:tc>
        <w:tc>
          <w:tcPr>
            <w:tcW w:w="1417" w:type="dxa"/>
          </w:tcPr>
          <w:p w14:paraId="49D0507B" w14:textId="77777777" w:rsidR="00266C95" w:rsidRPr="00953F7D" w:rsidRDefault="00266C95" w:rsidP="00F74F2D">
            <w:pPr>
              <w:jc w:val="center"/>
              <w:rPr>
                <w:b/>
              </w:rPr>
            </w:pPr>
            <w:r w:rsidRPr="00953F7D">
              <w:rPr>
                <w:b/>
              </w:rPr>
              <w:t>Quarterly</w:t>
            </w:r>
          </w:p>
        </w:tc>
        <w:tc>
          <w:tcPr>
            <w:tcW w:w="1560" w:type="dxa"/>
          </w:tcPr>
          <w:p w14:paraId="49D0507C" w14:textId="77777777" w:rsidR="00266C95" w:rsidRPr="00953F7D" w:rsidRDefault="00266C95" w:rsidP="00F74F2D">
            <w:pPr>
              <w:ind w:left="34" w:hanging="34"/>
              <w:jc w:val="center"/>
              <w:rPr>
                <w:b/>
              </w:rPr>
            </w:pPr>
            <w:r w:rsidRPr="00953F7D">
              <w:rPr>
                <w:b/>
              </w:rPr>
              <w:t>Semi-annually</w:t>
            </w:r>
          </w:p>
        </w:tc>
        <w:tc>
          <w:tcPr>
            <w:tcW w:w="1417" w:type="dxa"/>
          </w:tcPr>
          <w:p w14:paraId="49D0507D" w14:textId="77777777" w:rsidR="00266C95" w:rsidRPr="00953F7D" w:rsidRDefault="00266C95" w:rsidP="00F74F2D">
            <w:pPr>
              <w:jc w:val="center"/>
              <w:rPr>
                <w:b/>
              </w:rPr>
            </w:pPr>
            <w:r w:rsidRPr="00953F7D">
              <w:rPr>
                <w:b/>
              </w:rPr>
              <w:t>Annually</w:t>
            </w:r>
          </w:p>
        </w:tc>
        <w:tc>
          <w:tcPr>
            <w:tcW w:w="3260" w:type="dxa"/>
          </w:tcPr>
          <w:p w14:paraId="49D0507E" w14:textId="77777777" w:rsidR="00266C95" w:rsidRPr="00953F7D" w:rsidRDefault="00266C95" w:rsidP="00F74F2D">
            <w:pPr>
              <w:ind w:left="34" w:hanging="34"/>
              <w:jc w:val="center"/>
              <w:rPr>
                <w:b/>
              </w:rPr>
            </w:pPr>
            <w:r w:rsidRPr="00953F7D">
              <w:rPr>
                <w:b/>
                <w:bCs/>
                <w:iCs/>
                <w:lang w:val="en-GB"/>
              </w:rPr>
              <w:t>Same frequency as an ADI’s financial reports under the Corporations Act</w:t>
            </w:r>
          </w:p>
        </w:tc>
        <w:tc>
          <w:tcPr>
            <w:tcW w:w="1843" w:type="dxa"/>
          </w:tcPr>
          <w:p w14:paraId="49D0507F" w14:textId="77777777" w:rsidR="00266C95" w:rsidRPr="00953F7D" w:rsidRDefault="00266C95" w:rsidP="00F74F2D">
            <w:pPr>
              <w:ind w:left="34" w:hanging="34"/>
              <w:jc w:val="center"/>
              <w:rPr>
                <w:b/>
              </w:rPr>
            </w:pPr>
            <w:r w:rsidRPr="00953F7D">
              <w:rPr>
                <w:b/>
              </w:rPr>
              <w:t>Continuously (as changes occur)</w:t>
            </w:r>
          </w:p>
        </w:tc>
      </w:tr>
      <w:tr w:rsidR="00266C95" w:rsidRPr="00953F7D" w14:paraId="49D05082" w14:textId="77777777" w:rsidTr="009465E0">
        <w:tc>
          <w:tcPr>
            <w:tcW w:w="13892" w:type="dxa"/>
            <w:gridSpan w:val="6"/>
            <w:shd w:val="clear" w:color="auto" w:fill="D9D9D9" w:themeFill="background1" w:themeFillShade="D9"/>
          </w:tcPr>
          <w:p w14:paraId="49D05081" w14:textId="77777777" w:rsidR="00266C95" w:rsidRPr="00953F7D" w:rsidRDefault="00266C95" w:rsidP="009465E0">
            <w:r w:rsidRPr="00953F7D">
              <w:t>Capital disclosures</w:t>
            </w:r>
          </w:p>
        </w:tc>
      </w:tr>
      <w:tr w:rsidR="00266C95" w:rsidRPr="00953F7D" w14:paraId="49D05089" w14:textId="77777777" w:rsidTr="009465E0">
        <w:trPr>
          <w:trHeight w:val="413"/>
        </w:trPr>
        <w:tc>
          <w:tcPr>
            <w:tcW w:w="4395" w:type="dxa"/>
          </w:tcPr>
          <w:p w14:paraId="49D05083" w14:textId="77777777" w:rsidR="00266C95" w:rsidRPr="00953F7D" w:rsidRDefault="00266C95" w:rsidP="006D4410">
            <w:pPr>
              <w:ind w:left="0" w:firstLine="0"/>
            </w:pPr>
            <w:r w:rsidRPr="00953F7D">
              <w:t xml:space="preserve">Attachment A </w:t>
            </w:r>
            <w:r w:rsidR="006D4410">
              <w:t>–</w:t>
            </w:r>
            <w:r w:rsidRPr="00953F7D">
              <w:t xml:space="preserve"> Capital</w:t>
            </w:r>
            <w:r w:rsidR="006D4410">
              <w:t xml:space="preserve"> </w:t>
            </w:r>
            <w:r w:rsidRPr="00953F7D">
              <w:t xml:space="preserve">disclosure template </w:t>
            </w:r>
          </w:p>
        </w:tc>
        <w:tc>
          <w:tcPr>
            <w:tcW w:w="1417" w:type="dxa"/>
          </w:tcPr>
          <w:p w14:paraId="49D05084" w14:textId="77777777" w:rsidR="00266C95" w:rsidRPr="00953F7D" w:rsidRDefault="00266C95" w:rsidP="009465E0">
            <w:pPr>
              <w:jc w:val="center"/>
            </w:pPr>
          </w:p>
        </w:tc>
        <w:tc>
          <w:tcPr>
            <w:tcW w:w="1560" w:type="dxa"/>
          </w:tcPr>
          <w:p w14:paraId="49D05085" w14:textId="77777777" w:rsidR="00266C95" w:rsidRPr="00953F7D" w:rsidRDefault="00266C95" w:rsidP="009465E0">
            <w:pPr>
              <w:jc w:val="center"/>
            </w:pPr>
          </w:p>
        </w:tc>
        <w:tc>
          <w:tcPr>
            <w:tcW w:w="1417" w:type="dxa"/>
          </w:tcPr>
          <w:p w14:paraId="49D05086" w14:textId="77777777" w:rsidR="00266C95" w:rsidRPr="00953F7D" w:rsidRDefault="00266C95" w:rsidP="009465E0">
            <w:pPr>
              <w:jc w:val="center"/>
            </w:pPr>
          </w:p>
        </w:tc>
        <w:tc>
          <w:tcPr>
            <w:tcW w:w="3260" w:type="dxa"/>
          </w:tcPr>
          <w:p w14:paraId="49D05087" w14:textId="77777777" w:rsidR="00266C95" w:rsidRPr="00953F7D" w:rsidRDefault="00266C95" w:rsidP="009465E0">
            <w:pPr>
              <w:jc w:val="center"/>
            </w:pPr>
            <w:r w:rsidRPr="00953F7D">
              <w:rPr>
                <w:rStyle w:val="st1"/>
                <w:rFonts w:ascii="MS Mincho" w:eastAsia="MS Mincho" w:hAnsi="MS Mincho" w:cs="MS Mincho" w:hint="eastAsia"/>
              </w:rPr>
              <w:t>✓</w:t>
            </w:r>
          </w:p>
        </w:tc>
        <w:tc>
          <w:tcPr>
            <w:tcW w:w="1843" w:type="dxa"/>
          </w:tcPr>
          <w:p w14:paraId="49D05088" w14:textId="77777777" w:rsidR="00266C95" w:rsidRPr="00953F7D" w:rsidRDefault="00266C95" w:rsidP="009465E0">
            <w:pPr>
              <w:jc w:val="center"/>
            </w:pPr>
          </w:p>
        </w:tc>
      </w:tr>
      <w:tr w:rsidR="00266C95" w:rsidRPr="00953F7D" w14:paraId="49D05090" w14:textId="77777777" w:rsidTr="009465E0">
        <w:trPr>
          <w:trHeight w:val="561"/>
        </w:trPr>
        <w:tc>
          <w:tcPr>
            <w:tcW w:w="4395" w:type="dxa"/>
          </w:tcPr>
          <w:p w14:paraId="49D0508A" w14:textId="77777777" w:rsidR="00266C95" w:rsidRPr="00953F7D" w:rsidRDefault="00266C95" w:rsidP="00F74F2D">
            <w:pPr>
              <w:ind w:left="34" w:hanging="34"/>
            </w:pPr>
            <w:r w:rsidRPr="00953F7D">
              <w:t xml:space="preserve">Attachment B </w:t>
            </w:r>
            <w:r w:rsidR="006D4410" w:rsidRPr="00953F7D">
              <w:t>–</w:t>
            </w:r>
            <w:r w:rsidRPr="00953F7D">
              <w:t xml:space="preserve"> Main features of capital instruments </w:t>
            </w:r>
          </w:p>
        </w:tc>
        <w:tc>
          <w:tcPr>
            <w:tcW w:w="1417" w:type="dxa"/>
          </w:tcPr>
          <w:p w14:paraId="49D0508B" w14:textId="77777777" w:rsidR="00266C95" w:rsidRPr="00953F7D" w:rsidRDefault="00266C95" w:rsidP="009465E0">
            <w:pPr>
              <w:jc w:val="center"/>
            </w:pPr>
          </w:p>
        </w:tc>
        <w:tc>
          <w:tcPr>
            <w:tcW w:w="1560" w:type="dxa"/>
          </w:tcPr>
          <w:p w14:paraId="49D0508C" w14:textId="77777777" w:rsidR="00266C95" w:rsidRPr="00953F7D" w:rsidRDefault="00266C95" w:rsidP="009465E0">
            <w:pPr>
              <w:jc w:val="center"/>
            </w:pPr>
          </w:p>
        </w:tc>
        <w:tc>
          <w:tcPr>
            <w:tcW w:w="1417" w:type="dxa"/>
          </w:tcPr>
          <w:p w14:paraId="49D0508D" w14:textId="77777777" w:rsidR="00266C95" w:rsidRPr="00953F7D" w:rsidRDefault="00266C95" w:rsidP="009465E0">
            <w:pPr>
              <w:jc w:val="center"/>
            </w:pPr>
          </w:p>
        </w:tc>
        <w:tc>
          <w:tcPr>
            <w:tcW w:w="3260" w:type="dxa"/>
          </w:tcPr>
          <w:p w14:paraId="49D0508E" w14:textId="77777777" w:rsidR="00266C95" w:rsidRPr="00953F7D" w:rsidRDefault="00266C95" w:rsidP="009465E0">
            <w:pPr>
              <w:jc w:val="center"/>
            </w:pPr>
          </w:p>
        </w:tc>
        <w:tc>
          <w:tcPr>
            <w:tcW w:w="1843" w:type="dxa"/>
          </w:tcPr>
          <w:p w14:paraId="49D0508F" w14:textId="77777777" w:rsidR="00266C95" w:rsidRPr="00953F7D" w:rsidRDefault="00266C95" w:rsidP="009465E0">
            <w:pPr>
              <w:jc w:val="center"/>
            </w:pPr>
            <w:r w:rsidRPr="00953F7D">
              <w:rPr>
                <w:rStyle w:val="st1"/>
                <w:rFonts w:ascii="MS Mincho" w:eastAsia="MS Mincho" w:hAnsi="MS Mincho" w:cs="MS Mincho" w:hint="eastAsia"/>
              </w:rPr>
              <w:t>✓</w:t>
            </w:r>
          </w:p>
        </w:tc>
      </w:tr>
      <w:tr w:rsidR="00266C95" w:rsidRPr="00953F7D" w14:paraId="49D05097" w14:textId="77777777" w:rsidTr="009465E0">
        <w:tc>
          <w:tcPr>
            <w:tcW w:w="4395" w:type="dxa"/>
          </w:tcPr>
          <w:p w14:paraId="49D05091" w14:textId="77777777" w:rsidR="00266C95" w:rsidRPr="00953F7D" w:rsidRDefault="00266C95" w:rsidP="009F2B7D">
            <w:r w:rsidRPr="00953F7D">
              <w:t>Regulatory Capital reconciliation</w:t>
            </w:r>
          </w:p>
        </w:tc>
        <w:tc>
          <w:tcPr>
            <w:tcW w:w="1417" w:type="dxa"/>
          </w:tcPr>
          <w:p w14:paraId="49D05092" w14:textId="77777777" w:rsidR="00266C95" w:rsidRPr="00953F7D" w:rsidRDefault="00266C95" w:rsidP="009465E0">
            <w:pPr>
              <w:jc w:val="center"/>
            </w:pPr>
          </w:p>
        </w:tc>
        <w:tc>
          <w:tcPr>
            <w:tcW w:w="1560" w:type="dxa"/>
          </w:tcPr>
          <w:p w14:paraId="49D05093" w14:textId="77777777" w:rsidR="00266C95" w:rsidRPr="00953F7D" w:rsidRDefault="00266C95" w:rsidP="009465E0">
            <w:pPr>
              <w:jc w:val="center"/>
            </w:pPr>
          </w:p>
        </w:tc>
        <w:tc>
          <w:tcPr>
            <w:tcW w:w="1417" w:type="dxa"/>
          </w:tcPr>
          <w:p w14:paraId="49D05094" w14:textId="77777777" w:rsidR="00266C95" w:rsidRPr="00953F7D" w:rsidRDefault="00266C95" w:rsidP="009465E0">
            <w:pPr>
              <w:jc w:val="center"/>
            </w:pPr>
          </w:p>
        </w:tc>
        <w:tc>
          <w:tcPr>
            <w:tcW w:w="3260" w:type="dxa"/>
          </w:tcPr>
          <w:p w14:paraId="49D05095" w14:textId="77777777" w:rsidR="00266C95" w:rsidRPr="00953F7D" w:rsidRDefault="00266C95" w:rsidP="009465E0">
            <w:pPr>
              <w:jc w:val="center"/>
            </w:pPr>
            <w:r w:rsidRPr="00953F7D">
              <w:rPr>
                <w:rStyle w:val="st1"/>
                <w:rFonts w:ascii="MS Mincho" w:eastAsia="MS Mincho" w:hAnsi="MS Mincho" w:cs="MS Mincho" w:hint="eastAsia"/>
              </w:rPr>
              <w:t>✓</w:t>
            </w:r>
          </w:p>
        </w:tc>
        <w:tc>
          <w:tcPr>
            <w:tcW w:w="1843" w:type="dxa"/>
          </w:tcPr>
          <w:p w14:paraId="49D05096" w14:textId="77777777" w:rsidR="00266C95" w:rsidRPr="00953F7D" w:rsidRDefault="00266C95" w:rsidP="009465E0">
            <w:pPr>
              <w:jc w:val="center"/>
            </w:pPr>
          </w:p>
        </w:tc>
      </w:tr>
      <w:tr w:rsidR="00266C95" w:rsidRPr="00953F7D" w14:paraId="49D05099" w14:textId="77777777" w:rsidTr="009465E0">
        <w:tc>
          <w:tcPr>
            <w:tcW w:w="13892" w:type="dxa"/>
            <w:gridSpan w:val="6"/>
            <w:shd w:val="clear" w:color="auto" w:fill="D9D9D9" w:themeFill="background1" w:themeFillShade="D9"/>
          </w:tcPr>
          <w:p w14:paraId="49D05098" w14:textId="77777777" w:rsidR="00266C95" w:rsidRPr="00953F7D" w:rsidRDefault="00266C95" w:rsidP="009465E0">
            <w:r w:rsidRPr="00953F7D">
              <w:t>Risk exposure and assessment disclosures</w:t>
            </w:r>
          </w:p>
        </w:tc>
      </w:tr>
      <w:tr w:rsidR="00266C95" w:rsidRPr="00953F7D" w14:paraId="49D050A0" w14:textId="77777777" w:rsidTr="009465E0">
        <w:trPr>
          <w:trHeight w:val="537"/>
        </w:trPr>
        <w:tc>
          <w:tcPr>
            <w:tcW w:w="4395" w:type="dxa"/>
          </w:tcPr>
          <w:p w14:paraId="49D0509A" w14:textId="77777777" w:rsidR="00266C95" w:rsidRPr="00953F7D" w:rsidRDefault="00266C95" w:rsidP="00F74F2D">
            <w:pPr>
              <w:ind w:left="34" w:hanging="34"/>
            </w:pPr>
            <w:r w:rsidRPr="00953F7D">
              <w:t>Attachment C – Risk exposures and assessment (all ADIs)</w:t>
            </w:r>
          </w:p>
        </w:tc>
        <w:tc>
          <w:tcPr>
            <w:tcW w:w="1417" w:type="dxa"/>
          </w:tcPr>
          <w:p w14:paraId="49D0509B" w14:textId="77777777" w:rsidR="00266C95" w:rsidRPr="00953F7D" w:rsidRDefault="00266C95" w:rsidP="009465E0">
            <w:pPr>
              <w:jc w:val="center"/>
            </w:pPr>
            <w:r w:rsidRPr="00953F7D">
              <w:rPr>
                <w:rStyle w:val="st1"/>
                <w:rFonts w:ascii="MS Mincho" w:eastAsia="MS Mincho" w:hAnsi="MS Mincho" w:cs="MS Mincho" w:hint="eastAsia"/>
              </w:rPr>
              <w:t>✓</w:t>
            </w:r>
          </w:p>
        </w:tc>
        <w:tc>
          <w:tcPr>
            <w:tcW w:w="1560" w:type="dxa"/>
          </w:tcPr>
          <w:p w14:paraId="49D0509C" w14:textId="77777777" w:rsidR="00266C95" w:rsidRPr="00953F7D" w:rsidRDefault="00266C95" w:rsidP="009465E0">
            <w:pPr>
              <w:jc w:val="center"/>
            </w:pPr>
          </w:p>
        </w:tc>
        <w:tc>
          <w:tcPr>
            <w:tcW w:w="1417" w:type="dxa"/>
          </w:tcPr>
          <w:p w14:paraId="49D0509D" w14:textId="77777777" w:rsidR="00266C95" w:rsidRPr="00953F7D" w:rsidRDefault="00266C95" w:rsidP="009465E0">
            <w:pPr>
              <w:jc w:val="center"/>
            </w:pPr>
          </w:p>
        </w:tc>
        <w:tc>
          <w:tcPr>
            <w:tcW w:w="3260" w:type="dxa"/>
          </w:tcPr>
          <w:p w14:paraId="49D0509E" w14:textId="77777777" w:rsidR="00266C95" w:rsidRPr="00953F7D" w:rsidRDefault="00266C95" w:rsidP="009465E0">
            <w:pPr>
              <w:jc w:val="center"/>
            </w:pPr>
          </w:p>
        </w:tc>
        <w:tc>
          <w:tcPr>
            <w:tcW w:w="1843" w:type="dxa"/>
          </w:tcPr>
          <w:p w14:paraId="49D0509F" w14:textId="77777777" w:rsidR="00266C95" w:rsidRPr="00953F7D" w:rsidRDefault="00266C95" w:rsidP="009465E0"/>
        </w:tc>
      </w:tr>
      <w:tr w:rsidR="00266C95" w:rsidRPr="00953F7D" w14:paraId="49D050A7" w14:textId="77777777" w:rsidTr="009465E0">
        <w:trPr>
          <w:trHeight w:val="517"/>
        </w:trPr>
        <w:tc>
          <w:tcPr>
            <w:tcW w:w="4395" w:type="dxa"/>
          </w:tcPr>
          <w:p w14:paraId="49D050A1" w14:textId="77777777" w:rsidR="00266C95" w:rsidRPr="00953F7D" w:rsidRDefault="00266C95" w:rsidP="00F74F2D">
            <w:pPr>
              <w:ind w:left="34" w:hanging="34"/>
            </w:pPr>
            <w:r w:rsidRPr="00953F7D">
              <w:t>Attachment D – Risk exposures and assessment (ADIs with IRB and AMA approval)</w:t>
            </w:r>
          </w:p>
        </w:tc>
        <w:tc>
          <w:tcPr>
            <w:tcW w:w="1417" w:type="dxa"/>
          </w:tcPr>
          <w:p w14:paraId="49D050A2" w14:textId="77777777" w:rsidR="00266C95" w:rsidRPr="00953F7D" w:rsidRDefault="00266C95" w:rsidP="009465E0">
            <w:pPr>
              <w:jc w:val="center"/>
            </w:pPr>
          </w:p>
        </w:tc>
        <w:tc>
          <w:tcPr>
            <w:tcW w:w="1560" w:type="dxa"/>
          </w:tcPr>
          <w:p w14:paraId="49D050A3" w14:textId="77777777" w:rsidR="00266C95" w:rsidRPr="00953F7D" w:rsidRDefault="00266C95" w:rsidP="009465E0">
            <w:pPr>
              <w:jc w:val="center"/>
            </w:pPr>
            <w:r w:rsidRPr="00953F7D">
              <w:rPr>
                <w:rStyle w:val="st1"/>
                <w:rFonts w:ascii="MS Mincho" w:eastAsia="MS Mincho" w:hAnsi="MS Mincho" w:cs="MS Mincho" w:hint="eastAsia"/>
              </w:rPr>
              <w:t>✓</w:t>
            </w:r>
            <w:bookmarkStart w:id="216" w:name="_Ref394051770"/>
            <w:r w:rsidRPr="00953F7D">
              <w:rPr>
                <w:rStyle w:val="FootnoteReference"/>
                <w:rFonts w:eastAsia="MS Gothic"/>
              </w:rPr>
              <w:footnoteReference w:id="66"/>
            </w:r>
            <w:bookmarkEnd w:id="216"/>
          </w:p>
        </w:tc>
        <w:tc>
          <w:tcPr>
            <w:tcW w:w="1417" w:type="dxa"/>
          </w:tcPr>
          <w:p w14:paraId="49D050A4" w14:textId="77777777" w:rsidR="00266C95" w:rsidRPr="00953F7D" w:rsidRDefault="00266C95" w:rsidP="009465E0">
            <w:pPr>
              <w:jc w:val="center"/>
            </w:pPr>
            <w:r w:rsidRPr="00953F7D">
              <w:rPr>
                <w:rStyle w:val="st1"/>
                <w:rFonts w:ascii="MS Mincho" w:eastAsia="MS Mincho" w:hAnsi="MS Mincho" w:cs="MS Mincho" w:hint="eastAsia"/>
              </w:rPr>
              <w:t>✓</w:t>
            </w:r>
            <w:bookmarkStart w:id="217" w:name="_Ref394051938"/>
            <w:r w:rsidRPr="00953F7D">
              <w:rPr>
                <w:rStyle w:val="FootnoteReference"/>
                <w:rFonts w:eastAsia="MS Gothic"/>
              </w:rPr>
              <w:footnoteReference w:id="67"/>
            </w:r>
            <w:bookmarkEnd w:id="217"/>
          </w:p>
        </w:tc>
        <w:tc>
          <w:tcPr>
            <w:tcW w:w="3260" w:type="dxa"/>
          </w:tcPr>
          <w:p w14:paraId="49D050A5" w14:textId="77777777" w:rsidR="00266C95" w:rsidRPr="00953F7D" w:rsidRDefault="00266C95" w:rsidP="009465E0">
            <w:pPr>
              <w:jc w:val="center"/>
              <w:rPr>
                <w:rStyle w:val="st1"/>
                <w:rFonts w:eastAsia="MS Gothic"/>
              </w:rPr>
            </w:pPr>
          </w:p>
        </w:tc>
        <w:tc>
          <w:tcPr>
            <w:tcW w:w="1843" w:type="dxa"/>
          </w:tcPr>
          <w:p w14:paraId="49D050A6" w14:textId="77777777" w:rsidR="00266C95" w:rsidRPr="00953F7D" w:rsidRDefault="00266C95" w:rsidP="009465E0">
            <w:pPr>
              <w:rPr>
                <w:rStyle w:val="st1"/>
                <w:rFonts w:eastAsia="MS Gothic"/>
              </w:rPr>
            </w:pPr>
          </w:p>
        </w:tc>
      </w:tr>
      <w:tr w:rsidR="00266C95" w:rsidRPr="00953F7D" w14:paraId="49D050A9" w14:textId="77777777" w:rsidTr="009465E0">
        <w:tc>
          <w:tcPr>
            <w:tcW w:w="13892" w:type="dxa"/>
            <w:gridSpan w:val="6"/>
            <w:shd w:val="clear" w:color="auto" w:fill="D9D9D9" w:themeFill="background1" w:themeFillShade="D9"/>
          </w:tcPr>
          <w:p w14:paraId="49D050A8" w14:textId="77777777" w:rsidR="00266C95" w:rsidRPr="00953F7D" w:rsidRDefault="00266C95" w:rsidP="009F2B7D">
            <w:r w:rsidRPr="00953F7D">
              <w:t xml:space="preserve">Leverage </w:t>
            </w:r>
            <w:r w:rsidR="009F2B7D" w:rsidRPr="00953F7D">
              <w:t>r</w:t>
            </w:r>
            <w:r w:rsidRPr="00953F7D">
              <w:t>atio disclosures</w:t>
            </w:r>
          </w:p>
        </w:tc>
      </w:tr>
      <w:tr w:rsidR="00266C95" w:rsidRPr="00953F7D" w14:paraId="49D050B0" w14:textId="77777777" w:rsidTr="009465E0">
        <w:tc>
          <w:tcPr>
            <w:tcW w:w="4395" w:type="dxa"/>
          </w:tcPr>
          <w:p w14:paraId="49D050AA" w14:textId="77777777" w:rsidR="00266C95" w:rsidRPr="00953F7D" w:rsidRDefault="00266C95" w:rsidP="00343C36">
            <w:pPr>
              <w:ind w:left="0" w:firstLine="0"/>
            </w:pPr>
            <w:r w:rsidRPr="00953F7D">
              <w:t>Attachment E – Lev</w:t>
            </w:r>
            <w:r w:rsidR="00343C36">
              <w:t>erage ratio tables</w:t>
            </w:r>
          </w:p>
        </w:tc>
        <w:tc>
          <w:tcPr>
            <w:tcW w:w="1417" w:type="dxa"/>
            <w:shd w:val="clear" w:color="auto" w:fill="auto"/>
          </w:tcPr>
          <w:p w14:paraId="49D050AB" w14:textId="77777777" w:rsidR="00266C95" w:rsidRPr="00953F7D" w:rsidRDefault="00266C95" w:rsidP="009465E0">
            <w:pPr>
              <w:jc w:val="center"/>
              <w:rPr>
                <w:bCs/>
                <w:iCs/>
                <w:lang w:val="en-GB"/>
              </w:rPr>
            </w:pPr>
          </w:p>
        </w:tc>
        <w:tc>
          <w:tcPr>
            <w:tcW w:w="1560" w:type="dxa"/>
            <w:shd w:val="clear" w:color="auto" w:fill="auto"/>
          </w:tcPr>
          <w:p w14:paraId="49D050AC" w14:textId="77777777" w:rsidR="00266C95" w:rsidRPr="00953F7D" w:rsidRDefault="00266C95" w:rsidP="009465E0">
            <w:pPr>
              <w:jc w:val="center"/>
            </w:pPr>
          </w:p>
        </w:tc>
        <w:tc>
          <w:tcPr>
            <w:tcW w:w="1417" w:type="dxa"/>
            <w:shd w:val="clear" w:color="auto" w:fill="auto"/>
          </w:tcPr>
          <w:p w14:paraId="49D050AD" w14:textId="77777777" w:rsidR="00266C95" w:rsidRPr="00953F7D" w:rsidRDefault="00266C95" w:rsidP="009465E0">
            <w:pPr>
              <w:jc w:val="center"/>
            </w:pPr>
          </w:p>
        </w:tc>
        <w:tc>
          <w:tcPr>
            <w:tcW w:w="3260" w:type="dxa"/>
          </w:tcPr>
          <w:p w14:paraId="49D050AE" w14:textId="77777777" w:rsidR="00266C95" w:rsidRPr="00953F7D" w:rsidRDefault="00266C95" w:rsidP="009465E0">
            <w:pPr>
              <w:jc w:val="center"/>
            </w:pPr>
            <w:r w:rsidRPr="00953F7D">
              <w:rPr>
                <w:rStyle w:val="st1"/>
                <w:rFonts w:ascii="MS Mincho" w:eastAsia="MS Mincho" w:hAnsi="MS Mincho" w:cs="MS Mincho" w:hint="eastAsia"/>
              </w:rPr>
              <w:t>✓</w:t>
            </w:r>
          </w:p>
        </w:tc>
        <w:tc>
          <w:tcPr>
            <w:tcW w:w="1843" w:type="dxa"/>
          </w:tcPr>
          <w:p w14:paraId="49D050AF" w14:textId="77777777" w:rsidR="00266C95" w:rsidRPr="00953F7D" w:rsidRDefault="00266C95" w:rsidP="009465E0"/>
        </w:tc>
      </w:tr>
      <w:tr w:rsidR="00265186" w:rsidRPr="00953F7D" w14:paraId="49D050B7" w14:textId="77777777" w:rsidTr="009465E0">
        <w:tc>
          <w:tcPr>
            <w:tcW w:w="4395" w:type="dxa"/>
          </w:tcPr>
          <w:p w14:paraId="49D050B1" w14:textId="51729CC6" w:rsidR="00265186" w:rsidRPr="00953F7D" w:rsidRDefault="00265186" w:rsidP="00DF597C">
            <w:pPr>
              <w:ind w:left="34" w:hanging="34"/>
            </w:pPr>
            <w:r w:rsidRPr="00953F7D">
              <w:t xml:space="preserve">Paragraph </w:t>
            </w:r>
            <w:r w:rsidR="001F5E76">
              <w:fldChar w:fldCharType="begin"/>
            </w:r>
            <w:r w:rsidR="001F5E76">
              <w:instrText xml:space="preserve"> REF _Ref387063899 \r \h </w:instrText>
            </w:r>
            <w:r w:rsidR="001F5E76">
              <w:fldChar w:fldCharType="separate"/>
            </w:r>
            <w:r w:rsidR="007D232B">
              <w:t>48</w:t>
            </w:r>
            <w:r w:rsidR="001F5E76">
              <w:fldChar w:fldCharType="end"/>
            </w:r>
            <w:r w:rsidR="001F5E76">
              <w:t xml:space="preserve"> </w:t>
            </w:r>
            <w:r w:rsidR="00193835" w:rsidRPr="00953F7D">
              <w:t>– Tier 1 Capital, Total exposures and leverage ratio</w:t>
            </w:r>
          </w:p>
        </w:tc>
        <w:tc>
          <w:tcPr>
            <w:tcW w:w="1417" w:type="dxa"/>
            <w:shd w:val="clear" w:color="auto" w:fill="auto"/>
          </w:tcPr>
          <w:p w14:paraId="49D050B2" w14:textId="77777777" w:rsidR="00265186" w:rsidRPr="00953F7D" w:rsidRDefault="00265186" w:rsidP="00265186">
            <w:pPr>
              <w:jc w:val="center"/>
              <w:rPr>
                <w:rStyle w:val="st1"/>
                <w:rFonts w:ascii="MS Mincho" w:eastAsia="MS Mincho" w:hAnsi="MS Mincho" w:cs="MS Mincho"/>
              </w:rPr>
            </w:pPr>
            <w:r w:rsidRPr="00953F7D">
              <w:rPr>
                <w:rStyle w:val="st1"/>
                <w:rFonts w:ascii="MS Mincho" w:eastAsia="MS Mincho" w:hAnsi="MS Mincho" w:cs="MS Mincho" w:hint="eastAsia"/>
              </w:rPr>
              <w:t>✓</w:t>
            </w:r>
          </w:p>
        </w:tc>
        <w:tc>
          <w:tcPr>
            <w:tcW w:w="1560" w:type="dxa"/>
            <w:shd w:val="clear" w:color="auto" w:fill="auto"/>
          </w:tcPr>
          <w:p w14:paraId="49D050B3" w14:textId="77777777" w:rsidR="00265186" w:rsidRPr="00953F7D" w:rsidRDefault="00265186" w:rsidP="009465E0">
            <w:pPr>
              <w:jc w:val="center"/>
            </w:pPr>
          </w:p>
        </w:tc>
        <w:tc>
          <w:tcPr>
            <w:tcW w:w="1417" w:type="dxa"/>
            <w:shd w:val="clear" w:color="auto" w:fill="auto"/>
          </w:tcPr>
          <w:p w14:paraId="49D050B4" w14:textId="77777777" w:rsidR="00265186" w:rsidRPr="00953F7D" w:rsidRDefault="00265186" w:rsidP="009465E0">
            <w:pPr>
              <w:jc w:val="center"/>
            </w:pPr>
          </w:p>
        </w:tc>
        <w:tc>
          <w:tcPr>
            <w:tcW w:w="3260" w:type="dxa"/>
          </w:tcPr>
          <w:p w14:paraId="49D050B5" w14:textId="77777777" w:rsidR="00265186" w:rsidRPr="00953F7D" w:rsidRDefault="00265186" w:rsidP="009465E0">
            <w:pPr>
              <w:jc w:val="center"/>
              <w:rPr>
                <w:rStyle w:val="st1"/>
                <w:rFonts w:ascii="MS Mincho" w:eastAsia="MS Mincho" w:hAnsi="MS Mincho" w:cs="MS Mincho"/>
              </w:rPr>
            </w:pPr>
          </w:p>
        </w:tc>
        <w:tc>
          <w:tcPr>
            <w:tcW w:w="1843" w:type="dxa"/>
          </w:tcPr>
          <w:p w14:paraId="49D050B6" w14:textId="77777777" w:rsidR="00265186" w:rsidRPr="00953F7D" w:rsidRDefault="00265186" w:rsidP="009465E0"/>
        </w:tc>
      </w:tr>
      <w:tr w:rsidR="00266C95" w:rsidRPr="00953F7D" w14:paraId="49D050B9" w14:textId="77777777" w:rsidTr="009465E0">
        <w:tc>
          <w:tcPr>
            <w:tcW w:w="13892" w:type="dxa"/>
            <w:gridSpan w:val="6"/>
            <w:shd w:val="clear" w:color="auto" w:fill="D9D9D9" w:themeFill="background1" w:themeFillShade="D9"/>
          </w:tcPr>
          <w:p w14:paraId="49D050B8" w14:textId="77CCC760" w:rsidR="00266C95" w:rsidRPr="00953F7D" w:rsidRDefault="00266C95" w:rsidP="00B33084">
            <w:r w:rsidRPr="00953F7D">
              <w:t>Liquidity disclosures</w:t>
            </w:r>
          </w:p>
        </w:tc>
      </w:tr>
      <w:tr w:rsidR="00266C95" w:rsidRPr="00953F7D" w14:paraId="49D050C0" w14:textId="77777777" w:rsidTr="009465E0">
        <w:tc>
          <w:tcPr>
            <w:tcW w:w="4395" w:type="dxa"/>
          </w:tcPr>
          <w:p w14:paraId="49D050BA" w14:textId="77777777" w:rsidR="00266C95" w:rsidRPr="00953F7D" w:rsidRDefault="00266C95" w:rsidP="00FE34A9">
            <w:pPr>
              <w:ind w:left="0" w:firstLine="0"/>
            </w:pPr>
            <w:r w:rsidRPr="00953F7D">
              <w:t>Attachme</w:t>
            </w:r>
            <w:r w:rsidR="00FE34A9">
              <w:t xml:space="preserve">nt F – Liquidity Coverage Ratio </w:t>
            </w:r>
            <w:r w:rsidRPr="00953F7D">
              <w:t>disclosure template</w:t>
            </w:r>
          </w:p>
        </w:tc>
        <w:tc>
          <w:tcPr>
            <w:tcW w:w="1417" w:type="dxa"/>
          </w:tcPr>
          <w:p w14:paraId="49D050BB" w14:textId="5063A78C" w:rsidR="00266C95" w:rsidRPr="00953F7D" w:rsidRDefault="00F705AB" w:rsidP="0034612C">
            <w:pPr>
              <w:jc w:val="center"/>
            </w:pPr>
            <w:r w:rsidRPr="00953F7D">
              <w:rPr>
                <w:rStyle w:val="st1"/>
                <w:rFonts w:ascii="MS Mincho" w:eastAsia="MS Mincho" w:hAnsi="MS Mincho" w:cs="MS Mincho" w:hint="eastAsia"/>
              </w:rPr>
              <w:t>✓</w:t>
            </w:r>
          </w:p>
        </w:tc>
        <w:tc>
          <w:tcPr>
            <w:tcW w:w="1560" w:type="dxa"/>
            <w:shd w:val="clear" w:color="auto" w:fill="auto"/>
          </w:tcPr>
          <w:p w14:paraId="49D050BC" w14:textId="77777777" w:rsidR="00266C95" w:rsidRPr="00953F7D" w:rsidRDefault="00266C95" w:rsidP="009465E0"/>
        </w:tc>
        <w:tc>
          <w:tcPr>
            <w:tcW w:w="1417" w:type="dxa"/>
          </w:tcPr>
          <w:p w14:paraId="49D050BD" w14:textId="77777777" w:rsidR="00266C95" w:rsidRPr="00953F7D" w:rsidRDefault="00266C95" w:rsidP="009465E0"/>
        </w:tc>
        <w:tc>
          <w:tcPr>
            <w:tcW w:w="3260" w:type="dxa"/>
          </w:tcPr>
          <w:p w14:paraId="49D050BE" w14:textId="169DACEE" w:rsidR="00266C95" w:rsidRPr="00953F7D" w:rsidRDefault="00266C95" w:rsidP="009465E0">
            <w:pPr>
              <w:jc w:val="center"/>
            </w:pPr>
          </w:p>
        </w:tc>
        <w:tc>
          <w:tcPr>
            <w:tcW w:w="1843" w:type="dxa"/>
          </w:tcPr>
          <w:p w14:paraId="49D050BF" w14:textId="77777777" w:rsidR="00266C95" w:rsidRPr="00953F7D" w:rsidRDefault="00266C95" w:rsidP="009465E0"/>
        </w:tc>
      </w:tr>
      <w:tr w:rsidR="00B33084" w:rsidRPr="00953F7D" w14:paraId="49D050C7" w14:textId="77777777" w:rsidTr="009465E0">
        <w:tc>
          <w:tcPr>
            <w:tcW w:w="4395" w:type="dxa"/>
          </w:tcPr>
          <w:p w14:paraId="49D050C1" w14:textId="77777777" w:rsidR="00B33084" w:rsidRPr="00953F7D" w:rsidRDefault="00B33084" w:rsidP="000E038C">
            <w:pPr>
              <w:ind w:left="0" w:firstLine="0"/>
            </w:pPr>
            <w:r w:rsidRPr="00953F7D">
              <w:t>Attachme</w:t>
            </w:r>
            <w:r>
              <w:t xml:space="preserve">nt F – Net Stable Funding Ratio </w:t>
            </w:r>
            <w:r w:rsidRPr="00953F7D">
              <w:t>disclosure template</w:t>
            </w:r>
          </w:p>
        </w:tc>
        <w:tc>
          <w:tcPr>
            <w:tcW w:w="1417" w:type="dxa"/>
          </w:tcPr>
          <w:p w14:paraId="49D050C2" w14:textId="77777777" w:rsidR="00B33084" w:rsidRPr="00953F7D" w:rsidRDefault="00B33084" w:rsidP="009465E0"/>
        </w:tc>
        <w:tc>
          <w:tcPr>
            <w:tcW w:w="1560" w:type="dxa"/>
            <w:shd w:val="clear" w:color="auto" w:fill="auto"/>
          </w:tcPr>
          <w:p w14:paraId="49D050C3" w14:textId="49921DCE" w:rsidR="00B33084" w:rsidRPr="00953F7D" w:rsidRDefault="00B33084" w:rsidP="0034612C">
            <w:pPr>
              <w:jc w:val="center"/>
            </w:pPr>
          </w:p>
        </w:tc>
        <w:tc>
          <w:tcPr>
            <w:tcW w:w="1417" w:type="dxa"/>
          </w:tcPr>
          <w:p w14:paraId="49D050C4" w14:textId="77777777" w:rsidR="00B33084" w:rsidRPr="00953F7D" w:rsidRDefault="00B33084" w:rsidP="009465E0"/>
        </w:tc>
        <w:tc>
          <w:tcPr>
            <w:tcW w:w="3260" w:type="dxa"/>
          </w:tcPr>
          <w:p w14:paraId="49D050C5" w14:textId="21F4ECB9" w:rsidR="00B33084" w:rsidRPr="00953F7D" w:rsidRDefault="008263C9" w:rsidP="009465E0">
            <w:pPr>
              <w:jc w:val="center"/>
              <w:rPr>
                <w:rStyle w:val="st1"/>
                <w:rFonts w:ascii="MS Mincho" w:eastAsia="MS Mincho" w:hAnsi="MS Mincho" w:cs="MS Mincho"/>
              </w:rPr>
            </w:pPr>
            <w:r w:rsidRPr="00953F7D">
              <w:rPr>
                <w:rStyle w:val="st1"/>
                <w:rFonts w:ascii="MS Mincho" w:eastAsia="MS Mincho" w:hAnsi="MS Mincho" w:cs="MS Mincho" w:hint="eastAsia"/>
              </w:rPr>
              <w:t>✓</w:t>
            </w:r>
          </w:p>
        </w:tc>
        <w:tc>
          <w:tcPr>
            <w:tcW w:w="1843" w:type="dxa"/>
          </w:tcPr>
          <w:p w14:paraId="49D050C6" w14:textId="77777777" w:rsidR="00B33084" w:rsidRPr="00953F7D" w:rsidRDefault="00B33084" w:rsidP="009465E0"/>
        </w:tc>
      </w:tr>
      <w:tr w:rsidR="00266C95" w:rsidRPr="00953F7D" w14:paraId="49D050C9" w14:textId="77777777" w:rsidTr="009465E0">
        <w:tc>
          <w:tcPr>
            <w:tcW w:w="13892" w:type="dxa"/>
            <w:gridSpan w:val="6"/>
            <w:shd w:val="clear" w:color="auto" w:fill="D9D9D9" w:themeFill="background1" w:themeFillShade="D9"/>
          </w:tcPr>
          <w:p w14:paraId="49D050C8" w14:textId="77777777" w:rsidR="00266C95" w:rsidRPr="00953F7D" w:rsidRDefault="00266C95" w:rsidP="009465E0">
            <w:r w:rsidRPr="00953F7D">
              <w:t>Remuneration disclosures</w:t>
            </w:r>
          </w:p>
        </w:tc>
      </w:tr>
      <w:tr w:rsidR="00266C95" w:rsidRPr="00953F7D" w14:paraId="49D050D0" w14:textId="77777777" w:rsidTr="009465E0">
        <w:tc>
          <w:tcPr>
            <w:tcW w:w="4395" w:type="dxa"/>
          </w:tcPr>
          <w:p w14:paraId="49D050CA" w14:textId="77777777" w:rsidR="00266C95" w:rsidRPr="00953F7D" w:rsidRDefault="00266C95" w:rsidP="009465E0">
            <w:r w:rsidRPr="00953F7D">
              <w:t>Attachment G – Remuneration</w:t>
            </w:r>
          </w:p>
        </w:tc>
        <w:tc>
          <w:tcPr>
            <w:tcW w:w="1417" w:type="dxa"/>
          </w:tcPr>
          <w:p w14:paraId="49D050CB" w14:textId="77777777" w:rsidR="00266C95" w:rsidRPr="00953F7D" w:rsidRDefault="00266C95" w:rsidP="009465E0"/>
        </w:tc>
        <w:tc>
          <w:tcPr>
            <w:tcW w:w="1560" w:type="dxa"/>
          </w:tcPr>
          <w:p w14:paraId="49D050CC" w14:textId="77777777" w:rsidR="00266C95" w:rsidRPr="00953F7D" w:rsidRDefault="00266C95" w:rsidP="009465E0">
            <w:pPr>
              <w:jc w:val="center"/>
            </w:pPr>
          </w:p>
        </w:tc>
        <w:tc>
          <w:tcPr>
            <w:tcW w:w="1417" w:type="dxa"/>
          </w:tcPr>
          <w:p w14:paraId="49D050CD" w14:textId="77777777" w:rsidR="00266C95" w:rsidRPr="00953F7D" w:rsidRDefault="00266C95" w:rsidP="009465E0">
            <w:pPr>
              <w:jc w:val="center"/>
            </w:pPr>
            <w:r w:rsidRPr="00953F7D">
              <w:rPr>
                <w:rStyle w:val="st1"/>
                <w:rFonts w:ascii="MS Mincho" w:eastAsia="MS Mincho" w:hAnsi="MS Mincho" w:cs="MS Mincho" w:hint="eastAsia"/>
              </w:rPr>
              <w:t>✓</w:t>
            </w:r>
          </w:p>
        </w:tc>
        <w:tc>
          <w:tcPr>
            <w:tcW w:w="3260" w:type="dxa"/>
          </w:tcPr>
          <w:p w14:paraId="49D050CE" w14:textId="77777777" w:rsidR="00266C95" w:rsidRPr="00953F7D" w:rsidRDefault="00266C95" w:rsidP="009465E0">
            <w:pPr>
              <w:rPr>
                <w:rStyle w:val="st1"/>
                <w:rFonts w:eastAsia="MS Gothic"/>
              </w:rPr>
            </w:pPr>
          </w:p>
        </w:tc>
        <w:tc>
          <w:tcPr>
            <w:tcW w:w="1843" w:type="dxa"/>
          </w:tcPr>
          <w:p w14:paraId="49D050CF" w14:textId="77777777" w:rsidR="00266C95" w:rsidRPr="00953F7D" w:rsidRDefault="00266C95" w:rsidP="009465E0">
            <w:pPr>
              <w:rPr>
                <w:rStyle w:val="st1"/>
                <w:rFonts w:eastAsia="MS Gothic"/>
              </w:rPr>
            </w:pPr>
          </w:p>
        </w:tc>
      </w:tr>
      <w:tr w:rsidR="00266C95" w:rsidRPr="00953F7D" w14:paraId="49D050D2" w14:textId="77777777" w:rsidTr="009465E0">
        <w:tc>
          <w:tcPr>
            <w:tcW w:w="13892" w:type="dxa"/>
            <w:gridSpan w:val="6"/>
            <w:shd w:val="clear" w:color="auto" w:fill="D9D9D9" w:themeFill="background1" w:themeFillShade="D9"/>
          </w:tcPr>
          <w:p w14:paraId="49D050D1" w14:textId="77777777" w:rsidR="00266C95" w:rsidRPr="00953F7D" w:rsidRDefault="00266C95" w:rsidP="009465E0">
            <w:r w:rsidRPr="00953F7D">
              <w:t>Disclosures for the identification of potential G-SIBs</w:t>
            </w:r>
          </w:p>
        </w:tc>
      </w:tr>
      <w:tr w:rsidR="00266C95" w:rsidRPr="00953F7D" w14:paraId="49D050D9" w14:textId="77777777" w:rsidTr="009465E0">
        <w:tc>
          <w:tcPr>
            <w:tcW w:w="4395" w:type="dxa"/>
          </w:tcPr>
          <w:p w14:paraId="49D050D3" w14:textId="77777777" w:rsidR="00266C95" w:rsidRPr="00953F7D" w:rsidRDefault="00266C95" w:rsidP="00F74F2D">
            <w:pPr>
              <w:ind w:left="34" w:hanging="34"/>
            </w:pPr>
            <w:r w:rsidRPr="00953F7D">
              <w:t>Attachment H – Disclosures for the identification of potential G-SIBs template</w:t>
            </w:r>
          </w:p>
        </w:tc>
        <w:tc>
          <w:tcPr>
            <w:tcW w:w="1417" w:type="dxa"/>
          </w:tcPr>
          <w:p w14:paraId="49D050D4" w14:textId="77777777" w:rsidR="00266C95" w:rsidRPr="00953F7D" w:rsidRDefault="00266C95" w:rsidP="009465E0"/>
        </w:tc>
        <w:tc>
          <w:tcPr>
            <w:tcW w:w="1560" w:type="dxa"/>
          </w:tcPr>
          <w:p w14:paraId="49D050D5" w14:textId="77777777" w:rsidR="00266C95" w:rsidRPr="00953F7D" w:rsidRDefault="00266C95" w:rsidP="009465E0"/>
        </w:tc>
        <w:tc>
          <w:tcPr>
            <w:tcW w:w="1417" w:type="dxa"/>
          </w:tcPr>
          <w:p w14:paraId="49D050D6" w14:textId="77777777" w:rsidR="00266C95" w:rsidRPr="00953F7D" w:rsidRDefault="00266C95" w:rsidP="009465E0">
            <w:pPr>
              <w:jc w:val="center"/>
            </w:pPr>
            <w:r w:rsidRPr="00953F7D">
              <w:rPr>
                <w:rStyle w:val="st1"/>
                <w:rFonts w:ascii="MS Mincho" w:eastAsia="MS Mincho" w:hAnsi="MS Mincho" w:cs="MS Mincho" w:hint="eastAsia"/>
              </w:rPr>
              <w:t>✓</w:t>
            </w:r>
          </w:p>
        </w:tc>
        <w:tc>
          <w:tcPr>
            <w:tcW w:w="3260" w:type="dxa"/>
          </w:tcPr>
          <w:p w14:paraId="49D050D7" w14:textId="77777777" w:rsidR="00266C95" w:rsidRPr="00953F7D" w:rsidRDefault="00266C95" w:rsidP="009465E0">
            <w:pPr>
              <w:rPr>
                <w:rStyle w:val="st1"/>
                <w:rFonts w:eastAsia="MS Gothic"/>
              </w:rPr>
            </w:pPr>
          </w:p>
        </w:tc>
        <w:tc>
          <w:tcPr>
            <w:tcW w:w="1843" w:type="dxa"/>
          </w:tcPr>
          <w:p w14:paraId="49D050D8" w14:textId="77777777" w:rsidR="00266C95" w:rsidRPr="00953F7D" w:rsidRDefault="00266C95" w:rsidP="009465E0">
            <w:pPr>
              <w:rPr>
                <w:rStyle w:val="st1"/>
                <w:rFonts w:eastAsia="MS Gothic"/>
              </w:rPr>
            </w:pPr>
          </w:p>
        </w:tc>
      </w:tr>
    </w:tbl>
    <w:p w14:paraId="49D050DA" w14:textId="77777777" w:rsidR="00266C95" w:rsidRPr="00953F7D" w:rsidRDefault="00266C95" w:rsidP="00F74F2D"/>
    <w:p w14:paraId="49D050DB" w14:textId="3C70A6B3" w:rsidR="00D532B9" w:rsidRPr="00953F7D" w:rsidRDefault="00F74F2D" w:rsidP="00F74F2D">
      <w:r w:rsidRPr="00953F7D">
        <w:t xml:space="preserve">Table </w:t>
      </w:r>
      <w:r w:rsidR="00B33084">
        <w:t>25</w:t>
      </w:r>
      <w:r w:rsidRPr="00953F7D">
        <w:t>: Timing of disclosure requirements</w:t>
      </w:r>
    </w:p>
    <w:p w14:paraId="49D050DC" w14:textId="77777777" w:rsidR="00D532B9" w:rsidRPr="00953F7D" w:rsidRDefault="00D532B9" w:rsidP="00F74F2D">
      <w:pPr>
        <w:ind w:left="0" w:firstLine="0"/>
      </w:pPr>
    </w:p>
    <w:tbl>
      <w:tblPr>
        <w:tblStyle w:val="TableGrid"/>
        <w:tblW w:w="13858" w:type="dxa"/>
        <w:tblLayout w:type="fixed"/>
        <w:tblLook w:val="04A0" w:firstRow="1" w:lastRow="0" w:firstColumn="1" w:lastColumn="0" w:noHBand="0" w:noVBand="1"/>
      </w:tblPr>
      <w:tblGrid>
        <w:gridCol w:w="4361"/>
        <w:gridCol w:w="2693"/>
        <w:gridCol w:w="2835"/>
        <w:gridCol w:w="2268"/>
        <w:gridCol w:w="1701"/>
      </w:tblGrid>
      <w:tr w:rsidR="00D532B9" w:rsidRPr="00953F7D" w14:paraId="49D050E2" w14:textId="77777777" w:rsidTr="00D11E4D">
        <w:trPr>
          <w:trHeight w:val="998"/>
          <w:tblHeader/>
        </w:trPr>
        <w:tc>
          <w:tcPr>
            <w:tcW w:w="4361" w:type="dxa"/>
          </w:tcPr>
          <w:p w14:paraId="49D050DD" w14:textId="77777777" w:rsidR="00D532B9" w:rsidRPr="00953F7D" w:rsidRDefault="00D532B9" w:rsidP="009465E0">
            <w:pPr>
              <w:rPr>
                <w:b/>
              </w:rPr>
            </w:pPr>
          </w:p>
        </w:tc>
        <w:tc>
          <w:tcPr>
            <w:tcW w:w="2693" w:type="dxa"/>
          </w:tcPr>
          <w:p w14:paraId="49D050DE" w14:textId="77777777" w:rsidR="00D532B9" w:rsidRPr="00953F7D" w:rsidRDefault="00D532B9" w:rsidP="00F74F2D">
            <w:pPr>
              <w:ind w:left="0" w:firstLine="0"/>
              <w:rPr>
                <w:b/>
              </w:rPr>
            </w:pPr>
            <w:r w:rsidRPr="00953F7D">
              <w:rPr>
                <w:b/>
              </w:rPr>
              <w:t>Concurrently with the lodgement of an ADI’s financial reports under the Corporations Act</w:t>
            </w:r>
          </w:p>
        </w:tc>
        <w:tc>
          <w:tcPr>
            <w:tcW w:w="2835" w:type="dxa"/>
          </w:tcPr>
          <w:p w14:paraId="49D050DF" w14:textId="77777777" w:rsidR="00D532B9" w:rsidRPr="00953F7D" w:rsidRDefault="00D532B9" w:rsidP="00F74F2D">
            <w:pPr>
              <w:ind w:left="34" w:hanging="34"/>
              <w:rPr>
                <w:b/>
              </w:rPr>
            </w:pPr>
            <w:r w:rsidRPr="00953F7D">
              <w:rPr>
                <w:b/>
                <w:bCs/>
                <w:iCs/>
              </w:rPr>
              <w:t>Within three months of lodgement of an ADI’s annual financial report under the Corporations Act</w:t>
            </w:r>
          </w:p>
        </w:tc>
        <w:tc>
          <w:tcPr>
            <w:tcW w:w="2268" w:type="dxa"/>
          </w:tcPr>
          <w:p w14:paraId="49D050E0" w14:textId="77777777" w:rsidR="00D532B9" w:rsidRPr="00953F7D" w:rsidRDefault="00D532B9" w:rsidP="0009557B">
            <w:pPr>
              <w:ind w:left="34" w:hanging="34"/>
              <w:rPr>
                <w:b/>
              </w:rPr>
            </w:pPr>
            <w:r w:rsidRPr="00953F7D">
              <w:rPr>
                <w:b/>
                <w:bCs/>
                <w:iCs/>
              </w:rPr>
              <w:t xml:space="preserve">Not later than </w:t>
            </w:r>
            <w:r w:rsidR="0009557B" w:rsidRPr="00953F7D">
              <w:rPr>
                <w:b/>
                <w:bCs/>
                <w:iCs/>
              </w:rPr>
              <w:t>31 July following</w:t>
            </w:r>
            <w:r w:rsidRPr="00953F7D">
              <w:rPr>
                <w:b/>
                <w:bCs/>
                <w:iCs/>
              </w:rPr>
              <w:t xml:space="preserve"> the date on which the indicators are based</w:t>
            </w:r>
          </w:p>
        </w:tc>
        <w:tc>
          <w:tcPr>
            <w:tcW w:w="1701" w:type="dxa"/>
          </w:tcPr>
          <w:p w14:paraId="49D050E1" w14:textId="77777777" w:rsidR="00D532B9" w:rsidRPr="00953F7D" w:rsidRDefault="00D532B9" w:rsidP="00F74F2D">
            <w:pPr>
              <w:ind w:left="34" w:hanging="34"/>
              <w:rPr>
                <w:b/>
              </w:rPr>
            </w:pPr>
            <w:r w:rsidRPr="00953F7D">
              <w:rPr>
                <w:b/>
              </w:rPr>
              <w:t>Continuously</w:t>
            </w:r>
          </w:p>
        </w:tc>
      </w:tr>
      <w:tr w:rsidR="00D532B9" w:rsidRPr="00953F7D" w14:paraId="49D050E4" w14:textId="77777777" w:rsidTr="009465E0">
        <w:trPr>
          <w:trHeight w:val="289"/>
        </w:trPr>
        <w:tc>
          <w:tcPr>
            <w:tcW w:w="13858" w:type="dxa"/>
            <w:gridSpan w:val="5"/>
            <w:shd w:val="clear" w:color="auto" w:fill="BFBFBF" w:themeFill="background1" w:themeFillShade="BF"/>
          </w:tcPr>
          <w:p w14:paraId="49D050E3" w14:textId="77777777" w:rsidR="00D532B9" w:rsidRPr="00953F7D" w:rsidRDefault="00D532B9" w:rsidP="009465E0">
            <w:pPr>
              <w:spacing w:line="288" w:lineRule="auto"/>
              <w:rPr>
                <w:rFonts w:eastAsiaTheme="minorHAnsi"/>
              </w:rPr>
            </w:pPr>
            <w:r w:rsidRPr="00953F7D">
              <w:t>Capital disclosures</w:t>
            </w:r>
          </w:p>
        </w:tc>
      </w:tr>
      <w:tr w:rsidR="00D532B9" w:rsidRPr="00953F7D" w14:paraId="49D050EA" w14:textId="77777777" w:rsidTr="00F74F2D">
        <w:trPr>
          <w:trHeight w:val="289"/>
        </w:trPr>
        <w:tc>
          <w:tcPr>
            <w:tcW w:w="4361" w:type="dxa"/>
          </w:tcPr>
          <w:p w14:paraId="49D050E5" w14:textId="77777777" w:rsidR="00D532B9" w:rsidRPr="00953F7D" w:rsidRDefault="00D532B9" w:rsidP="00F74F2D">
            <w:pPr>
              <w:ind w:left="0" w:firstLine="0"/>
            </w:pPr>
            <w:r w:rsidRPr="00953F7D">
              <w:t xml:space="preserve">Attachment A </w:t>
            </w:r>
            <w:r w:rsidR="006D4410" w:rsidRPr="00953F7D">
              <w:t>–</w:t>
            </w:r>
            <w:r w:rsidRPr="00953F7D">
              <w:t xml:space="preserve"> Capital disclosure template </w:t>
            </w:r>
          </w:p>
        </w:tc>
        <w:tc>
          <w:tcPr>
            <w:tcW w:w="2693" w:type="dxa"/>
          </w:tcPr>
          <w:p w14:paraId="49D050E6" w14:textId="77777777" w:rsidR="00D532B9" w:rsidRPr="00953F7D" w:rsidRDefault="00D532B9" w:rsidP="00F74F2D">
            <w:pPr>
              <w:ind w:left="0" w:firstLine="0"/>
              <w:jc w:val="center"/>
            </w:pPr>
            <w:r w:rsidRPr="00953F7D">
              <w:rPr>
                <w:rStyle w:val="st1"/>
                <w:rFonts w:ascii="MS Mincho" w:eastAsia="MS Mincho" w:hAnsi="MS Mincho" w:cs="MS Mincho" w:hint="eastAsia"/>
              </w:rPr>
              <w:t>✓</w:t>
            </w:r>
          </w:p>
        </w:tc>
        <w:tc>
          <w:tcPr>
            <w:tcW w:w="2835" w:type="dxa"/>
          </w:tcPr>
          <w:p w14:paraId="49D050E7" w14:textId="77777777" w:rsidR="00D532B9" w:rsidRPr="00953F7D" w:rsidRDefault="00D532B9" w:rsidP="00F74F2D">
            <w:pPr>
              <w:ind w:left="0" w:firstLine="0"/>
              <w:jc w:val="center"/>
            </w:pPr>
          </w:p>
        </w:tc>
        <w:tc>
          <w:tcPr>
            <w:tcW w:w="2268" w:type="dxa"/>
          </w:tcPr>
          <w:p w14:paraId="49D050E8" w14:textId="77777777" w:rsidR="00D532B9" w:rsidRPr="00953F7D" w:rsidRDefault="00D532B9" w:rsidP="00F74F2D">
            <w:pPr>
              <w:ind w:left="0" w:firstLine="0"/>
              <w:jc w:val="center"/>
            </w:pPr>
          </w:p>
        </w:tc>
        <w:tc>
          <w:tcPr>
            <w:tcW w:w="1701" w:type="dxa"/>
          </w:tcPr>
          <w:p w14:paraId="49D050E9" w14:textId="77777777" w:rsidR="00D532B9" w:rsidRPr="00953F7D" w:rsidRDefault="00D532B9" w:rsidP="00F74F2D">
            <w:pPr>
              <w:ind w:left="0" w:firstLine="0"/>
              <w:jc w:val="center"/>
            </w:pPr>
          </w:p>
        </w:tc>
      </w:tr>
      <w:tr w:rsidR="00D532B9" w:rsidRPr="00953F7D" w14:paraId="49D050F0" w14:textId="77777777" w:rsidTr="00F74F2D">
        <w:trPr>
          <w:trHeight w:val="439"/>
        </w:trPr>
        <w:tc>
          <w:tcPr>
            <w:tcW w:w="4361" w:type="dxa"/>
          </w:tcPr>
          <w:p w14:paraId="49D050EB" w14:textId="77777777" w:rsidR="00D532B9" w:rsidRPr="00953F7D" w:rsidRDefault="00D532B9" w:rsidP="00F74F2D">
            <w:pPr>
              <w:ind w:left="0" w:firstLine="0"/>
            </w:pPr>
            <w:r w:rsidRPr="00953F7D">
              <w:t xml:space="preserve">Attachment B </w:t>
            </w:r>
            <w:r w:rsidR="006D4410" w:rsidRPr="00953F7D">
              <w:t>–</w:t>
            </w:r>
            <w:r w:rsidRPr="00953F7D">
              <w:t xml:space="preserve"> Main features of capital instruments </w:t>
            </w:r>
          </w:p>
        </w:tc>
        <w:tc>
          <w:tcPr>
            <w:tcW w:w="2693" w:type="dxa"/>
          </w:tcPr>
          <w:p w14:paraId="49D050EC" w14:textId="77777777" w:rsidR="00D532B9" w:rsidRPr="00953F7D" w:rsidRDefault="00D532B9" w:rsidP="00F74F2D">
            <w:pPr>
              <w:ind w:left="0" w:firstLine="0"/>
              <w:jc w:val="center"/>
            </w:pPr>
          </w:p>
        </w:tc>
        <w:tc>
          <w:tcPr>
            <w:tcW w:w="2835" w:type="dxa"/>
          </w:tcPr>
          <w:p w14:paraId="49D050ED" w14:textId="77777777" w:rsidR="00D532B9" w:rsidRPr="00953F7D" w:rsidRDefault="00D532B9" w:rsidP="00F74F2D">
            <w:pPr>
              <w:ind w:left="0" w:firstLine="0"/>
              <w:jc w:val="center"/>
            </w:pPr>
          </w:p>
        </w:tc>
        <w:tc>
          <w:tcPr>
            <w:tcW w:w="2268" w:type="dxa"/>
          </w:tcPr>
          <w:p w14:paraId="49D050EE" w14:textId="77777777" w:rsidR="00D532B9" w:rsidRPr="00953F7D" w:rsidRDefault="00D532B9" w:rsidP="00F74F2D">
            <w:pPr>
              <w:ind w:left="0" w:firstLine="0"/>
              <w:jc w:val="center"/>
            </w:pPr>
          </w:p>
        </w:tc>
        <w:tc>
          <w:tcPr>
            <w:tcW w:w="1701" w:type="dxa"/>
          </w:tcPr>
          <w:p w14:paraId="49D050EF" w14:textId="77777777" w:rsidR="00D532B9" w:rsidRPr="00953F7D" w:rsidRDefault="00D532B9" w:rsidP="00F74F2D">
            <w:pPr>
              <w:ind w:left="0" w:firstLine="0"/>
              <w:jc w:val="center"/>
            </w:pPr>
            <w:r w:rsidRPr="00953F7D">
              <w:rPr>
                <w:rStyle w:val="st1"/>
                <w:rFonts w:ascii="MS Mincho" w:eastAsia="MS Mincho" w:hAnsi="MS Mincho" w:cs="MS Mincho" w:hint="eastAsia"/>
              </w:rPr>
              <w:t>✓</w:t>
            </w:r>
          </w:p>
        </w:tc>
      </w:tr>
      <w:tr w:rsidR="00D532B9" w:rsidRPr="00953F7D" w14:paraId="49D050F6" w14:textId="77777777" w:rsidTr="00F74F2D">
        <w:tc>
          <w:tcPr>
            <w:tcW w:w="4361" w:type="dxa"/>
          </w:tcPr>
          <w:p w14:paraId="49D050F1" w14:textId="77777777" w:rsidR="00D532B9" w:rsidRPr="00953F7D" w:rsidRDefault="00D532B9" w:rsidP="00F74F2D">
            <w:pPr>
              <w:ind w:left="0" w:firstLine="0"/>
            </w:pPr>
            <w:r w:rsidRPr="00953F7D">
              <w:t>Regulatory Capital reconciliation</w:t>
            </w:r>
          </w:p>
        </w:tc>
        <w:tc>
          <w:tcPr>
            <w:tcW w:w="2693" w:type="dxa"/>
          </w:tcPr>
          <w:p w14:paraId="49D050F2" w14:textId="77777777" w:rsidR="00D532B9" w:rsidRPr="00953F7D" w:rsidRDefault="00D532B9" w:rsidP="00F74F2D">
            <w:pPr>
              <w:ind w:left="0" w:firstLine="0"/>
              <w:jc w:val="center"/>
            </w:pPr>
            <w:r w:rsidRPr="00953F7D">
              <w:rPr>
                <w:rStyle w:val="st1"/>
                <w:rFonts w:ascii="MS Mincho" w:eastAsia="MS Mincho" w:hAnsi="MS Mincho" w:cs="MS Mincho" w:hint="eastAsia"/>
              </w:rPr>
              <w:t>✓</w:t>
            </w:r>
          </w:p>
        </w:tc>
        <w:tc>
          <w:tcPr>
            <w:tcW w:w="2835" w:type="dxa"/>
          </w:tcPr>
          <w:p w14:paraId="49D050F3" w14:textId="77777777" w:rsidR="00D532B9" w:rsidRPr="00953F7D" w:rsidRDefault="00D532B9" w:rsidP="00F74F2D">
            <w:pPr>
              <w:ind w:left="0" w:firstLine="0"/>
              <w:jc w:val="center"/>
            </w:pPr>
          </w:p>
        </w:tc>
        <w:tc>
          <w:tcPr>
            <w:tcW w:w="2268" w:type="dxa"/>
          </w:tcPr>
          <w:p w14:paraId="49D050F4" w14:textId="77777777" w:rsidR="00D532B9" w:rsidRPr="00953F7D" w:rsidRDefault="00D532B9" w:rsidP="00F74F2D">
            <w:pPr>
              <w:ind w:left="0" w:firstLine="0"/>
              <w:jc w:val="center"/>
            </w:pPr>
          </w:p>
        </w:tc>
        <w:tc>
          <w:tcPr>
            <w:tcW w:w="1701" w:type="dxa"/>
          </w:tcPr>
          <w:p w14:paraId="49D050F5" w14:textId="77777777" w:rsidR="00D532B9" w:rsidRPr="00953F7D" w:rsidRDefault="00D532B9" w:rsidP="00F74F2D">
            <w:pPr>
              <w:ind w:left="0" w:firstLine="0"/>
              <w:jc w:val="center"/>
            </w:pPr>
          </w:p>
        </w:tc>
      </w:tr>
      <w:tr w:rsidR="00D532B9" w:rsidRPr="00953F7D" w14:paraId="49D050F8" w14:textId="77777777" w:rsidTr="009465E0">
        <w:tc>
          <w:tcPr>
            <w:tcW w:w="13858" w:type="dxa"/>
            <w:gridSpan w:val="5"/>
            <w:shd w:val="clear" w:color="auto" w:fill="BFBFBF" w:themeFill="background1" w:themeFillShade="BF"/>
          </w:tcPr>
          <w:p w14:paraId="49D050F7" w14:textId="77777777" w:rsidR="00D532B9" w:rsidRPr="00953F7D" w:rsidRDefault="00D532B9" w:rsidP="00F74F2D">
            <w:pPr>
              <w:ind w:left="0" w:firstLine="0"/>
            </w:pPr>
            <w:r w:rsidRPr="00953F7D">
              <w:t>Risk exposure and assessment disclosures</w:t>
            </w:r>
          </w:p>
        </w:tc>
      </w:tr>
      <w:tr w:rsidR="00D532B9" w:rsidRPr="00953F7D" w14:paraId="49D050FE" w14:textId="77777777" w:rsidTr="00F74F2D">
        <w:tc>
          <w:tcPr>
            <w:tcW w:w="4361" w:type="dxa"/>
          </w:tcPr>
          <w:p w14:paraId="49D050F9" w14:textId="77777777" w:rsidR="00D532B9" w:rsidRPr="00953F7D" w:rsidRDefault="00D532B9" w:rsidP="00D532B9">
            <w:pPr>
              <w:ind w:left="0" w:firstLine="0"/>
            </w:pPr>
            <w:r w:rsidRPr="00953F7D">
              <w:t>Attachment C – Risk exposures and assessment (all ADIs)</w:t>
            </w:r>
          </w:p>
        </w:tc>
        <w:tc>
          <w:tcPr>
            <w:tcW w:w="2693" w:type="dxa"/>
          </w:tcPr>
          <w:p w14:paraId="49D050FA" w14:textId="77777777" w:rsidR="00D532B9" w:rsidRPr="00953F7D" w:rsidRDefault="00D532B9" w:rsidP="00D532B9">
            <w:pPr>
              <w:ind w:left="0" w:firstLine="0"/>
              <w:jc w:val="center"/>
            </w:pPr>
            <w:r w:rsidRPr="00953F7D">
              <w:rPr>
                <w:rStyle w:val="st1"/>
                <w:rFonts w:ascii="MS Mincho" w:eastAsia="MS Mincho" w:hAnsi="MS Mincho" w:cs="MS Mincho" w:hint="eastAsia"/>
              </w:rPr>
              <w:t>✓</w:t>
            </w:r>
            <w:bookmarkStart w:id="218" w:name="_Ref394933583"/>
            <w:r w:rsidRPr="00953F7D">
              <w:rPr>
                <w:rStyle w:val="FootnoteReference"/>
                <w:rFonts w:eastAsia="MS Gothic"/>
              </w:rPr>
              <w:footnoteReference w:id="68"/>
            </w:r>
            <w:bookmarkEnd w:id="218"/>
          </w:p>
        </w:tc>
        <w:tc>
          <w:tcPr>
            <w:tcW w:w="2835" w:type="dxa"/>
          </w:tcPr>
          <w:p w14:paraId="49D050FB" w14:textId="77777777" w:rsidR="00D532B9" w:rsidRPr="00953F7D" w:rsidRDefault="00D532B9" w:rsidP="00D532B9">
            <w:pPr>
              <w:ind w:left="0" w:firstLine="0"/>
            </w:pPr>
          </w:p>
        </w:tc>
        <w:tc>
          <w:tcPr>
            <w:tcW w:w="2268" w:type="dxa"/>
          </w:tcPr>
          <w:p w14:paraId="49D050FC" w14:textId="77777777" w:rsidR="00D532B9" w:rsidRPr="00953F7D" w:rsidRDefault="00D532B9" w:rsidP="00D532B9">
            <w:pPr>
              <w:ind w:left="0" w:firstLine="0"/>
            </w:pPr>
          </w:p>
        </w:tc>
        <w:tc>
          <w:tcPr>
            <w:tcW w:w="1701" w:type="dxa"/>
          </w:tcPr>
          <w:p w14:paraId="49D050FD" w14:textId="77777777" w:rsidR="00D532B9" w:rsidRPr="00953F7D" w:rsidRDefault="00D532B9" w:rsidP="00D532B9">
            <w:pPr>
              <w:ind w:left="0" w:firstLine="0"/>
            </w:pPr>
          </w:p>
        </w:tc>
      </w:tr>
      <w:tr w:rsidR="00D532B9" w:rsidRPr="00953F7D" w14:paraId="49D05104" w14:textId="77777777" w:rsidTr="00F74F2D">
        <w:trPr>
          <w:trHeight w:val="274"/>
        </w:trPr>
        <w:tc>
          <w:tcPr>
            <w:tcW w:w="4361" w:type="dxa"/>
          </w:tcPr>
          <w:p w14:paraId="49D050FF" w14:textId="77777777" w:rsidR="00D532B9" w:rsidRPr="00953F7D" w:rsidRDefault="00D532B9" w:rsidP="00D532B9">
            <w:pPr>
              <w:ind w:left="0" w:firstLine="0"/>
            </w:pPr>
            <w:r w:rsidRPr="00953F7D">
              <w:t>Attachment D – Risk exposures and assessment (ADIs with IRB and AMA approval)</w:t>
            </w:r>
          </w:p>
        </w:tc>
        <w:tc>
          <w:tcPr>
            <w:tcW w:w="2693" w:type="dxa"/>
          </w:tcPr>
          <w:p w14:paraId="49D05100" w14:textId="77777777" w:rsidR="00D532B9" w:rsidRPr="00953F7D" w:rsidRDefault="00D532B9" w:rsidP="00D532B9">
            <w:pPr>
              <w:ind w:left="0" w:firstLine="0"/>
              <w:jc w:val="center"/>
            </w:pPr>
            <w:r w:rsidRPr="00953F7D">
              <w:rPr>
                <w:rStyle w:val="st1"/>
                <w:rFonts w:ascii="MS Mincho" w:eastAsia="MS Mincho" w:hAnsi="MS Mincho" w:cs="MS Mincho" w:hint="eastAsia"/>
              </w:rPr>
              <w:t>✓</w:t>
            </w:r>
          </w:p>
        </w:tc>
        <w:tc>
          <w:tcPr>
            <w:tcW w:w="2835" w:type="dxa"/>
          </w:tcPr>
          <w:p w14:paraId="49D05101" w14:textId="77777777" w:rsidR="00D532B9" w:rsidRPr="00953F7D" w:rsidRDefault="00D532B9" w:rsidP="00D532B9">
            <w:pPr>
              <w:ind w:left="0" w:firstLine="0"/>
            </w:pPr>
          </w:p>
        </w:tc>
        <w:tc>
          <w:tcPr>
            <w:tcW w:w="2268" w:type="dxa"/>
          </w:tcPr>
          <w:p w14:paraId="49D05102" w14:textId="77777777" w:rsidR="00D532B9" w:rsidRPr="00953F7D" w:rsidRDefault="00D532B9" w:rsidP="00D532B9">
            <w:pPr>
              <w:ind w:left="0" w:firstLine="0"/>
            </w:pPr>
          </w:p>
        </w:tc>
        <w:tc>
          <w:tcPr>
            <w:tcW w:w="1701" w:type="dxa"/>
          </w:tcPr>
          <w:p w14:paraId="49D05103" w14:textId="77777777" w:rsidR="00D532B9" w:rsidRPr="00953F7D" w:rsidRDefault="00D532B9" w:rsidP="00D532B9">
            <w:pPr>
              <w:ind w:left="0" w:firstLine="0"/>
            </w:pPr>
          </w:p>
        </w:tc>
      </w:tr>
      <w:tr w:rsidR="00D532B9" w:rsidRPr="00953F7D" w14:paraId="49D05106" w14:textId="77777777" w:rsidTr="009465E0">
        <w:tc>
          <w:tcPr>
            <w:tcW w:w="13858" w:type="dxa"/>
            <w:gridSpan w:val="5"/>
            <w:shd w:val="clear" w:color="auto" w:fill="BFBFBF" w:themeFill="background1" w:themeFillShade="BF"/>
          </w:tcPr>
          <w:p w14:paraId="49D05105" w14:textId="77777777" w:rsidR="00D532B9" w:rsidRPr="00953F7D" w:rsidRDefault="00D532B9" w:rsidP="009F2B7D">
            <w:pPr>
              <w:ind w:left="0" w:firstLine="0"/>
            </w:pPr>
            <w:r w:rsidRPr="00953F7D">
              <w:t xml:space="preserve">Leverage </w:t>
            </w:r>
            <w:r w:rsidR="009F2B7D" w:rsidRPr="00953F7D">
              <w:t>r</w:t>
            </w:r>
            <w:r w:rsidRPr="00953F7D">
              <w:t>atio disclosures</w:t>
            </w:r>
          </w:p>
        </w:tc>
      </w:tr>
      <w:tr w:rsidR="00D532B9" w:rsidRPr="00953F7D" w14:paraId="49D0510C" w14:textId="77777777" w:rsidTr="00F74F2D">
        <w:tc>
          <w:tcPr>
            <w:tcW w:w="4361" w:type="dxa"/>
          </w:tcPr>
          <w:p w14:paraId="49D05107" w14:textId="77777777" w:rsidR="00D532B9" w:rsidRPr="00953F7D" w:rsidRDefault="00D532B9" w:rsidP="00D532B9">
            <w:pPr>
              <w:ind w:left="0" w:firstLine="0"/>
            </w:pPr>
            <w:r w:rsidRPr="00953F7D">
              <w:t xml:space="preserve">Attachment E </w:t>
            </w:r>
            <w:r w:rsidR="006D4410" w:rsidRPr="00953F7D">
              <w:t>–</w:t>
            </w:r>
            <w:r w:rsidRPr="00953F7D">
              <w:t xml:space="preserve"> Leverage ratio disclosure t</w:t>
            </w:r>
            <w:r w:rsidR="00343C36">
              <w:t>ables</w:t>
            </w:r>
          </w:p>
        </w:tc>
        <w:tc>
          <w:tcPr>
            <w:tcW w:w="2693" w:type="dxa"/>
            <w:shd w:val="clear" w:color="auto" w:fill="auto"/>
          </w:tcPr>
          <w:p w14:paraId="49D05108" w14:textId="77777777" w:rsidR="00D532B9" w:rsidRPr="00953F7D" w:rsidRDefault="00D532B9" w:rsidP="00265186">
            <w:pPr>
              <w:ind w:left="0" w:firstLine="0"/>
              <w:jc w:val="center"/>
              <w:rPr>
                <w:rFonts w:ascii="MS Mincho" w:eastAsia="MS Mincho" w:hAnsi="MS Mincho" w:cs="MS Mincho"/>
              </w:rPr>
            </w:pPr>
            <w:r w:rsidRPr="00953F7D">
              <w:rPr>
                <w:rStyle w:val="st1"/>
                <w:rFonts w:ascii="MS Mincho" w:eastAsia="MS Mincho" w:hAnsi="MS Mincho" w:cs="MS Mincho" w:hint="eastAsia"/>
              </w:rPr>
              <w:t>✓</w:t>
            </w:r>
          </w:p>
        </w:tc>
        <w:tc>
          <w:tcPr>
            <w:tcW w:w="2835" w:type="dxa"/>
          </w:tcPr>
          <w:p w14:paraId="49D05109" w14:textId="77777777" w:rsidR="00D532B9" w:rsidRPr="00953F7D" w:rsidRDefault="00D532B9" w:rsidP="00D532B9">
            <w:pPr>
              <w:ind w:left="0" w:firstLine="0"/>
            </w:pPr>
          </w:p>
        </w:tc>
        <w:tc>
          <w:tcPr>
            <w:tcW w:w="2268" w:type="dxa"/>
          </w:tcPr>
          <w:p w14:paraId="49D0510A" w14:textId="77777777" w:rsidR="00D532B9" w:rsidRPr="00953F7D" w:rsidRDefault="00D532B9" w:rsidP="00D532B9">
            <w:pPr>
              <w:ind w:left="0" w:firstLine="0"/>
            </w:pPr>
          </w:p>
        </w:tc>
        <w:tc>
          <w:tcPr>
            <w:tcW w:w="1701" w:type="dxa"/>
            <w:shd w:val="clear" w:color="auto" w:fill="auto"/>
          </w:tcPr>
          <w:p w14:paraId="49D0510B" w14:textId="77777777" w:rsidR="00D532B9" w:rsidRPr="00953F7D" w:rsidRDefault="00D532B9" w:rsidP="00D532B9">
            <w:pPr>
              <w:ind w:left="0" w:firstLine="0"/>
            </w:pPr>
          </w:p>
        </w:tc>
      </w:tr>
      <w:tr w:rsidR="00265186" w:rsidRPr="00953F7D" w14:paraId="49D05112" w14:textId="77777777" w:rsidTr="00F74F2D">
        <w:tc>
          <w:tcPr>
            <w:tcW w:w="4361" w:type="dxa"/>
          </w:tcPr>
          <w:p w14:paraId="49D0510D" w14:textId="668C2D2A" w:rsidR="00265186" w:rsidRPr="00953F7D" w:rsidRDefault="00265186" w:rsidP="009E70BC">
            <w:pPr>
              <w:ind w:left="0" w:firstLine="0"/>
            </w:pPr>
            <w:r w:rsidRPr="00953F7D">
              <w:t xml:space="preserve">Paragraph </w:t>
            </w:r>
            <w:r w:rsidR="00652A5A">
              <w:fldChar w:fldCharType="begin"/>
            </w:r>
            <w:r w:rsidR="00652A5A">
              <w:instrText xml:space="preserve"> REF _Ref387063899 \r \h </w:instrText>
            </w:r>
            <w:r w:rsidR="00652A5A">
              <w:fldChar w:fldCharType="separate"/>
            </w:r>
            <w:r w:rsidR="007D232B">
              <w:t>48</w:t>
            </w:r>
            <w:r w:rsidR="00652A5A">
              <w:fldChar w:fldCharType="end"/>
            </w:r>
            <w:r w:rsidRPr="00953F7D">
              <w:t xml:space="preserve"> – </w:t>
            </w:r>
            <w:r w:rsidR="00662193" w:rsidRPr="00953F7D">
              <w:t>Tier 1 Capital, Total exposures and leverage ratio</w:t>
            </w:r>
          </w:p>
        </w:tc>
        <w:tc>
          <w:tcPr>
            <w:tcW w:w="2693" w:type="dxa"/>
            <w:shd w:val="clear" w:color="auto" w:fill="auto"/>
          </w:tcPr>
          <w:p w14:paraId="49D0510E" w14:textId="77777777" w:rsidR="00265186" w:rsidRPr="00953F7D" w:rsidRDefault="00265186" w:rsidP="00D532B9">
            <w:pPr>
              <w:ind w:left="0" w:firstLine="0"/>
              <w:jc w:val="center"/>
              <w:rPr>
                <w:rStyle w:val="st1"/>
                <w:rFonts w:ascii="MS Mincho" w:eastAsia="MS Mincho" w:hAnsi="MS Mincho" w:cs="MS Mincho"/>
              </w:rPr>
            </w:pPr>
            <w:r w:rsidRPr="00953F7D">
              <w:rPr>
                <w:rStyle w:val="st1"/>
                <w:rFonts w:ascii="MS Mincho" w:eastAsia="MS Mincho" w:hAnsi="MS Mincho" w:cs="MS Mincho" w:hint="eastAsia"/>
              </w:rPr>
              <w:t>✓</w:t>
            </w:r>
            <w:r w:rsidR="00662B58" w:rsidRPr="00FE34A9">
              <w:rPr>
                <w:rStyle w:val="FootnoteReference"/>
                <w:rFonts w:eastAsia="MS Mincho"/>
              </w:rPr>
              <w:footnoteReference w:id="69"/>
            </w:r>
          </w:p>
        </w:tc>
        <w:tc>
          <w:tcPr>
            <w:tcW w:w="2835" w:type="dxa"/>
          </w:tcPr>
          <w:p w14:paraId="49D0510F" w14:textId="77777777" w:rsidR="00265186" w:rsidRPr="00953F7D" w:rsidRDefault="00265186" w:rsidP="00D532B9">
            <w:pPr>
              <w:ind w:left="0" w:firstLine="0"/>
            </w:pPr>
          </w:p>
        </w:tc>
        <w:tc>
          <w:tcPr>
            <w:tcW w:w="2268" w:type="dxa"/>
          </w:tcPr>
          <w:p w14:paraId="49D05110" w14:textId="77777777" w:rsidR="00265186" w:rsidRPr="00953F7D" w:rsidRDefault="00265186" w:rsidP="00D532B9">
            <w:pPr>
              <w:ind w:left="0" w:firstLine="0"/>
            </w:pPr>
          </w:p>
        </w:tc>
        <w:tc>
          <w:tcPr>
            <w:tcW w:w="1701" w:type="dxa"/>
            <w:shd w:val="clear" w:color="auto" w:fill="auto"/>
          </w:tcPr>
          <w:p w14:paraId="49D05111" w14:textId="77777777" w:rsidR="00265186" w:rsidRPr="00953F7D" w:rsidRDefault="00265186" w:rsidP="00D532B9">
            <w:pPr>
              <w:ind w:left="0" w:firstLine="0"/>
            </w:pPr>
          </w:p>
        </w:tc>
      </w:tr>
      <w:tr w:rsidR="00D532B9" w:rsidRPr="00953F7D" w14:paraId="49D05114" w14:textId="77777777" w:rsidTr="009465E0">
        <w:tc>
          <w:tcPr>
            <w:tcW w:w="13858" w:type="dxa"/>
            <w:gridSpan w:val="5"/>
            <w:shd w:val="clear" w:color="auto" w:fill="BFBFBF" w:themeFill="background1" w:themeFillShade="BF"/>
          </w:tcPr>
          <w:p w14:paraId="49D05113" w14:textId="4F1CFDA8" w:rsidR="00D532B9" w:rsidRPr="00953F7D" w:rsidRDefault="00D532B9" w:rsidP="00A139BA">
            <w:pPr>
              <w:ind w:left="0" w:firstLine="0"/>
            </w:pPr>
            <w:r w:rsidRPr="00953F7D">
              <w:t>Liquidity disclosures</w:t>
            </w:r>
          </w:p>
        </w:tc>
      </w:tr>
      <w:tr w:rsidR="00D532B9" w:rsidRPr="00953F7D" w14:paraId="49D0511A" w14:textId="77777777" w:rsidTr="00F74F2D">
        <w:tc>
          <w:tcPr>
            <w:tcW w:w="4361" w:type="dxa"/>
          </w:tcPr>
          <w:p w14:paraId="49D05115" w14:textId="6B2AF3F0" w:rsidR="00D532B9" w:rsidRPr="00422750" w:rsidRDefault="00441685" w:rsidP="00441685">
            <w:pPr>
              <w:ind w:left="0" w:firstLine="0"/>
            </w:pPr>
            <w:r w:rsidRPr="00422750">
              <w:t>Attachment F – Liquidity Coverage Ratio disclosure template</w:t>
            </w:r>
          </w:p>
        </w:tc>
        <w:tc>
          <w:tcPr>
            <w:tcW w:w="2693" w:type="dxa"/>
            <w:shd w:val="clear" w:color="auto" w:fill="auto"/>
          </w:tcPr>
          <w:p w14:paraId="49D05116" w14:textId="477389F3" w:rsidR="00D532B9" w:rsidRPr="00422750" w:rsidRDefault="00D532B9" w:rsidP="00D532B9">
            <w:pPr>
              <w:ind w:left="0" w:firstLine="0"/>
              <w:jc w:val="center"/>
            </w:pPr>
            <w:r w:rsidRPr="00422750">
              <w:rPr>
                <w:rStyle w:val="st1"/>
                <w:rFonts w:ascii="MS Mincho" w:eastAsia="MS Mincho" w:hAnsi="MS Mincho" w:cs="MS Mincho" w:hint="eastAsia"/>
              </w:rPr>
              <w:t>✓</w:t>
            </w:r>
            <w:r w:rsidR="00441685" w:rsidRPr="00422750">
              <w:rPr>
                <w:rStyle w:val="FootnoteReference"/>
                <w:rFonts w:eastAsia="MS Mincho"/>
              </w:rPr>
              <w:footnoteReference w:id="70"/>
            </w:r>
          </w:p>
        </w:tc>
        <w:tc>
          <w:tcPr>
            <w:tcW w:w="2835" w:type="dxa"/>
          </w:tcPr>
          <w:p w14:paraId="49D05117" w14:textId="77777777" w:rsidR="00D532B9" w:rsidRPr="00422750" w:rsidRDefault="00D532B9" w:rsidP="00D532B9">
            <w:pPr>
              <w:ind w:left="0" w:firstLine="0"/>
            </w:pPr>
          </w:p>
        </w:tc>
        <w:tc>
          <w:tcPr>
            <w:tcW w:w="2268" w:type="dxa"/>
          </w:tcPr>
          <w:p w14:paraId="49D05118" w14:textId="77777777" w:rsidR="00D532B9" w:rsidRPr="00422750" w:rsidRDefault="00D532B9" w:rsidP="00D532B9">
            <w:pPr>
              <w:ind w:left="0" w:firstLine="0"/>
            </w:pPr>
          </w:p>
        </w:tc>
        <w:tc>
          <w:tcPr>
            <w:tcW w:w="1701" w:type="dxa"/>
          </w:tcPr>
          <w:p w14:paraId="49D05119" w14:textId="77777777" w:rsidR="00D532B9" w:rsidRPr="00422750" w:rsidRDefault="00D532B9" w:rsidP="00D532B9">
            <w:pPr>
              <w:ind w:left="0" w:firstLine="0"/>
            </w:pPr>
          </w:p>
        </w:tc>
      </w:tr>
      <w:tr w:rsidR="00441685" w:rsidRPr="00953F7D" w14:paraId="1D178785" w14:textId="77777777" w:rsidTr="00F74F2D">
        <w:tc>
          <w:tcPr>
            <w:tcW w:w="4361" w:type="dxa"/>
          </w:tcPr>
          <w:p w14:paraId="426D7892" w14:textId="41D30638" w:rsidR="00441685" w:rsidRPr="00422750" w:rsidRDefault="00441685" w:rsidP="00441685">
            <w:pPr>
              <w:ind w:left="0" w:firstLine="0"/>
            </w:pPr>
            <w:r w:rsidRPr="00422750">
              <w:t>Attachment F – Net Stable Funding Ratio disclosure template</w:t>
            </w:r>
          </w:p>
        </w:tc>
        <w:tc>
          <w:tcPr>
            <w:tcW w:w="2693" w:type="dxa"/>
            <w:shd w:val="clear" w:color="auto" w:fill="auto"/>
          </w:tcPr>
          <w:p w14:paraId="7CB75007" w14:textId="59AB39CA" w:rsidR="00441685" w:rsidRPr="00422750" w:rsidRDefault="00441685" w:rsidP="00D532B9">
            <w:pPr>
              <w:ind w:left="0" w:firstLine="0"/>
              <w:jc w:val="center"/>
              <w:rPr>
                <w:rStyle w:val="st1"/>
                <w:rFonts w:ascii="MS Mincho" w:eastAsia="MS Mincho" w:hAnsi="MS Mincho" w:cs="MS Mincho"/>
              </w:rPr>
            </w:pPr>
            <w:r w:rsidRPr="00422750">
              <w:rPr>
                <w:rStyle w:val="st1"/>
                <w:rFonts w:ascii="MS Mincho" w:eastAsia="MS Mincho" w:hAnsi="MS Mincho" w:cs="MS Mincho" w:hint="eastAsia"/>
              </w:rPr>
              <w:t>✓</w:t>
            </w:r>
            <w:r w:rsidRPr="00422750">
              <w:rPr>
                <w:rStyle w:val="FootnoteReference"/>
                <w:rFonts w:eastAsia="MS Mincho"/>
              </w:rPr>
              <w:footnoteReference w:id="71"/>
            </w:r>
          </w:p>
        </w:tc>
        <w:tc>
          <w:tcPr>
            <w:tcW w:w="2835" w:type="dxa"/>
          </w:tcPr>
          <w:p w14:paraId="1F861854" w14:textId="77777777" w:rsidR="00441685" w:rsidRPr="00422750" w:rsidRDefault="00441685" w:rsidP="00D532B9">
            <w:pPr>
              <w:ind w:left="0" w:firstLine="0"/>
            </w:pPr>
          </w:p>
        </w:tc>
        <w:tc>
          <w:tcPr>
            <w:tcW w:w="2268" w:type="dxa"/>
          </w:tcPr>
          <w:p w14:paraId="766004B0" w14:textId="77777777" w:rsidR="00441685" w:rsidRPr="00422750" w:rsidRDefault="00441685" w:rsidP="00D532B9">
            <w:pPr>
              <w:ind w:left="0" w:firstLine="0"/>
            </w:pPr>
          </w:p>
        </w:tc>
        <w:tc>
          <w:tcPr>
            <w:tcW w:w="1701" w:type="dxa"/>
          </w:tcPr>
          <w:p w14:paraId="5CA0BA4A" w14:textId="77777777" w:rsidR="00441685" w:rsidRPr="00422750" w:rsidRDefault="00441685" w:rsidP="00D532B9">
            <w:pPr>
              <w:ind w:left="0" w:firstLine="0"/>
            </w:pPr>
          </w:p>
        </w:tc>
      </w:tr>
      <w:tr w:rsidR="00D532B9" w:rsidRPr="00953F7D" w14:paraId="49D0511C" w14:textId="77777777" w:rsidTr="009465E0">
        <w:trPr>
          <w:trHeight w:val="265"/>
        </w:trPr>
        <w:tc>
          <w:tcPr>
            <w:tcW w:w="13858" w:type="dxa"/>
            <w:gridSpan w:val="5"/>
            <w:shd w:val="clear" w:color="auto" w:fill="BFBFBF" w:themeFill="background1" w:themeFillShade="BF"/>
          </w:tcPr>
          <w:p w14:paraId="49D0511B" w14:textId="77777777" w:rsidR="00D532B9" w:rsidRPr="00953F7D" w:rsidRDefault="00D532B9" w:rsidP="00D532B9">
            <w:pPr>
              <w:spacing w:line="288" w:lineRule="auto"/>
              <w:ind w:left="0" w:firstLine="0"/>
              <w:rPr>
                <w:rFonts w:eastAsiaTheme="minorHAnsi"/>
              </w:rPr>
            </w:pPr>
            <w:r w:rsidRPr="00953F7D">
              <w:t>Remuneration disclosures</w:t>
            </w:r>
          </w:p>
        </w:tc>
      </w:tr>
      <w:tr w:rsidR="00D532B9" w:rsidRPr="00953F7D" w14:paraId="49D05122" w14:textId="77777777" w:rsidTr="00F74F2D">
        <w:trPr>
          <w:trHeight w:val="265"/>
        </w:trPr>
        <w:tc>
          <w:tcPr>
            <w:tcW w:w="4361" w:type="dxa"/>
          </w:tcPr>
          <w:p w14:paraId="49D0511D" w14:textId="77777777" w:rsidR="00D532B9" w:rsidRPr="00953F7D" w:rsidRDefault="00D532B9" w:rsidP="00D532B9">
            <w:pPr>
              <w:ind w:left="0" w:firstLine="0"/>
            </w:pPr>
            <w:r w:rsidRPr="00953F7D">
              <w:t xml:space="preserve">Attachment G – Remuneration </w:t>
            </w:r>
          </w:p>
        </w:tc>
        <w:tc>
          <w:tcPr>
            <w:tcW w:w="2693" w:type="dxa"/>
          </w:tcPr>
          <w:p w14:paraId="49D0511E" w14:textId="77777777" w:rsidR="00D532B9" w:rsidRPr="00953F7D" w:rsidRDefault="00D532B9" w:rsidP="00D532B9">
            <w:pPr>
              <w:ind w:left="0" w:firstLine="0"/>
            </w:pPr>
          </w:p>
        </w:tc>
        <w:tc>
          <w:tcPr>
            <w:tcW w:w="2835" w:type="dxa"/>
          </w:tcPr>
          <w:p w14:paraId="49D0511F" w14:textId="77777777" w:rsidR="00D532B9" w:rsidRPr="00953F7D" w:rsidRDefault="00D532B9" w:rsidP="00D532B9">
            <w:pPr>
              <w:ind w:left="0" w:firstLine="0"/>
              <w:jc w:val="center"/>
            </w:pPr>
            <w:r w:rsidRPr="00953F7D">
              <w:rPr>
                <w:rStyle w:val="st1"/>
                <w:rFonts w:ascii="MS Mincho" w:eastAsia="MS Mincho" w:hAnsi="MS Mincho" w:cs="MS Mincho" w:hint="eastAsia"/>
              </w:rPr>
              <w:t>✓</w:t>
            </w:r>
          </w:p>
        </w:tc>
        <w:tc>
          <w:tcPr>
            <w:tcW w:w="2268" w:type="dxa"/>
          </w:tcPr>
          <w:p w14:paraId="49D05120" w14:textId="77777777" w:rsidR="00D532B9" w:rsidRPr="00953F7D" w:rsidRDefault="00D532B9" w:rsidP="00D532B9">
            <w:pPr>
              <w:ind w:left="0" w:firstLine="0"/>
            </w:pPr>
          </w:p>
        </w:tc>
        <w:tc>
          <w:tcPr>
            <w:tcW w:w="1701" w:type="dxa"/>
          </w:tcPr>
          <w:p w14:paraId="49D05121" w14:textId="77777777" w:rsidR="00D532B9" w:rsidRPr="00953F7D" w:rsidRDefault="00D532B9" w:rsidP="00D532B9">
            <w:pPr>
              <w:ind w:left="0" w:firstLine="0"/>
            </w:pPr>
          </w:p>
        </w:tc>
      </w:tr>
      <w:tr w:rsidR="00D532B9" w:rsidRPr="00953F7D" w14:paraId="49D05124" w14:textId="77777777" w:rsidTr="009465E0">
        <w:tc>
          <w:tcPr>
            <w:tcW w:w="13858" w:type="dxa"/>
            <w:gridSpan w:val="5"/>
            <w:shd w:val="clear" w:color="auto" w:fill="BFBFBF" w:themeFill="background1" w:themeFillShade="BF"/>
          </w:tcPr>
          <w:p w14:paraId="49D05123" w14:textId="77777777" w:rsidR="00D532B9" w:rsidRPr="00953F7D" w:rsidRDefault="00D532B9" w:rsidP="00D532B9">
            <w:pPr>
              <w:ind w:left="0" w:firstLine="0"/>
            </w:pPr>
            <w:r w:rsidRPr="00953F7D">
              <w:t>Disclosures for the identification of potential G-SIBs</w:t>
            </w:r>
          </w:p>
        </w:tc>
      </w:tr>
      <w:tr w:rsidR="00D532B9" w:rsidRPr="00F74F2D" w14:paraId="49D0512A" w14:textId="77777777" w:rsidTr="00F74F2D">
        <w:tc>
          <w:tcPr>
            <w:tcW w:w="4361" w:type="dxa"/>
          </w:tcPr>
          <w:p w14:paraId="49D05125" w14:textId="77777777" w:rsidR="00D532B9" w:rsidRPr="00953F7D" w:rsidRDefault="00D532B9" w:rsidP="00D532B9">
            <w:pPr>
              <w:ind w:left="0" w:firstLine="0"/>
            </w:pPr>
            <w:r w:rsidRPr="00953F7D">
              <w:t>Attachment H – Disclosures for the identification of potential G-SIBs template</w:t>
            </w:r>
          </w:p>
        </w:tc>
        <w:tc>
          <w:tcPr>
            <w:tcW w:w="2693" w:type="dxa"/>
          </w:tcPr>
          <w:p w14:paraId="49D05126" w14:textId="77777777" w:rsidR="00D532B9" w:rsidRPr="00953F7D" w:rsidRDefault="00D532B9" w:rsidP="00D532B9">
            <w:pPr>
              <w:ind w:left="0" w:firstLine="0"/>
            </w:pPr>
          </w:p>
        </w:tc>
        <w:tc>
          <w:tcPr>
            <w:tcW w:w="2835" w:type="dxa"/>
          </w:tcPr>
          <w:p w14:paraId="49D05127" w14:textId="77777777" w:rsidR="00D532B9" w:rsidRPr="00953F7D" w:rsidRDefault="00D532B9" w:rsidP="00D532B9">
            <w:pPr>
              <w:ind w:left="0" w:firstLine="0"/>
            </w:pPr>
          </w:p>
        </w:tc>
        <w:tc>
          <w:tcPr>
            <w:tcW w:w="2268" w:type="dxa"/>
          </w:tcPr>
          <w:p w14:paraId="49D05128" w14:textId="77777777" w:rsidR="00D532B9" w:rsidRPr="00F74F2D" w:rsidRDefault="00D532B9" w:rsidP="00D532B9">
            <w:pPr>
              <w:ind w:left="0" w:firstLine="0"/>
              <w:jc w:val="center"/>
            </w:pPr>
            <w:r w:rsidRPr="00953F7D">
              <w:rPr>
                <w:rStyle w:val="st1"/>
                <w:rFonts w:ascii="MS Mincho" w:eastAsia="MS Mincho" w:hAnsi="MS Mincho" w:cs="MS Mincho" w:hint="eastAsia"/>
              </w:rPr>
              <w:t>✓</w:t>
            </w:r>
          </w:p>
        </w:tc>
        <w:tc>
          <w:tcPr>
            <w:tcW w:w="1701" w:type="dxa"/>
          </w:tcPr>
          <w:p w14:paraId="49D05129" w14:textId="77777777" w:rsidR="00D532B9" w:rsidRPr="00F74F2D" w:rsidRDefault="00D532B9" w:rsidP="00D532B9">
            <w:pPr>
              <w:ind w:left="0" w:firstLine="0"/>
            </w:pPr>
          </w:p>
        </w:tc>
      </w:tr>
    </w:tbl>
    <w:p w14:paraId="49D0512B" w14:textId="77777777" w:rsidR="00266C95" w:rsidRPr="00F74F2D" w:rsidRDefault="00266C95" w:rsidP="00052AAB">
      <w:pPr>
        <w:ind w:left="0" w:firstLine="0"/>
      </w:pPr>
    </w:p>
    <w:sectPr w:rsidR="00266C95" w:rsidRPr="00F74F2D" w:rsidSect="008D3C2B">
      <w:footerReference w:type="default" r:id="rId34"/>
      <w:footerReference w:type="first" r:id="rId35"/>
      <w:pgSz w:w="16838" w:h="11906" w:orient="landscape"/>
      <w:pgMar w:top="1797" w:right="1440" w:bottom="1797"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7D6B4D" w14:textId="77777777" w:rsidR="00DD6B6C" w:rsidRDefault="00DD6B6C" w:rsidP="000F4E93">
      <w:r>
        <w:separator/>
      </w:r>
    </w:p>
  </w:endnote>
  <w:endnote w:type="continuationSeparator" w:id="0">
    <w:p w14:paraId="6A4873AB" w14:textId="77777777" w:rsidR="00DD6B6C" w:rsidRDefault="00DD6B6C" w:rsidP="000F4E93">
      <w:r>
        <w:continuationSeparator/>
      </w:r>
    </w:p>
  </w:endnote>
  <w:endnote w:type="continuationNotice" w:id="1">
    <w:p w14:paraId="6D7D316C" w14:textId="77777777" w:rsidR="00DD6B6C" w:rsidRDefault="00DD6B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IN OT Light">
    <w:panose1 w:val="020B0504020201010104"/>
    <w:charset w:val="00"/>
    <w:family w:val="swiss"/>
    <w:pitch w:val="variable"/>
    <w:sig w:usb0="800000EF" w:usb1="4000A47B"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05133" w14:textId="4A65CAD4" w:rsidR="00DD6B6C" w:rsidRPr="00446A26" w:rsidRDefault="00DD6B6C" w:rsidP="00446A26">
    <w:pPr>
      <w:pStyle w:val="Footer"/>
      <w:jc w:val="right"/>
      <w:rPr>
        <w:b/>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0513B" w14:textId="77777777" w:rsidR="00DD6B6C" w:rsidRPr="00EA2BCC" w:rsidRDefault="00DD6B6C" w:rsidP="00EA2BCC">
    <w:pPr>
      <w:pStyle w:val="Footer"/>
      <w:ind w:right="32"/>
      <w:jc w:val="right"/>
      <w:rPr>
        <w:b/>
      </w:rPr>
    </w:pPr>
    <w:r w:rsidRPr="00EA2BCC">
      <w:rPr>
        <w:b/>
      </w:rPr>
      <w:t>APS 330</w:t>
    </w:r>
    <w:r>
      <w:rPr>
        <w:b/>
      </w:rPr>
      <w:t xml:space="preserve"> Attachment D</w:t>
    </w:r>
    <w:r w:rsidRPr="00EA2BCC">
      <w:rPr>
        <w:b/>
      </w:rPr>
      <w:t xml:space="preserve"> - </w:t>
    </w:r>
    <w:r w:rsidRPr="00EA2BCC">
      <w:rPr>
        <w:b/>
      </w:rPr>
      <w:fldChar w:fldCharType="begin"/>
    </w:r>
    <w:r w:rsidRPr="00EA2BCC">
      <w:rPr>
        <w:b/>
      </w:rPr>
      <w:instrText xml:space="preserve"> PAGE </w:instrText>
    </w:r>
    <w:r w:rsidRPr="00EA2BCC">
      <w:rPr>
        <w:b/>
      </w:rPr>
      <w:fldChar w:fldCharType="separate"/>
    </w:r>
    <w:r w:rsidR="000714A6">
      <w:rPr>
        <w:b/>
        <w:noProof/>
      </w:rPr>
      <w:t>33</w:t>
    </w:r>
    <w:r w:rsidRPr="00EA2BCC">
      <w:rPr>
        <w:b/>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0513C" w14:textId="77777777" w:rsidR="00DD6B6C" w:rsidRPr="00446A26" w:rsidRDefault="00DD6B6C" w:rsidP="00446A26">
    <w:pPr>
      <w:pStyle w:val="Footer"/>
      <w:jc w:val="right"/>
      <w:rPr>
        <w:b/>
      </w:rPr>
    </w:pPr>
    <w:r w:rsidRPr="004F7CE2">
      <w:rPr>
        <w:b/>
      </w:rPr>
      <w:t xml:space="preserve">APS 330 </w:t>
    </w:r>
    <w:r>
      <w:rPr>
        <w:b/>
      </w:rPr>
      <w:t xml:space="preserve">Attachment E </w:t>
    </w:r>
    <w:r w:rsidRPr="004F7CE2">
      <w:rPr>
        <w:b/>
      </w:rPr>
      <w:t xml:space="preserve">- </w:t>
    </w:r>
    <w:r w:rsidRPr="004F7CE2">
      <w:rPr>
        <w:b/>
      </w:rPr>
      <w:fldChar w:fldCharType="begin"/>
    </w:r>
    <w:r w:rsidRPr="004F7CE2">
      <w:rPr>
        <w:b/>
      </w:rPr>
      <w:instrText xml:space="preserve"> PAGE   \* MERGEFORMAT </w:instrText>
    </w:r>
    <w:r w:rsidRPr="004F7CE2">
      <w:rPr>
        <w:b/>
      </w:rPr>
      <w:fldChar w:fldCharType="separate"/>
    </w:r>
    <w:r w:rsidR="000714A6">
      <w:rPr>
        <w:b/>
        <w:noProof/>
      </w:rPr>
      <w:t>54</w:t>
    </w:r>
    <w:r w:rsidRPr="004F7CE2">
      <w:rPr>
        <w:b/>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0513D" w14:textId="77777777" w:rsidR="00DD6B6C" w:rsidRPr="00EA2BCC" w:rsidRDefault="00DD6B6C" w:rsidP="00EA2BCC">
    <w:pPr>
      <w:pStyle w:val="Footer"/>
      <w:ind w:right="32"/>
      <w:jc w:val="right"/>
      <w:rPr>
        <w:b/>
      </w:rPr>
    </w:pPr>
    <w:r w:rsidRPr="00EA2BCC">
      <w:rPr>
        <w:b/>
      </w:rPr>
      <w:t>APS 330</w:t>
    </w:r>
    <w:r>
      <w:rPr>
        <w:b/>
      </w:rPr>
      <w:t xml:space="preserve"> Attachment E</w:t>
    </w:r>
    <w:r w:rsidRPr="00EA2BCC">
      <w:rPr>
        <w:b/>
      </w:rPr>
      <w:t xml:space="preserve"> - </w:t>
    </w:r>
    <w:r w:rsidRPr="00EA2BCC">
      <w:rPr>
        <w:b/>
      </w:rPr>
      <w:fldChar w:fldCharType="begin"/>
    </w:r>
    <w:r w:rsidRPr="00EA2BCC">
      <w:rPr>
        <w:b/>
      </w:rPr>
      <w:instrText xml:space="preserve"> PAGE </w:instrText>
    </w:r>
    <w:r w:rsidRPr="00EA2BCC">
      <w:rPr>
        <w:b/>
      </w:rPr>
      <w:fldChar w:fldCharType="separate"/>
    </w:r>
    <w:r w:rsidR="000714A6">
      <w:rPr>
        <w:b/>
        <w:noProof/>
      </w:rPr>
      <w:t>51</w:t>
    </w:r>
    <w:r w:rsidRPr="00EA2BCC">
      <w:rPr>
        <w:b/>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0513E" w14:textId="77777777" w:rsidR="00DD6B6C" w:rsidRPr="00446A26" w:rsidRDefault="00DD6B6C" w:rsidP="00446A26">
    <w:pPr>
      <w:pStyle w:val="Footer"/>
      <w:jc w:val="right"/>
      <w:rPr>
        <w:b/>
      </w:rPr>
    </w:pPr>
    <w:r w:rsidRPr="004F7CE2">
      <w:rPr>
        <w:b/>
      </w:rPr>
      <w:t xml:space="preserve">APS 330 </w:t>
    </w:r>
    <w:r>
      <w:rPr>
        <w:b/>
      </w:rPr>
      <w:t xml:space="preserve">Attachment F </w:t>
    </w:r>
    <w:r w:rsidRPr="004F7CE2">
      <w:rPr>
        <w:b/>
      </w:rPr>
      <w:t xml:space="preserve">- </w:t>
    </w:r>
    <w:r w:rsidRPr="004F7CE2">
      <w:rPr>
        <w:b/>
      </w:rPr>
      <w:fldChar w:fldCharType="begin"/>
    </w:r>
    <w:r w:rsidRPr="004F7CE2">
      <w:rPr>
        <w:b/>
      </w:rPr>
      <w:instrText xml:space="preserve"> PAGE   \* MERGEFORMAT </w:instrText>
    </w:r>
    <w:r w:rsidRPr="004F7CE2">
      <w:rPr>
        <w:b/>
      </w:rPr>
      <w:fldChar w:fldCharType="separate"/>
    </w:r>
    <w:r w:rsidR="000714A6">
      <w:rPr>
        <w:b/>
        <w:noProof/>
      </w:rPr>
      <w:t>63</w:t>
    </w:r>
    <w:r w:rsidRPr="004F7CE2">
      <w:rPr>
        <w:b/>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0513F" w14:textId="77777777" w:rsidR="00DD6B6C" w:rsidRPr="00EA2BCC" w:rsidRDefault="00DD6B6C" w:rsidP="00EA2BCC">
    <w:pPr>
      <w:pStyle w:val="Footer"/>
      <w:ind w:right="32"/>
      <w:jc w:val="right"/>
      <w:rPr>
        <w:b/>
      </w:rPr>
    </w:pPr>
    <w:r w:rsidRPr="00EA2BCC">
      <w:rPr>
        <w:b/>
      </w:rPr>
      <w:t>APS 330</w:t>
    </w:r>
    <w:r>
      <w:rPr>
        <w:b/>
      </w:rPr>
      <w:t xml:space="preserve"> Attachment F</w:t>
    </w:r>
    <w:r w:rsidRPr="00EA2BCC">
      <w:rPr>
        <w:b/>
      </w:rPr>
      <w:t xml:space="preserve"> - </w:t>
    </w:r>
    <w:r w:rsidRPr="00EA2BCC">
      <w:rPr>
        <w:b/>
      </w:rPr>
      <w:fldChar w:fldCharType="begin"/>
    </w:r>
    <w:r w:rsidRPr="00EA2BCC">
      <w:rPr>
        <w:b/>
      </w:rPr>
      <w:instrText xml:space="preserve"> PAGE </w:instrText>
    </w:r>
    <w:r w:rsidRPr="00EA2BCC">
      <w:rPr>
        <w:b/>
      </w:rPr>
      <w:fldChar w:fldCharType="separate"/>
    </w:r>
    <w:r w:rsidR="000714A6">
      <w:rPr>
        <w:b/>
        <w:noProof/>
      </w:rPr>
      <w:t>55</w:t>
    </w:r>
    <w:r w:rsidRPr="00EA2BCC">
      <w:rPr>
        <w:b/>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05140" w14:textId="77777777" w:rsidR="00DD6B6C" w:rsidRPr="00446A26" w:rsidRDefault="00DD6B6C" w:rsidP="00446A26">
    <w:pPr>
      <w:pStyle w:val="Footer"/>
      <w:jc w:val="right"/>
      <w:rPr>
        <w:b/>
      </w:rPr>
    </w:pPr>
    <w:r w:rsidRPr="004F7CE2">
      <w:rPr>
        <w:b/>
      </w:rPr>
      <w:t xml:space="preserve">APS 330 </w:t>
    </w:r>
    <w:r>
      <w:rPr>
        <w:b/>
      </w:rPr>
      <w:t xml:space="preserve">Attachment G </w:t>
    </w:r>
    <w:r w:rsidRPr="004F7CE2">
      <w:rPr>
        <w:b/>
      </w:rPr>
      <w:t xml:space="preserve">- </w:t>
    </w:r>
    <w:r w:rsidRPr="004F7CE2">
      <w:rPr>
        <w:b/>
      </w:rPr>
      <w:fldChar w:fldCharType="begin"/>
    </w:r>
    <w:r w:rsidRPr="004F7CE2">
      <w:rPr>
        <w:b/>
      </w:rPr>
      <w:instrText xml:space="preserve"> PAGE   \* MERGEFORMAT </w:instrText>
    </w:r>
    <w:r w:rsidRPr="004F7CE2">
      <w:rPr>
        <w:b/>
      </w:rPr>
      <w:fldChar w:fldCharType="separate"/>
    </w:r>
    <w:r w:rsidR="000714A6">
      <w:rPr>
        <w:b/>
        <w:noProof/>
      </w:rPr>
      <w:t>66</w:t>
    </w:r>
    <w:r w:rsidRPr="004F7CE2">
      <w:rPr>
        <w:b/>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05141" w14:textId="77777777" w:rsidR="00DD6B6C" w:rsidRPr="00EA2BCC" w:rsidRDefault="00DD6B6C" w:rsidP="00EA2BCC">
    <w:pPr>
      <w:pStyle w:val="Footer"/>
      <w:ind w:right="32"/>
      <w:jc w:val="right"/>
      <w:rPr>
        <w:b/>
      </w:rPr>
    </w:pPr>
    <w:r w:rsidRPr="00EA2BCC">
      <w:rPr>
        <w:b/>
      </w:rPr>
      <w:t>APS 330</w:t>
    </w:r>
    <w:r>
      <w:rPr>
        <w:b/>
      </w:rPr>
      <w:t xml:space="preserve"> Attachment G</w:t>
    </w:r>
    <w:r w:rsidRPr="00EA2BCC">
      <w:rPr>
        <w:b/>
      </w:rPr>
      <w:t xml:space="preserve"> - </w:t>
    </w:r>
    <w:r w:rsidRPr="00EA2BCC">
      <w:rPr>
        <w:b/>
      </w:rPr>
      <w:fldChar w:fldCharType="begin"/>
    </w:r>
    <w:r w:rsidRPr="00EA2BCC">
      <w:rPr>
        <w:b/>
      </w:rPr>
      <w:instrText xml:space="preserve"> PAGE </w:instrText>
    </w:r>
    <w:r w:rsidRPr="00EA2BCC">
      <w:rPr>
        <w:b/>
      </w:rPr>
      <w:fldChar w:fldCharType="separate"/>
    </w:r>
    <w:r w:rsidR="000714A6">
      <w:rPr>
        <w:b/>
        <w:noProof/>
      </w:rPr>
      <w:t>64</w:t>
    </w:r>
    <w:r w:rsidRPr="00EA2BCC">
      <w:rPr>
        <w:b/>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05142" w14:textId="77777777" w:rsidR="00DD6B6C" w:rsidRPr="004F7CE2" w:rsidRDefault="00DD6B6C">
    <w:pPr>
      <w:pStyle w:val="Footer"/>
      <w:jc w:val="right"/>
      <w:rPr>
        <w:b/>
      </w:rPr>
    </w:pPr>
    <w:r w:rsidRPr="004F7CE2">
      <w:rPr>
        <w:b/>
      </w:rPr>
      <w:t xml:space="preserve">APS 330 </w:t>
    </w:r>
    <w:r>
      <w:rPr>
        <w:b/>
      </w:rPr>
      <w:t xml:space="preserve">Attachment H </w:t>
    </w:r>
    <w:r w:rsidRPr="004F7CE2">
      <w:rPr>
        <w:b/>
      </w:rPr>
      <w:t xml:space="preserve">- </w:t>
    </w:r>
    <w:r w:rsidRPr="004F7CE2">
      <w:rPr>
        <w:b/>
      </w:rPr>
      <w:fldChar w:fldCharType="begin"/>
    </w:r>
    <w:r w:rsidRPr="004F7CE2">
      <w:rPr>
        <w:b/>
      </w:rPr>
      <w:instrText xml:space="preserve"> PAGE   \* MERGEFORMAT </w:instrText>
    </w:r>
    <w:r w:rsidRPr="004F7CE2">
      <w:rPr>
        <w:b/>
      </w:rPr>
      <w:fldChar w:fldCharType="separate"/>
    </w:r>
    <w:r>
      <w:rPr>
        <w:b/>
        <w:noProof/>
      </w:rPr>
      <w:t>63</w:t>
    </w:r>
    <w:r w:rsidRPr="004F7CE2">
      <w:rPr>
        <w:b/>
      </w:rPr>
      <w:fldChar w:fldCharType="end"/>
    </w:r>
  </w:p>
  <w:p w14:paraId="49D05143" w14:textId="77777777" w:rsidR="00DD6B6C" w:rsidRDefault="00DD6B6C">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05144" w14:textId="77777777" w:rsidR="00DD6B6C" w:rsidRPr="00EA2BCC" w:rsidRDefault="00DD6B6C" w:rsidP="00EA2BCC">
    <w:pPr>
      <w:pStyle w:val="Footer"/>
      <w:ind w:right="32"/>
      <w:jc w:val="right"/>
      <w:rPr>
        <w:b/>
      </w:rPr>
    </w:pPr>
    <w:r w:rsidRPr="00EA2BCC">
      <w:rPr>
        <w:b/>
      </w:rPr>
      <w:t>APS 330</w:t>
    </w:r>
    <w:r>
      <w:rPr>
        <w:b/>
      </w:rPr>
      <w:t xml:space="preserve"> Attachment H</w:t>
    </w:r>
    <w:r w:rsidRPr="00EA2BCC">
      <w:rPr>
        <w:b/>
      </w:rPr>
      <w:t xml:space="preserve"> - </w:t>
    </w:r>
    <w:r w:rsidRPr="00EA2BCC">
      <w:rPr>
        <w:b/>
      </w:rPr>
      <w:fldChar w:fldCharType="begin"/>
    </w:r>
    <w:r w:rsidRPr="00EA2BCC">
      <w:rPr>
        <w:b/>
      </w:rPr>
      <w:instrText xml:space="preserve"> PAGE </w:instrText>
    </w:r>
    <w:r w:rsidRPr="00EA2BCC">
      <w:rPr>
        <w:b/>
      </w:rPr>
      <w:fldChar w:fldCharType="separate"/>
    </w:r>
    <w:r w:rsidR="000714A6">
      <w:rPr>
        <w:b/>
        <w:noProof/>
      </w:rPr>
      <w:t>67</w:t>
    </w:r>
    <w:r w:rsidRPr="00EA2BCC">
      <w:rPr>
        <w:b/>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05145" w14:textId="77777777" w:rsidR="00DD6B6C" w:rsidRPr="004F7CE2" w:rsidRDefault="00DD6B6C">
    <w:pPr>
      <w:pStyle w:val="Footer"/>
      <w:jc w:val="right"/>
      <w:rPr>
        <w:b/>
      </w:rPr>
    </w:pPr>
    <w:r w:rsidRPr="004F7CE2">
      <w:rPr>
        <w:b/>
      </w:rPr>
      <w:t xml:space="preserve">APS 330 </w:t>
    </w:r>
    <w:r>
      <w:rPr>
        <w:b/>
      </w:rPr>
      <w:t xml:space="preserve">Attachment I </w:t>
    </w:r>
    <w:r w:rsidRPr="004F7CE2">
      <w:rPr>
        <w:b/>
      </w:rPr>
      <w:t xml:space="preserve">- </w:t>
    </w:r>
    <w:r w:rsidRPr="004F7CE2">
      <w:rPr>
        <w:b/>
      </w:rPr>
      <w:fldChar w:fldCharType="begin"/>
    </w:r>
    <w:r w:rsidRPr="004F7CE2">
      <w:rPr>
        <w:b/>
      </w:rPr>
      <w:instrText xml:space="preserve"> PAGE   \* MERGEFORMAT </w:instrText>
    </w:r>
    <w:r w:rsidRPr="004F7CE2">
      <w:rPr>
        <w:b/>
      </w:rPr>
      <w:fldChar w:fldCharType="separate"/>
    </w:r>
    <w:r w:rsidR="000714A6">
      <w:rPr>
        <w:b/>
        <w:noProof/>
      </w:rPr>
      <w:t>71</w:t>
    </w:r>
    <w:r w:rsidRPr="004F7CE2">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05134" w14:textId="77777777" w:rsidR="00DD6B6C" w:rsidRPr="00EA2BCC" w:rsidRDefault="00DD6B6C" w:rsidP="00EA2BCC">
    <w:pPr>
      <w:pStyle w:val="Footer"/>
      <w:ind w:right="32"/>
      <w:jc w:val="right"/>
      <w:rPr>
        <w:b/>
      </w:rPr>
    </w:pPr>
    <w:r w:rsidRPr="00EA2BCC">
      <w:rPr>
        <w:b/>
      </w:rPr>
      <w:t>APS 330</w:t>
    </w:r>
    <w:r>
      <w:rPr>
        <w:b/>
      </w:rPr>
      <w:t xml:space="preserve"> –-</w:t>
    </w:r>
    <w:r w:rsidRPr="00EA2BCC">
      <w:rPr>
        <w:b/>
      </w:rPr>
      <w:t xml:space="preserve"> </w:t>
    </w:r>
    <w:r w:rsidRPr="00EA2BCC">
      <w:rPr>
        <w:b/>
      </w:rPr>
      <w:fldChar w:fldCharType="begin"/>
    </w:r>
    <w:r w:rsidRPr="00EA2BCC">
      <w:rPr>
        <w:b/>
      </w:rPr>
      <w:instrText xml:space="preserve"> PAGE </w:instrText>
    </w:r>
    <w:r w:rsidRPr="00EA2BCC">
      <w:rPr>
        <w:b/>
      </w:rPr>
      <w:fldChar w:fldCharType="separate"/>
    </w:r>
    <w:r>
      <w:rPr>
        <w:b/>
        <w:noProof/>
      </w:rPr>
      <w:t>1</w:t>
    </w:r>
    <w:r w:rsidRPr="00EA2BCC">
      <w:rPr>
        <w:b/>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05146" w14:textId="77777777" w:rsidR="00DD6B6C" w:rsidRPr="00EA2BCC" w:rsidRDefault="00DD6B6C" w:rsidP="00EA2BCC">
    <w:pPr>
      <w:pStyle w:val="Footer"/>
      <w:ind w:right="32"/>
      <w:jc w:val="right"/>
      <w:rPr>
        <w:b/>
      </w:rPr>
    </w:pPr>
    <w:r w:rsidRPr="00EA2BCC">
      <w:rPr>
        <w:b/>
      </w:rPr>
      <w:t>APS 330</w:t>
    </w:r>
    <w:r>
      <w:rPr>
        <w:b/>
      </w:rPr>
      <w:t xml:space="preserve"> Attachment I</w:t>
    </w:r>
    <w:r w:rsidRPr="00EA2BCC">
      <w:rPr>
        <w:b/>
      </w:rPr>
      <w:t xml:space="preserve"> - </w:t>
    </w:r>
    <w:r w:rsidRPr="00EA2BCC">
      <w:rPr>
        <w:b/>
      </w:rPr>
      <w:fldChar w:fldCharType="begin"/>
    </w:r>
    <w:r w:rsidRPr="00EA2BCC">
      <w:rPr>
        <w:b/>
      </w:rPr>
      <w:instrText xml:space="preserve"> PAGE </w:instrText>
    </w:r>
    <w:r w:rsidRPr="00EA2BCC">
      <w:rPr>
        <w:b/>
      </w:rPr>
      <w:fldChar w:fldCharType="separate"/>
    </w:r>
    <w:r w:rsidR="000714A6">
      <w:rPr>
        <w:b/>
        <w:noProof/>
      </w:rPr>
      <w:t>68</w:t>
    </w:r>
    <w:r w:rsidRPr="00EA2BCC">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10B6A" w14:textId="77777777" w:rsidR="00DD6B6C" w:rsidRPr="00446A26" w:rsidRDefault="00DD6B6C" w:rsidP="00446A26">
    <w:pPr>
      <w:pStyle w:val="Footer"/>
      <w:jc w:val="right"/>
      <w:rPr>
        <w:b/>
      </w:rPr>
    </w:pPr>
    <w:r w:rsidRPr="004F7CE2">
      <w:rPr>
        <w:b/>
      </w:rPr>
      <w:t>APS 330</w:t>
    </w:r>
    <w:r>
      <w:rPr>
        <w:b/>
      </w:rPr>
      <w:t xml:space="preserve"> -</w:t>
    </w:r>
    <w:r w:rsidRPr="004F7CE2">
      <w:rPr>
        <w:b/>
      </w:rPr>
      <w:t xml:space="preserve"> </w:t>
    </w:r>
    <w:r w:rsidRPr="004F7CE2">
      <w:rPr>
        <w:b/>
      </w:rPr>
      <w:fldChar w:fldCharType="begin"/>
    </w:r>
    <w:r w:rsidRPr="004F7CE2">
      <w:rPr>
        <w:b/>
      </w:rPr>
      <w:instrText xml:space="preserve"> PAGE   \* MERGEFORMAT </w:instrText>
    </w:r>
    <w:r w:rsidRPr="004F7CE2">
      <w:rPr>
        <w:b/>
      </w:rPr>
      <w:fldChar w:fldCharType="separate"/>
    </w:r>
    <w:r w:rsidR="000714A6">
      <w:rPr>
        <w:b/>
        <w:noProof/>
      </w:rPr>
      <w:t>1</w:t>
    </w:r>
    <w:r w:rsidRPr="004F7CE2">
      <w:rPr>
        <w:b/>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05135" w14:textId="77777777" w:rsidR="00DD6B6C" w:rsidRPr="00446A26" w:rsidRDefault="00DD6B6C" w:rsidP="00446A26">
    <w:pPr>
      <w:pStyle w:val="Footer"/>
      <w:jc w:val="right"/>
      <w:rPr>
        <w:b/>
      </w:rPr>
    </w:pPr>
    <w:r w:rsidRPr="004F7CE2">
      <w:rPr>
        <w:b/>
      </w:rPr>
      <w:t xml:space="preserve">APS 330 </w:t>
    </w:r>
    <w:r>
      <w:rPr>
        <w:b/>
      </w:rPr>
      <w:t xml:space="preserve">Attachment A </w:t>
    </w:r>
    <w:r w:rsidRPr="004F7CE2">
      <w:rPr>
        <w:b/>
      </w:rPr>
      <w:t xml:space="preserve">- </w:t>
    </w:r>
    <w:r w:rsidRPr="004F7CE2">
      <w:rPr>
        <w:b/>
      </w:rPr>
      <w:fldChar w:fldCharType="begin"/>
    </w:r>
    <w:r w:rsidRPr="004F7CE2">
      <w:rPr>
        <w:b/>
      </w:rPr>
      <w:instrText xml:space="preserve"> PAGE   \* MERGEFORMAT </w:instrText>
    </w:r>
    <w:r w:rsidRPr="004F7CE2">
      <w:rPr>
        <w:b/>
      </w:rPr>
      <w:fldChar w:fldCharType="separate"/>
    </w:r>
    <w:r w:rsidR="000714A6">
      <w:rPr>
        <w:b/>
        <w:noProof/>
      </w:rPr>
      <w:t>25</w:t>
    </w:r>
    <w:r w:rsidRPr="004F7CE2">
      <w:rPr>
        <w:b/>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05136" w14:textId="77777777" w:rsidR="00DD6B6C" w:rsidRPr="00EA2BCC" w:rsidRDefault="00DD6B6C" w:rsidP="00EA2BCC">
    <w:pPr>
      <w:pStyle w:val="Footer"/>
      <w:ind w:right="32"/>
      <w:jc w:val="right"/>
      <w:rPr>
        <w:b/>
      </w:rPr>
    </w:pPr>
    <w:r w:rsidRPr="00EA2BCC">
      <w:rPr>
        <w:b/>
      </w:rPr>
      <w:t>APS 330</w:t>
    </w:r>
    <w:r>
      <w:rPr>
        <w:b/>
      </w:rPr>
      <w:t xml:space="preserve"> Attachment B</w:t>
    </w:r>
    <w:r w:rsidRPr="00EA2BCC">
      <w:rPr>
        <w:b/>
      </w:rPr>
      <w:t xml:space="preserve"> - </w:t>
    </w:r>
    <w:r w:rsidRPr="00EA2BCC">
      <w:rPr>
        <w:b/>
      </w:rPr>
      <w:fldChar w:fldCharType="begin"/>
    </w:r>
    <w:r w:rsidRPr="00EA2BCC">
      <w:rPr>
        <w:b/>
      </w:rPr>
      <w:instrText xml:space="preserve"> PAGE </w:instrText>
    </w:r>
    <w:r w:rsidRPr="00EA2BCC">
      <w:rPr>
        <w:b/>
      </w:rPr>
      <w:fldChar w:fldCharType="separate"/>
    </w:r>
    <w:r>
      <w:rPr>
        <w:b/>
        <w:noProof/>
      </w:rPr>
      <w:t>63</w:t>
    </w:r>
    <w:r w:rsidRPr="00EA2BCC">
      <w:rPr>
        <w:b/>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05137" w14:textId="77777777" w:rsidR="00DD6B6C" w:rsidRPr="00446A26" w:rsidRDefault="00DD6B6C" w:rsidP="00446A26">
    <w:pPr>
      <w:pStyle w:val="Footer"/>
      <w:jc w:val="right"/>
      <w:rPr>
        <w:b/>
      </w:rPr>
    </w:pPr>
    <w:r w:rsidRPr="004F7CE2">
      <w:rPr>
        <w:b/>
      </w:rPr>
      <w:t xml:space="preserve">APS 330 </w:t>
    </w:r>
    <w:r>
      <w:rPr>
        <w:b/>
      </w:rPr>
      <w:t xml:space="preserve">Attachment B </w:t>
    </w:r>
    <w:r w:rsidRPr="004F7CE2">
      <w:rPr>
        <w:b/>
      </w:rPr>
      <w:t xml:space="preserve">- </w:t>
    </w:r>
    <w:r w:rsidRPr="004F7CE2">
      <w:rPr>
        <w:b/>
      </w:rPr>
      <w:fldChar w:fldCharType="begin"/>
    </w:r>
    <w:r w:rsidRPr="004F7CE2">
      <w:rPr>
        <w:b/>
      </w:rPr>
      <w:instrText xml:space="preserve"> PAGE   \* MERGEFORMAT </w:instrText>
    </w:r>
    <w:r w:rsidRPr="004F7CE2">
      <w:rPr>
        <w:b/>
      </w:rPr>
      <w:fldChar w:fldCharType="separate"/>
    </w:r>
    <w:r w:rsidR="000714A6">
      <w:rPr>
        <w:b/>
        <w:noProof/>
      </w:rPr>
      <w:t>30</w:t>
    </w:r>
    <w:r w:rsidRPr="004F7CE2">
      <w:rPr>
        <w:b/>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05138" w14:textId="77777777" w:rsidR="00DD6B6C" w:rsidRPr="00446A26" w:rsidRDefault="00DD6B6C" w:rsidP="00446A26">
    <w:pPr>
      <w:pStyle w:val="Footer"/>
      <w:jc w:val="right"/>
      <w:rPr>
        <w:b/>
      </w:rPr>
    </w:pPr>
    <w:r w:rsidRPr="004F7CE2">
      <w:rPr>
        <w:b/>
      </w:rPr>
      <w:t xml:space="preserve">APS 330 </w:t>
    </w:r>
    <w:r>
      <w:rPr>
        <w:b/>
      </w:rPr>
      <w:t xml:space="preserve">Attachment C </w:t>
    </w:r>
    <w:r w:rsidRPr="004F7CE2">
      <w:rPr>
        <w:b/>
      </w:rPr>
      <w:t xml:space="preserve">- </w:t>
    </w:r>
    <w:r w:rsidRPr="004F7CE2">
      <w:rPr>
        <w:b/>
      </w:rPr>
      <w:fldChar w:fldCharType="begin"/>
    </w:r>
    <w:r w:rsidRPr="004F7CE2">
      <w:rPr>
        <w:b/>
      </w:rPr>
      <w:instrText xml:space="preserve"> PAGE   \* MERGEFORMAT </w:instrText>
    </w:r>
    <w:r w:rsidRPr="004F7CE2">
      <w:rPr>
        <w:b/>
      </w:rPr>
      <w:fldChar w:fldCharType="separate"/>
    </w:r>
    <w:r w:rsidR="000714A6">
      <w:rPr>
        <w:b/>
        <w:noProof/>
      </w:rPr>
      <w:t>32</w:t>
    </w:r>
    <w:r w:rsidRPr="004F7CE2">
      <w:rPr>
        <w:b/>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05139" w14:textId="77777777" w:rsidR="00DD6B6C" w:rsidRPr="00EA2BCC" w:rsidRDefault="00DD6B6C" w:rsidP="00EA2BCC">
    <w:pPr>
      <w:pStyle w:val="Footer"/>
      <w:ind w:right="32"/>
      <w:jc w:val="right"/>
      <w:rPr>
        <w:b/>
      </w:rPr>
    </w:pPr>
    <w:r w:rsidRPr="00EA2BCC">
      <w:rPr>
        <w:b/>
      </w:rPr>
      <w:t>APS 330</w:t>
    </w:r>
    <w:r>
      <w:rPr>
        <w:b/>
      </w:rPr>
      <w:t xml:space="preserve"> Attachment C</w:t>
    </w:r>
    <w:r w:rsidRPr="00EA2BCC">
      <w:rPr>
        <w:b/>
      </w:rPr>
      <w:t xml:space="preserve"> - </w:t>
    </w:r>
    <w:r w:rsidRPr="00EA2BCC">
      <w:rPr>
        <w:b/>
      </w:rPr>
      <w:fldChar w:fldCharType="begin"/>
    </w:r>
    <w:r w:rsidRPr="00EA2BCC">
      <w:rPr>
        <w:b/>
      </w:rPr>
      <w:instrText xml:space="preserve"> PAGE </w:instrText>
    </w:r>
    <w:r w:rsidRPr="00EA2BCC">
      <w:rPr>
        <w:b/>
      </w:rPr>
      <w:fldChar w:fldCharType="separate"/>
    </w:r>
    <w:r w:rsidR="000714A6">
      <w:rPr>
        <w:b/>
        <w:noProof/>
      </w:rPr>
      <w:t>31</w:t>
    </w:r>
    <w:r w:rsidRPr="00EA2BCC">
      <w:rPr>
        <w:b/>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0513A" w14:textId="77777777" w:rsidR="00DD6B6C" w:rsidRPr="00446A26" w:rsidRDefault="00DD6B6C" w:rsidP="00446A26">
    <w:pPr>
      <w:pStyle w:val="Footer"/>
      <w:jc w:val="right"/>
      <w:rPr>
        <w:b/>
      </w:rPr>
    </w:pPr>
    <w:r w:rsidRPr="004F7CE2">
      <w:rPr>
        <w:b/>
      </w:rPr>
      <w:t xml:space="preserve">APS 330 </w:t>
    </w:r>
    <w:r>
      <w:rPr>
        <w:b/>
      </w:rPr>
      <w:t xml:space="preserve">Attachment D </w:t>
    </w:r>
    <w:r w:rsidRPr="004F7CE2">
      <w:rPr>
        <w:b/>
      </w:rPr>
      <w:t xml:space="preserve">- </w:t>
    </w:r>
    <w:r w:rsidRPr="004F7CE2">
      <w:rPr>
        <w:b/>
      </w:rPr>
      <w:fldChar w:fldCharType="begin"/>
    </w:r>
    <w:r w:rsidRPr="004F7CE2">
      <w:rPr>
        <w:b/>
      </w:rPr>
      <w:instrText xml:space="preserve"> PAGE   \* MERGEFORMAT </w:instrText>
    </w:r>
    <w:r w:rsidRPr="004F7CE2">
      <w:rPr>
        <w:b/>
      </w:rPr>
      <w:fldChar w:fldCharType="separate"/>
    </w:r>
    <w:r w:rsidR="000714A6">
      <w:rPr>
        <w:b/>
        <w:noProof/>
      </w:rPr>
      <w:t>50</w:t>
    </w:r>
    <w:r w:rsidRPr="004F7CE2">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CDFEE0" w14:textId="77777777" w:rsidR="00DD6B6C" w:rsidRDefault="00DD6B6C" w:rsidP="000F4E93">
      <w:r>
        <w:separator/>
      </w:r>
    </w:p>
  </w:footnote>
  <w:footnote w:type="continuationSeparator" w:id="0">
    <w:p w14:paraId="7902EB98" w14:textId="77777777" w:rsidR="00DD6B6C" w:rsidRDefault="00DD6B6C" w:rsidP="000F4E93">
      <w:r>
        <w:continuationSeparator/>
      </w:r>
    </w:p>
  </w:footnote>
  <w:footnote w:type="continuationNotice" w:id="1">
    <w:p w14:paraId="4655F038" w14:textId="77777777" w:rsidR="00DD6B6C" w:rsidRDefault="00DD6B6C"/>
  </w:footnote>
  <w:footnote w:id="2">
    <w:p w14:paraId="49D05147" w14:textId="49D5D01F" w:rsidR="00DD6B6C" w:rsidRPr="00C43ED8" w:rsidRDefault="00DD6B6C">
      <w:pPr>
        <w:pStyle w:val="FootnoteText"/>
      </w:pPr>
      <w:r w:rsidRPr="00782894">
        <w:rPr>
          <w:rStyle w:val="FootnoteReference"/>
        </w:rPr>
        <w:footnoteRef/>
      </w:r>
      <w:r w:rsidRPr="00782894">
        <w:t xml:space="preserve"> </w:t>
      </w:r>
      <w:r w:rsidRPr="00782894">
        <w:tab/>
        <w:t xml:space="preserve">Other than a foreign ADI – refer to </w:t>
      </w:r>
      <w:r w:rsidRPr="00C43ED8">
        <w:t xml:space="preserve">paragraph </w:t>
      </w:r>
      <w:r>
        <w:fldChar w:fldCharType="begin"/>
      </w:r>
      <w:r>
        <w:instrText xml:space="preserve"> REF _Ref406398111 \r \h </w:instrText>
      </w:r>
      <w:r>
        <w:fldChar w:fldCharType="separate"/>
      </w:r>
      <w:r>
        <w:t>10(r)</w:t>
      </w:r>
      <w:r>
        <w:fldChar w:fldCharType="end"/>
      </w:r>
      <w:r w:rsidRPr="00C43ED8">
        <w:t>.</w:t>
      </w:r>
    </w:p>
  </w:footnote>
  <w:footnote w:id="3">
    <w:p w14:paraId="49D05148" w14:textId="77777777" w:rsidR="00DD6B6C" w:rsidRPr="00782894" w:rsidRDefault="00DD6B6C" w:rsidP="009173FB">
      <w:pPr>
        <w:pStyle w:val="Footnote"/>
      </w:pPr>
      <w:r w:rsidRPr="00782894">
        <w:rPr>
          <w:rStyle w:val="FootnoteReference"/>
        </w:rPr>
        <w:footnoteRef/>
      </w:r>
      <w:r w:rsidRPr="00782894">
        <w:t xml:space="preserve"> </w:t>
      </w:r>
      <w:r w:rsidRPr="00782894">
        <w:tab/>
        <w:t xml:space="preserve">APRA will publish on its website a current list of those ADIs required to make the disclosures required in Attachment H. </w:t>
      </w:r>
    </w:p>
  </w:footnote>
  <w:footnote w:id="4">
    <w:p w14:paraId="49D05149" w14:textId="7E1BBD14" w:rsidR="00DD6B6C" w:rsidRPr="00782894" w:rsidRDefault="00DD6B6C" w:rsidP="000B329E">
      <w:pPr>
        <w:pStyle w:val="Footnote"/>
      </w:pPr>
      <w:r w:rsidRPr="00782894">
        <w:rPr>
          <w:rStyle w:val="FootnoteReference"/>
        </w:rPr>
        <w:footnoteRef/>
      </w:r>
      <w:r w:rsidRPr="00782894">
        <w:t xml:space="preserve"> </w:t>
      </w:r>
      <w:r w:rsidRPr="00782894">
        <w:tab/>
        <w:t xml:space="preserve">Where the disclosures required to be made under paragraph </w:t>
      </w:r>
      <w:r>
        <w:t>49</w:t>
      </w:r>
      <w:r w:rsidRPr="00782894">
        <w:t xml:space="preserve"> do not coincide with the lodgement of an ADI’s financial report under the Corporations Act, the disclosures must be included in the Regulatory Disclosures section of the ADI’s website.  </w:t>
      </w:r>
    </w:p>
  </w:footnote>
  <w:footnote w:id="5">
    <w:p w14:paraId="49D0514A" w14:textId="49B68382" w:rsidR="00DD6B6C" w:rsidRPr="00782894" w:rsidRDefault="00DD6B6C" w:rsidP="000B329E">
      <w:pPr>
        <w:pStyle w:val="Footnote"/>
      </w:pPr>
      <w:r w:rsidRPr="00782894">
        <w:rPr>
          <w:rStyle w:val="FootnoteReference"/>
        </w:rPr>
        <w:footnoteRef/>
      </w:r>
      <w:r w:rsidRPr="00782894">
        <w:t xml:space="preserve"> </w:t>
      </w:r>
      <w:r w:rsidRPr="00782894">
        <w:tab/>
        <w:t xml:space="preserve">See paragraph </w:t>
      </w:r>
      <w:r>
        <w:t>34</w:t>
      </w:r>
      <w:r w:rsidRPr="00782894">
        <w:t xml:space="preserve"> above.</w:t>
      </w:r>
    </w:p>
  </w:footnote>
  <w:footnote w:id="6">
    <w:p w14:paraId="49D0514B" w14:textId="36045A51" w:rsidR="00DD6B6C" w:rsidRPr="00782894" w:rsidRDefault="00DD6B6C" w:rsidP="000B329E">
      <w:pPr>
        <w:pStyle w:val="Footnote"/>
      </w:pPr>
      <w:r w:rsidRPr="00782894">
        <w:rPr>
          <w:rStyle w:val="FootnoteReference"/>
        </w:rPr>
        <w:footnoteRef/>
      </w:r>
      <w:r w:rsidRPr="00782894">
        <w:t xml:space="preserve"> </w:t>
      </w:r>
      <w:r w:rsidRPr="00782894">
        <w:tab/>
        <w:t xml:space="preserve">See paragraph </w:t>
      </w:r>
      <w:r>
        <w:t>34</w:t>
      </w:r>
      <w:r w:rsidRPr="00782894">
        <w:t xml:space="preserve"> above.</w:t>
      </w:r>
    </w:p>
  </w:footnote>
  <w:footnote w:id="7">
    <w:p w14:paraId="49D0514C" w14:textId="7DB1B8B7" w:rsidR="00DD6B6C" w:rsidRPr="00782894" w:rsidRDefault="00DD6B6C" w:rsidP="000B329E">
      <w:pPr>
        <w:pStyle w:val="Footnote"/>
      </w:pPr>
      <w:r w:rsidRPr="00782894">
        <w:rPr>
          <w:rStyle w:val="FootnoteReference"/>
        </w:rPr>
        <w:footnoteRef/>
      </w:r>
      <w:r w:rsidRPr="00782894">
        <w:t xml:space="preserve"> </w:t>
      </w:r>
      <w:r w:rsidRPr="00782894">
        <w:tab/>
        <w:t xml:space="preserve">See paragraph </w:t>
      </w:r>
      <w:r>
        <w:t>40</w:t>
      </w:r>
      <w:r w:rsidRPr="00782894">
        <w:t xml:space="preserve"> above.</w:t>
      </w:r>
    </w:p>
  </w:footnote>
  <w:footnote w:id="8">
    <w:p w14:paraId="49D0514D" w14:textId="0BAC6A9B" w:rsidR="00DD6B6C" w:rsidRPr="00782894" w:rsidRDefault="00DD6B6C" w:rsidP="000B329E">
      <w:pPr>
        <w:pStyle w:val="Footnote"/>
      </w:pPr>
      <w:r w:rsidRPr="00782894">
        <w:rPr>
          <w:rStyle w:val="FootnoteReference"/>
        </w:rPr>
        <w:footnoteRef/>
      </w:r>
      <w:r w:rsidRPr="00782894">
        <w:t xml:space="preserve"> </w:t>
      </w:r>
      <w:r w:rsidRPr="00782894">
        <w:tab/>
        <w:t xml:space="preserve">See paragraph </w:t>
      </w:r>
      <w:r>
        <w:t>40</w:t>
      </w:r>
      <w:r w:rsidRPr="00782894">
        <w:t xml:space="preserve"> above.</w:t>
      </w:r>
    </w:p>
  </w:footnote>
  <w:footnote w:id="9">
    <w:p w14:paraId="49D0514E" w14:textId="590F8C48" w:rsidR="00DD6B6C" w:rsidRPr="00782894" w:rsidRDefault="00DD6B6C" w:rsidP="00B56BCF">
      <w:pPr>
        <w:pStyle w:val="Footnote"/>
      </w:pPr>
      <w:r w:rsidRPr="00782894">
        <w:rPr>
          <w:rStyle w:val="FootnoteReference"/>
        </w:rPr>
        <w:footnoteRef/>
      </w:r>
      <w:r w:rsidRPr="00782894">
        <w:t xml:space="preserve"> </w:t>
      </w:r>
      <w:r w:rsidRPr="00782894">
        <w:tab/>
        <w:t xml:space="preserve">See paragraph </w:t>
      </w:r>
      <w:r>
        <w:t>40</w:t>
      </w:r>
      <w:r w:rsidRPr="00782894">
        <w:t xml:space="preserve"> above.</w:t>
      </w:r>
    </w:p>
  </w:footnote>
  <w:footnote w:id="10">
    <w:p w14:paraId="49D0514F" w14:textId="77777777" w:rsidR="00DD6B6C" w:rsidRPr="00782894" w:rsidRDefault="00DD6B6C" w:rsidP="008B5AA4">
      <w:pPr>
        <w:pStyle w:val="Footnote"/>
      </w:pPr>
      <w:r w:rsidRPr="00782894">
        <w:rPr>
          <w:rStyle w:val="FootnoteReference"/>
        </w:rPr>
        <w:footnoteRef/>
      </w:r>
      <w:r w:rsidRPr="00782894">
        <w:t xml:space="preserve"> </w:t>
      </w:r>
      <w:r w:rsidRPr="00782894">
        <w:tab/>
        <w:t xml:space="preserve">However, an ADI may, subject to APRA’s approval, use more frequent calculations (e.g. daily or monthly averaging) on a consistent basis. </w:t>
      </w:r>
    </w:p>
  </w:footnote>
  <w:footnote w:id="11">
    <w:p w14:paraId="49D05150" w14:textId="45895888" w:rsidR="00DD6B6C" w:rsidRPr="00782894" w:rsidRDefault="00DD6B6C" w:rsidP="008B5AA4">
      <w:pPr>
        <w:pStyle w:val="Footnote"/>
      </w:pPr>
      <w:r w:rsidRPr="00782894">
        <w:rPr>
          <w:rStyle w:val="FootnoteReference"/>
        </w:rPr>
        <w:footnoteRef/>
      </w:r>
      <w:r w:rsidRPr="00782894">
        <w:t xml:space="preserve"> </w:t>
      </w:r>
      <w:r w:rsidRPr="00782894">
        <w:tab/>
        <w:t>For the avoidance of doubt, an ADI is not required to publish figures for any of the previous three quarters that were not previously disclosed under paragraph</w:t>
      </w:r>
      <w:r>
        <w:t xml:space="preserve"> 49</w:t>
      </w:r>
      <w:r w:rsidRPr="00782894">
        <w:t xml:space="preserve">. </w:t>
      </w:r>
    </w:p>
  </w:footnote>
  <w:footnote w:id="12">
    <w:p w14:paraId="49D05151" w14:textId="6C8281B5" w:rsidR="00DD6B6C" w:rsidRPr="00782894" w:rsidRDefault="00DD6B6C" w:rsidP="00506774">
      <w:pPr>
        <w:pStyle w:val="FootnoteText"/>
        <w:jc w:val="both"/>
      </w:pPr>
      <w:r w:rsidRPr="00782894">
        <w:rPr>
          <w:rStyle w:val="FootnoteReference"/>
        </w:rPr>
        <w:footnoteRef/>
      </w:r>
      <w:r w:rsidRPr="00782894">
        <w:t xml:space="preserve"> </w:t>
      </w:r>
      <w:r w:rsidRPr="00782894">
        <w:tab/>
        <w:t xml:space="preserve">See paragraph </w:t>
      </w:r>
      <w:r>
        <w:t>40</w:t>
      </w:r>
      <w:r w:rsidRPr="00782894">
        <w:t xml:space="preserve"> above.</w:t>
      </w:r>
    </w:p>
  </w:footnote>
  <w:footnote w:id="13">
    <w:p w14:paraId="49D05152" w14:textId="77777777" w:rsidR="00DD6B6C" w:rsidRPr="00782894" w:rsidRDefault="00DD6B6C" w:rsidP="00B2165B">
      <w:pPr>
        <w:pStyle w:val="FootnoteText"/>
        <w:tabs>
          <w:tab w:val="left" w:pos="426"/>
        </w:tabs>
        <w:jc w:val="both"/>
      </w:pPr>
      <w:r w:rsidRPr="00782894">
        <w:rPr>
          <w:rStyle w:val="FootnoteReference"/>
        </w:rPr>
        <w:footnoteRef/>
      </w:r>
      <w:r w:rsidRPr="00782894">
        <w:t xml:space="preserve"> </w:t>
      </w:r>
      <w:r w:rsidRPr="00782894">
        <w:tab/>
      </w:r>
      <w:r w:rsidRPr="00782894">
        <w:tab/>
        <w:t>However, APRA may permit an ADI whose financial year ends on 30 June to make the disclosures required in Attachment H as at 31 December (i.e. based on interim rather than financial year-end data).</w:t>
      </w:r>
    </w:p>
  </w:footnote>
  <w:footnote w:id="14">
    <w:p w14:paraId="49D05153" w14:textId="77777777" w:rsidR="00DD6B6C" w:rsidRPr="00782894" w:rsidRDefault="00DD6B6C" w:rsidP="000B329E">
      <w:pPr>
        <w:pStyle w:val="Footnote"/>
      </w:pPr>
      <w:r w:rsidRPr="00782894">
        <w:rPr>
          <w:rStyle w:val="FootnoteReference"/>
        </w:rPr>
        <w:footnoteRef/>
      </w:r>
      <w:r w:rsidRPr="00782894">
        <w:t xml:space="preserve"> </w:t>
      </w:r>
      <w:r w:rsidRPr="00782894">
        <w:tab/>
        <w:t xml:space="preserve">Refer to subsection 11AF(2) of the </w:t>
      </w:r>
      <w:r>
        <w:t xml:space="preserve">Banking </w:t>
      </w:r>
      <w:r w:rsidRPr="00782894">
        <w:t>Act.</w:t>
      </w:r>
    </w:p>
  </w:footnote>
  <w:footnote w:id="15">
    <w:p w14:paraId="49D05154" w14:textId="77777777" w:rsidR="00DD6B6C" w:rsidRPr="00782894" w:rsidRDefault="00DD6B6C" w:rsidP="000B329E">
      <w:pPr>
        <w:pStyle w:val="Footnote"/>
      </w:pPr>
      <w:r w:rsidRPr="00782894">
        <w:rPr>
          <w:rStyle w:val="FootnoteReference"/>
        </w:rPr>
        <w:footnoteRef/>
      </w:r>
      <w:r w:rsidRPr="00782894">
        <w:t xml:space="preserve"> </w:t>
      </w:r>
      <w:r w:rsidRPr="00782894">
        <w:tab/>
      </w:r>
      <w:r w:rsidRPr="00782894">
        <w:rPr>
          <w:bCs/>
        </w:rPr>
        <w:t xml:space="preserve">For standardised portfolios: </w:t>
      </w:r>
      <w:r w:rsidRPr="00782894">
        <w:t>claims secured by residential mortgage; other retail; corporate; bank; government; and all other; and for IRB portfolios: corporate; sovereign; bank; residential mortgage; qualifying revolving retail; other retail; and all other.</w:t>
      </w:r>
    </w:p>
  </w:footnote>
  <w:footnote w:id="16">
    <w:p w14:paraId="49D05155" w14:textId="77777777" w:rsidR="00DD6B6C" w:rsidRPr="00782894" w:rsidRDefault="00DD6B6C" w:rsidP="000B329E">
      <w:pPr>
        <w:pStyle w:val="Footnote"/>
      </w:pPr>
      <w:r w:rsidRPr="00782894">
        <w:rPr>
          <w:rStyle w:val="FootnoteReference"/>
        </w:rPr>
        <w:footnoteRef/>
      </w:r>
      <w:r w:rsidRPr="00782894">
        <w:t xml:space="preserve"> </w:t>
      </w:r>
      <w:r w:rsidRPr="00782894">
        <w:tab/>
        <w:t>Table 4 does not include equities or securitisation exposures.</w:t>
      </w:r>
    </w:p>
  </w:footnote>
  <w:footnote w:id="17">
    <w:p w14:paraId="49D05156" w14:textId="77777777" w:rsidR="00DD6B6C" w:rsidRPr="00782894" w:rsidRDefault="00DD6B6C" w:rsidP="000B329E">
      <w:pPr>
        <w:pStyle w:val="Footnote"/>
      </w:pPr>
      <w:r w:rsidRPr="00782894">
        <w:rPr>
          <w:rStyle w:val="FootnoteReference"/>
        </w:rPr>
        <w:footnoteRef/>
      </w:r>
      <w:r w:rsidRPr="00782894">
        <w:t xml:space="preserve"> </w:t>
      </w:r>
      <w:r w:rsidRPr="00782894">
        <w:tab/>
        <w:t>This breakdown could be in line with normal accounting rules (e.g. loans; commitments and other non-market off-balance sheet exposures; debt securities; and over-the-counter derivatives).</w:t>
      </w:r>
    </w:p>
  </w:footnote>
  <w:footnote w:id="18">
    <w:p w14:paraId="49D05157" w14:textId="77777777" w:rsidR="00DD6B6C" w:rsidRPr="00782894" w:rsidRDefault="00DD6B6C" w:rsidP="000B329E">
      <w:pPr>
        <w:pStyle w:val="Footnote"/>
      </w:pPr>
      <w:r w:rsidRPr="00782894">
        <w:rPr>
          <w:rStyle w:val="FootnoteReference"/>
        </w:rPr>
        <w:footnoteRef/>
      </w:r>
      <w:r w:rsidRPr="00782894">
        <w:t xml:space="preserve"> </w:t>
      </w:r>
      <w:r w:rsidRPr="00782894">
        <w:tab/>
        <w:t xml:space="preserve">Refer to footnote </w:t>
      </w:r>
      <w:r w:rsidRPr="00782894">
        <w:fldChar w:fldCharType="begin"/>
      </w:r>
      <w:r w:rsidRPr="00782894">
        <w:instrText xml:space="preserve"> NOTEREF _Ref352938592 \h  \* MERGEFORMAT </w:instrText>
      </w:r>
      <w:r w:rsidRPr="00782894">
        <w:fldChar w:fldCharType="separate"/>
      </w:r>
      <w:r>
        <w:t>16</w:t>
      </w:r>
      <w:r w:rsidRPr="00782894">
        <w:fldChar w:fldCharType="end"/>
      </w:r>
      <w:r w:rsidRPr="00782894">
        <w:t>.</w:t>
      </w:r>
    </w:p>
  </w:footnote>
  <w:footnote w:id="19">
    <w:p w14:paraId="49D05158" w14:textId="77777777" w:rsidR="00DD6B6C" w:rsidRPr="00782894" w:rsidRDefault="00DD6B6C" w:rsidP="000B329E">
      <w:pPr>
        <w:pStyle w:val="Footnote"/>
      </w:pPr>
      <w:r w:rsidRPr="00782894">
        <w:rPr>
          <w:rStyle w:val="FootnoteReference"/>
        </w:rPr>
        <w:footnoteRef/>
      </w:r>
      <w:r w:rsidRPr="00782894">
        <w:t xml:space="preserve"> </w:t>
      </w:r>
      <w:r w:rsidRPr="00782894">
        <w:tab/>
        <w:t xml:space="preserve">Refer to footnote </w:t>
      </w:r>
      <w:r w:rsidRPr="00782894">
        <w:fldChar w:fldCharType="begin"/>
      </w:r>
      <w:r w:rsidRPr="00782894">
        <w:instrText xml:space="preserve"> NOTEREF _Ref352938592 \h </w:instrText>
      </w:r>
      <w:r>
        <w:instrText xml:space="preserve"> \* MERGEFORMAT </w:instrText>
      </w:r>
      <w:r w:rsidRPr="00782894">
        <w:fldChar w:fldCharType="separate"/>
      </w:r>
      <w:r>
        <w:t>16</w:t>
      </w:r>
      <w:r w:rsidRPr="00782894">
        <w:fldChar w:fldCharType="end"/>
      </w:r>
      <w:r w:rsidRPr="00782894">
        <w:t>.</w:t>
      </w:r>
    </w:p>
  </w:footnote>
  <w:footnote w:id="20">
    <w:p w14:paraId="49D05159" w14:textId="77777777" w:rsidR="00DD6B6C" w:rsidRPr="00782894" w:rsidRDefault="00DD6B6C" w:rsidP="000B329E">
      <w:pPr>
        <w:pStyle w:val="Footnote"/>
        <w:rPr>
          <w:b/>
        </w:rPr>
      </w:pPr>
      <w:r w:rsidRPr="00782894">
        <w:rPr>
          <w:rStyle w:val="FootnoteReference"/>
        </w:rPr>
        <w:footnoteRef/>
      </w:r>
      <w:r w:rsidRPr="00782894">
        <w:t xml:space="preserve"> </w:t>
      </w:r>
      <w:r w:rsidRPr="00782894">
        <w:tab/>
        <w:t xml:space="preserve">Securitisation exposures include but are not restricted to, securities, liquidity facilities, protection provided to securitisation positions, other commitments and credit enhancements such as cash collateral and other subordinated assets. Refer to </w:t>
      </w:r>
      <w:r w:rsidRPr="00782894">
        <w:rPr>
          <w:i/>
        </w:rPr>
        <w:t xml:space="preserve">Prudential Standard APS 120 Securitisation </w:t>
      </w:r>
      <w:r w:rsidRPr="00782894">
        <w:t>(APS 120).</w:t>
      </w:r>
    </w:p>
  </w:footnote>
  <w:footnote w:id="21">
    <w:p w14:paraId="49D0515A" w14:textId="77777777" w:rsidR="00DD6B6C" w:rsidRPr="00782894" w:rsidRDefault="00DD6B6C" w:rsidP="000B329E">
      <w:pPr>
        <w:pStyle w:val="Footnote"/>
      </w:pPr>
      <w:r w:rsidRPr="00782894">
        <w:rPr>
          <w:rStyle w:val="FootnoteReference"/>
        </w:rPr>
        <w:footnoteRef/>
      </w:r>
      <w:r w:rsidRPr="00782894">
        <w:t xml:space="preserve"> </w:t>
      </w:r>
      <w:r w:rsidRPr="00782894">
        <w:tab/>
        <w:t xml:space="preserve">As defined in </w:t>
      </w:r>
      <w:r w:rsidRPr="009C3F64">
        <w:rPr>
          <w:i/>
        </w:rPr>
        <w:t>Prudential Standard APS 112 Capital Adequacy: Standardised Approach to Credit Risk</w:t>
      </w:r>
      <w:r w:rsidRPr="00782894">
        <w:t xml:space="preserve"> (APS 112).</w:t>
      </w:r>
    </w:p>
  </w:footnote>
  <w:footnote w:id="22">
    <w:p w14:paraId="49D0515B" w14:textId="77777777" w:rsidR="00DD6B6C" w:rsidRPr="00782894" w:rsidRDefault="00DD6B6C" w:rsidP="000B329E">
      <w:pPr>
        <w:pStyle w:val="Footnote"/>
      </w:pPr>
      <w:r w:rsidRPr="00782894">
        <w:rPr>
          <w:rStyle w:val="FootnoteReference"/>
        </w:rPr>
        <w:footnoteRef/>
      </w:r>
      <w:r w:rsidRPr="00782894">
        <w:t xml:space="preserve"> </w:t>
      </w:r>
      <w:r w:rsidRPr="00782894">
        <w:tab/>
      </w:r>
      <w:r w:rsidRPr="00782894">
        <w:rPr>
          <w:color w:val="000000"/>
        </w:rPr>
        <w:t>Table 7 does not include equities or securitisation exposures.</w:t>
      </w:r>
    </w:p>
  </w:footnote>
  <w:footnote w:id="23">
    <w:p w14:paraId="49D0515C" w14:textId="77777777" w:rsidR="00DD6B6C" w:rsidRPr="00782894" w:rsidRDefault="00DD6B6C" w:rsidP="000B329E">
      <w:pPr>
        <w:pStyle w:val="Footnote"/>
      </w:pPr>
      <w:r w:rsidRPr="00782894">
        <w:rPr>
          <w:rStyle w:val="FootnoteReference"/>
        </w:rPr>
        <w:footnoteRef/>
      </w:r>
      <w:r w:rsidRPr="00782894">
        <w:t xml:space="preserve"> </w:t>
      </w:r>
      <w:r w:rsidRPr="00782894">
        <w:tab/>
        <w:t>This breakdown could be in line with normal accounting rules (e.g. loans; commitments and other non-market off-balance sheet exposures; debt securities; and over-the-counter derivatives).</w:t>
      </w:r>
    </w:p>
  </w:footnote>
  <w:footnote w:id="24">
    <w:p w14:paraId="49D0515D" w14:textId="77777777" w:rsidR="00DD6B6C" w:rsidRPr="00782894" w:rsidRDefault="00DD6B6C" w:rsidP="000B329E">
      <w:pPr>
        <w:pStyle w:val="Footnote"/>
      </w:pPr>
      <w:r w:rsidRPr="00782894">
        <w:rPr>
          <w:rStyle w:val="FootnoteReference"/>
        </w:rPr>
        <w:footnoteRef/>
      </w:r>
      <w:r w:rsidRPr="00782894">
        <w:rPr>
          <w:rStyle w:val="FootnoteReference"/>
        </w:rPr>
        <w:t xml:space="preserve"> </w:t>
      </w:r>
      <w:r w:rsidRPr="00782894">
        <w:tab/>
      </w:r>
      <w:r w:rsidRPr="00782894">
        <w:rPr>
          <w:color w:val="000000"/>
        </w:rPr>
        <w:t>Geographical</w:t>
      </w:r>
      <w:r w:rsidRPr="00782894">
        <w:t xml:space="preserve"> areas may comprise individual countries, groups of countries or regions within countries. An ADI might choose to define the geographical areas based on the way its portfolio is </w:t>
      </w:r>
      <w:r w:rsidRPr="00782894">
        <w:rPr>
          <w:color w:val="000000"/>
        </w:rPr>
        <w:t>geographically</w:t>
      </w:r>
      <w:r w:rsidRPr="00782894">
        <w:t xml:space="preserve"> managed. The criteria used to allocate the loans to geographical areas must be specified.</w:t>
      </w:r>
    </w:p>
  </w:footnote>
  <w:footnote w:id="25">
    <w:p w14:paraId="49D0515E" w14:textId="77777777" w:rsidR="00DD6B6C" w:rsidRPr="00782894" w:rsidRDefault="00DD6B6C" w:rsidP="000B329E">
      <w:pPr>
        <w:pStyle w:val="Footnote"/>
      </w:pPr>
      <w:r w:rsidRPr="00782894">
        <w:rPr>
          <w:rStyle w:val="FootnoteReference"/>
        </w:rPr>
        <w:footnoteRef/>
      </w:r>
      <w:r w:rsidRPr="00782894">
        <w:rPr>
          <w:rStyle w:val="FootnoteReference"/>
        </w:rPr>
        <w:t xml:space="preserve"> </w:t>
      </w:r>
      <w:r w:rsidRPr="00782894">
        <w:tab/>
        <w:t>AD</w:t>
      </w:r>
      <w:r w:rsidRPr="00782894">
        <w:rPr>
          <w:color w:val="000000"/>
        </w:rPr>
        <w:t>I</w:t>
      </w:r>
      <w:r w:rsidRPr="00782894">
        <w:t>s are encouraged also to provide an analysis of the aging of loans that are past due.</w:t>
      </w:r>
    </w:p>
  </w:footnote>
  <w:footnote w:id="26">
    <w:p w14:paraId="49D0515F" w14:textId="77777777" w:rsidR="00DD6B6C" w:rsidRPr="00782894" w:rsidRDefault="00DD6B6C" w:rsidP="000B329E">
      <w:pPr>
        <w:pStyle w:val="Footnote"/>
      </w:pPr>
      <w:r w:rsidRPr="00782894">
        <w:rPr>
          <w:rStyle w:val="FootnoteReference"/>
        </w:rPr>
        <w:footnoteRef/>
      </w:r>
      <w:r w:rsidRPr="00782894">
        <w:t xml:space="preserve"> </w:t>
      </w:r>
      <w:r w:rsidRPr="00782894">
        <w:tab/>
        <w:t>The reconciliation shows separately specific provisions and the general reserve for credit losses; the information comprises: a description of the type of provision/reserve; the opening balances; write-offs taken during the period; amounts set aside (or reversed) for estimated probable loan losses during the period, any other adjustments (e.g. exchange rate differences, business combinations, acquisitions and disposals of subsidiaries), including transfers between provisions and reserves; and the closing balances. Write-offs and recoveries that have been recorded directly to the income statement must be disclosed separately.</w:t>
      </w:r>
    </w:p>
  </w:footnote>
  <w:footnote w:id="27">
    <w:p w14:paraId="49D05160" w14:textId="77777777" w:rsidR="00DD6B6C" w:rsidRPr="00782894" w:rsidRDefault="00DD6B6C" w:rsidP="000B329E">
      <w:pPr>
        <w:pStyle w:val="Footnote"/>
      </w:pPr>
      <w:r w:rsidRPr="00782894">
        <w:rPr>
          <w:rStyle w:val="FootnoteReference"/>
        </w:rPr>
        <w:footnoteRef/>
      </w:r>
      <w:r w:rsidRPr="00782894">
        <w:t xml:space="preserve"> </w:t>
      </w:r>
      <w:r w:rsidRPr="00782894">
        <w:tab/>
      </w:r>
      <w:r w:rsidRPr="00782894">
        <w:rPr>
          <w:color w:val="000000"/>
        </w:rPr>
        <w:t>This</w:t>
      </w:r>
      <w:r w:rsidRPr="00782894">
        <w:t xml:space="preserve"> information need not be disclosed if the ADI complies with a standard mapping published by APRA.</w:t>
      </w:r>
    </w:p>
  </w:footnote>
  <w:footnote w:id="28">
    <w:p w14:paraId="49D05161" w14:textId="77777777" w:rsidR="00DD6B6C" w:rsidRPr="00782894" w:rsidRDefault="00DD6B6C" w:rsidP="000B329E">
      <w:pPr>
        <w:pStyle w:val="Footnote"/>
      </w:pPr>
      <w:r w:rsidRPr="00782894">
        <w:rPr>
          <w:rStyle w:val="FootnoteReference"/>
        </w:rPr>
        <w:footnoteRef/>
      </w:r>
      <w:r w:rsidRPr="00782894">
        <w:t xml:space="preserve"> </w:t>
      </w:r>
      <w:r w:rsidRPr="00782894">
        <w:tab/>
        <w:t>Table 9 does not include equities or securitisation exposures.</w:t>
      </w:r>
    </w:p>
  </w:footnote>
  <w:footnote w:id="29">
    <w:p w14:paraId="49D05162" w14:textId="77777777" w:rsidR="00DD6B6C" w:rsidRPr="00782894" w:rsidRDefault="00DD6B6C" w:rsidP="000B329E">
      <w:pPr>
        <w:pStyle w:val="Footnote"/>
      </w:pPr>
      <w:r w:rsidRPr="00782894">
        <w:rPr>
          <w:rStyle w:val="FootnoteReference"/>
        </w:rPr>
        <w:footnoteRef/>
      </w:r>
      <w:r w:rsidRPr="00782894">
        <w:t xml:space="preserve"> </w:t>
      </w:r>
      <w:r w:rsidRPr="00782894">
        <w:tab/>
        <w:t>In both the qualitative disclosures and quantitative disclosures that follow, an ADI must distinguish between the qualifying revolving retail exposures and other retail exposures unless these portfolios are insignificant in size (relative to overall credit exposures) and the risk profile of each portfolio is sufficiently similar such that separate disclosure would not help users’ understanding of the risk profile of the ADI’s retail business.</w:t>
      </w:r>
    </w:p>
  </w:footnote>
  <w:footnote w:id="30">
    <w:p w14:paraId="49D05163" w14:textId="77777777" w:rsidR="00DD6B6C" w:rsidRPr="00782894" w:rsidRDefault="00DD6B6C" w:rsidP="000B329E">
      <w:pPr>
        <w:pStyle w:val="Footnote"/>
      </w:pPr>
      <w:r w:rsidRPr="00782894">
        <w:rPr>
          <w:rStyle w:val="FootnoteReference"/>
        </w:rPr>
        <w:footnoteRef/>
      </w:r>
      <w:r w:rsidRPr="00782894">
        <w:rPr>
          <w:rStyle w:val="FootnoteReference"/>
        </w:rPr>
        <w:t xml:space="preserve"> </w:t>
      </w:r>
      <w:r w:rsidRPr="00782894">
        <w:tab/>
        <w:t>This disclosure does not require a detailed description of the model in full – it must provide a broad overview of the model approach, describing definitions of the variables, and methods for estimating and validating those variables set out in the quantitative risk disclosures below. This must be done for each of the portfolios. The ADI must draw out any significant differences in approach to estimating these variables within each portfolio.</w:t>
      </w:r>
    </w:p>
  </w:footnote>
  <w:footnote w:id="31">
    <w:p w14:paraId="49D05164" w14:textId="77777777" w:rsidR="00DD6B6C" w:rsidRPr="00782894" w:rsidRDefault="00DD6B6C" w:rsidP="000B329E">
      <w:pPr>
        <w:pStyle w:val="Footnote"/>
      </w:pPr>
      <w:r w:rsidRPr="00782894">
        <w:rPr>
          <w:rStyle w:val="FootnoteReference"/>
        </w:rPr>
        <w:footnoteRef/>
      </w:r>
      <w:r w:rsidRPr="00782894">
        <w:rPr>
          <w:rStyle w:val="FootnoteReference"/>
        </w:rPr>
        <w:t xml:space="preserve"> </w:t>
      </w:r>
      <w:r w:rsidRPr="00782894">
        <w:tab/>
        <w:t>The PD, LGD and EAD disclosures below must reflect the effects of collateral, netting and guarantees/credit derivatives as applicable.</w:t>
      </w:r>
    </w:p>
  </w:footnote>
  <w:footnote w:id="32">
    <w:p w14:paraId="49D05165" w14:textId="77777777" w:rsidR="00DD6B6C" w:rsidRPr="00782894" w:rsidRDefault="00DD6B6C" w:rsidP="000B329E">
      <w:pPr>
        <w:pStyle w:val="Footnote"/>
      </w:pPr>
      <w:r w:rsidRPr="00782894">
        <w:rPr>
          <w:rStyle w:val="FootnoteReference"/>
        </w:rPr>
        <w:footnoteRef/>
      </w:r>
      <w:r w:rsidRPr="00782894">
        <w:t xml:space="preserve"> </w:t>
      </w:r>
      <w:r w:rsidRPr="00782894">
        <w:tab/>
        <w:t>Outstanding loans and EAD on undrawn commitments can be presented on a combined basis for these disclosures.</w:t>
      </w:r>
    </w:p>
  </w:footnote>
  <w:footnote w:id="33">
    <w:p w14:paraId="49D05166" w14:textId="77777777" w:rsidR="00DD6B6C" w:rsidRPr="00782894" w:rsidRDefault="00DD6B6C" w:rsidP="000B329E">
      <w:pPr>
        <w:pStyle w:val="Footnote"/>
      </w:pPr>
      <w:r w:rsidRPr="00782894">
        <w:rPr>
          <w:rStyle w:val="FootnoteReference"/>
        </w:rPr>
        <w:footnoteRef/>
      </w:r>
      <w:r w:rsidRPr="00782894">
        <w:rPr>
          <w:rStyle w:val="FootnoteReference"/>
        </w:rPr>
        <w:t xml:space="preserve"> </w:t>
      </w:r>
      <w:r w:rsidRPr="00782894">
        <w:tab/>
        <w:t xml:space="preserve">An ADI need only provide one estimate of EAD for each portfolio. However, where an ADI believes it is helpful, in order to give a more meaningful assessment of risk, they may also disclose EAD estimates across a number of EAD categories, against the undrawn exposures to which these relate. </w:t>
      </w:r>
    </w:p>
  </w:footnote>
  <w:footnote w:id="34">
    <w:p w14:paraId="49D05167" w14:textId="77777777" w:rsidR="00DD6B6C" w:rsidRPr="00782894" w:rsidRDefault="00DD6B6C" w:rsidP="000B329E">
      <w:pPr>
        <w:pStyle w:val="Footnote"/>
      </w:pPr>
      <w:r w:rsidRPr="00782894">
        <w:rPr>
          <w:rStyle w:val="FootnoteReference"/>
        </w:rPr>
        <w:footnoteRef/>
      </w:r>
      <w:r w:rsidRPr="00782894">
        <w:t xml:space="preserve"> </w:t>
      </w:r>
      <w:r w:rsidRPr="00782894">
        <w:tab/>
        <w:t>An ADI would normally be expected to follow the disclosures provided for the non-retail portfolios. However, an ADI may choose to adopt EL grades as the basis of disclosure where they believe this can provide the reader with a meaningful differentiation of credit risk. Where an ADI is aggregating internal grades (either PD/LGD or EL) for the purposes of disclosure, this must be a representative breakdown of the distribution of those grades used in the IRB approach.</w:t>
      </w:r>
    </w:p>
  </w:footnote>
  <w:footnote w:id="35">
    <w:p w14:paraId="49D05168" w14:textId="77777777" w:rsidR="00DD6B6C" w:rsidRPr="00782894" w:rsidRDefault="00DD6B6C" w:rsidP="000B329E">
      <w:pPr>
        <w:pStyle w:val="Footnote"/>
      </w:pPr>
      <w:r w:rsidRPr="00782894">
        <w:rPr>
          <w:rStyle w:val="FootnoteReference"/>
        </w:rPr>
        <w:footnoteRef/>
      </w:r>
      <w:r w:rsidRPr="00782894">
        <w:t xml:space="preserve"> </w:t>
      </w:r>
      <w:r w:rsidRPr="00782894">
        <w:tab/>
        <w:t xml:space="preserve">These disclosures are a way of further informing about the reliability of the information provided in the ‘quantitative disclosures: risk assessment’ over the long run. </w:t>
      </w:r>
    </w:p>
  </w:footnote>
  <w:footnote w:id="36">
    <w:p w14:paraId="49D05169" w14:textId="77777777" w:rsidR="00DD6B6C" w:rsidRPr="00782894" w:rsidRDefault="00DD6B6C" w:rsidP="000B329E">
      <w:pPr>
        <w:pStyle w:val="Footnote"/>
      </w:pPr>
      <w:r w:rsidRPr="00782894">
        <w:rPr>
          <w:rStyle w:val="FootnoteReference"/>
        </w:rPr>
        <w:footnoteRef/>
      </w:r>
      <w:r w:rsidRPr="00782894">
        <w:rPr>
          <w:rStyle w:val="FootnoteReference"/>
        </w:rPr>
        <w:t xml:space="preserve"> </w:t>
      </w:r>
      <w:r w:rsidRPr="00782894">
        <w:tab/>
        <w:t>An ADI is expected to provide these disclosures for as long run of data as possible – for example, if the ADI has 10 years of data, it might choose to disclose the average default rates for each PD grade over that 10-year period. Annual amounts need not be disclosed.</w:t>
      </w:r>
    </w:p>
  </w:footnote>
  <w:footnote w:id="37">
    <w:p w14:paraId="49D0516A" w14:textId="77777777" w:rsidR="00DD6B6C" w:rsidRPr="00782894" w:rsidRDefault="00DD6B6C" w:rsidP="000B329E">
      <w:pPr>
        <w:pStyle w:val="Footnote"/>
      </w:pPr>
      <w:r w:rsidRPr="00782894">
        <w:rPr>
          <w:rStyle w:val="FootnoteReference"/>
        </w:rPr>
        <w:footnoteRef/>
      </w:r>
      <w:r w:rsidRPr="00782894">
        <w:rPr>
          <w:rStyle w:val="FootnoteReference"/>
        </w:rPr>
        <w:t xml:space="preserve"> </w:t>
      </w:r>
      <w:r w:rsidRPr="00782894">
        <w:rPr>
          <w:rStyle w:val="FootnoteReference"/>
        </w:rPr>
        <w:tab/>
      </w:r>
      <w:r w:rsidRPr="00782894">
        <w:t xml:space="preserve">An ADI must provide this further decomposition where it will allow users greater insight into the reliability of the estimates provided in Table 9(d) ‘Quantitative disclosures: risk assessment’. In particular, an ADI </w:t>
      </w:r>
      <w:r w:rsidRPr="00782894">
        <w:rPr>
          <w:color w:val="000000"/>
        </w:rPr>
        <w:t>must provide this information where there are material differences between the PD, LGD or EAD estimates given by it compared to actual outcomes over the long run. The ADI must also provide explanations for such differences.</w:t>
      </w:r>
    </w:p>
  </w:footnote>
  <w:footnote w:id="38">
    <w:p w14:paraId="49D0516B" w14:textId="77777777" w:rsidR="00DD6B6C" w:rsidRPr="00782894" w:rsidRDefault="00DD6B6C" w:rsidP="000B329E">
      <w:pPr>
        <w:pStyle w:val="Footnote"/>
      </w:pPr>
      <w:r w:rsidRPr="00782894">
        <w:rPr>
          <w:rStyle w:val="FootnoteReference"/>
        </w:rPr>
        <w:footnoteRef/>
      </w:r>
      <w:r w:rsidRPr="00782894">
        <w:t xml:space="preserve"> </w:t>
      </w:r>
      <w:r w:rsidRPr="00782894">
        <w:tab/>
        <w:t xml:space="preserve">At a minimum, an ADI must provide the disclosures in this table in relation to credit risk mitigation that has been recognised for the purposes of reducing capital requirements under APS 112 and </w:t>
      </w:r>
      <w:r w:rsidRPr="00782894">
        <w:rPr>
          <w:i/>
        </w:rPr>
        <w:t xml:space="preserve">Prudential Standard APS 113 Capital Adequacy: Internal Ratings-based Approach to Credit Risk </w:t>
      </w:r>
      <w:r w:rsidRPr="00782894">
        <w:t>(APS 113). Where relevant, an ADI is encouraged to give further information about mitigants that have not been recognised for that purpose. Credit derivatives and other credit risk mitigation that are treated as part of synthetic securitisation structures must be excluded from the credit risk mitigation disclosures and included within those relating to securitisation (Table 12).</w:t>
      </w:r>
    </w:p>
  </w:footnote>
  <w:footnote w:id="39">
    <w:p w14:paraId="49D0516C" w14:textId="77777777" w:rsidR="00DD6B6C" w:rsidRPr="00782894" w:rsidRDefault="00DD6B6C" w:rsidP="000B329E">
      <w:pPr>
        <w:pStyle w:val="Footnote"/>
      </w:pPr>
      <w:r w:rsidRPr="00782894">
        <w:rPr>
          <w:rStyle w:val="FootnoteReference"/>
        </w:rPr>
        <w:footnoteRef/>
      </w:r>
      <w:r w:rsidRPr="00782894">
        <w:t xml:space="preserve"> </w:t>
      </w:r>
      <w:r w:rsidRPr="00782894">
        <w:tab/>
        <w:t>If the comprehensive approach is applied, where applicable, the total exposure covered by collateral after haircuts must be reduced further to remove any positive adjustments that were applied to the exposure as permitted under APS 112 and APS 113.</w:t>
      </w:r>
    </w:p>
  </w:footnote>
  <w:footnote w:id="40">
    <w:p w14:paraId="49D0516D" w14:textId="77777777" w:rsidR="00DD6B6C" w:rsidRPr="00782894" w:rsidRDefault="00DD6B6C" w:rsidP="001D7BFA">
      <w:pPr>
        <w:pStyle w:val="Footnote"/>
      </w:pPr>
      <w:r w:rsidRPr="00782894">
        <w:rPr>
          <w:rStyle w:val="FootnoteReference"/>
        </w:rPr>
        <w:footnoteRef/>
      </w:r>
      <w:r w:rsidRPr="00782894">
        <w:t xml:space="preserve"> </w:t>
      </w:r>
      <w:r w:rsidRPr="00782894">
        <w:tab/>
        <w:t>Net credit exposure is the credit exposure on derivatives transactions after considering both the benefits from legally enforceable netting agreements and collateral arrangements.</w:t>
      </w:r>
      <w:r w:rsidRPr="00782894">
        <w:tab/>
      </w:r>
    </w:p>
  </w:footnote>
  <w:footnote w:id="41">
    <w:p w14:paraId="49D0516E" w14:textId="77777777" w:rsidR="00DD6B6C" w:rsidRPr="00782894" w:rsidRDefault="00DD6B6C" w:rsidP="00406987">
      <w:pPr>
        <w:pStyle w:val="Footnote"/>
      </w:pPr>
      <w:r w:rsidRPr="00782894">
        <w:rPr>
          <w:rStyle w:val="FootnoteReference"/>
        </w:rPr>
        <w:footnoteRef/>
      </w:r>
      <w:r w:rsidRPr="00782894">
        <w:t xml:space="preserve"> </w:t>
      </w:r>
      <w:r w:rsidRPr="00782894">
        <w:tab/>
        <w:t>For example, interest rate contracts, foreign exchange contracts, equity contracts, credit derivatives, and commodity/other contracts.</w:t>
      </w:r>
    </w:p>
  </w:footnote>
  <w:footnote w:id="42">
    <w:p w14:paraId="49D0516F" w14:textId="77777777" w:rsidR="00DD6B6C" w:rsidRPr="00782894" w:rsidRDefault="00DD6B6C" w:rsidP="00406987">
      <w:pPr>
        <w:pStyle w:val="Footnote"/>
      </w:pPr>
      <w:r w:rsidRPr="00782894">
        <w:rPr>
          <w:rStyle w:val="FootnoteReference"/>
        </w:rPr>
        <w:footnoteRef/>
      </w:r>
      <w:r w:rsidRPr="00782894">
        <w:t xml:space="preserve"> </w:t>
      </w:r>
      <w:r w:rsidRPr="00782894">
        <w:tab/>
        <w:t>For example, Credit Default Swaps, Total Return Swaps, Credit options, and other.</w:t>
      </w:r>
    </w:p>
  </w:footnote>
  <w:footnote w:id="43">
    <w:p w14:paraId="49D05170" w14:textId="77777777" w:rsidR="00DD6B6C" w:rsidRPr="00782894" w:rsidRDefault="00DD6B6C" w:rsidP="00742F5F">
      <w:pPr>
        <w:autoSpaceDE w:val="0"/>
        <w:autoSpaceDN w:val="0"/>
        <w:adjustRightInd w:val="0"/>
        <w:jc w:val="both"/>
        <w:rPr>
          <w:sz w:val="20"/>
          <w:szCs w:val="20"/>
        </w:rPr>
      </w:pPr>
      <w:r w:rsidRPr="00782894">
        <w:rPr>
          <w:rStyle w:val="FootnoteReference"/>
          <w:sz w:val="20"/>
          <w:szCs w:val="20"/>
        </w:rPr>
        <w:footnoteRef/>
      </w:r>
      <w:r w:rsidRPr="00782894">
        <w:rPr>
          <w:rStyle w:val="FootnoteReference"/>
          <w:sz w:val="20"/>
          <w:szCs w:val="20"/>
        </w:rPr>
        <w:t xml:space="preserve"> </w:t>
      </w:r>
      <w:r w:rsidRPr="00782894">
        <w:rPr>
          <w:sz w:val="20"/>
          <w:szCs w:val="20"/>
        </w:rPr>
        <w:tab/>
        <w:t xml:space="preserve">Where relevant, an ADI is encouraged to differentiate between securitisation exposures resulting from activities in which they are an originating ADI and exposures that result from all other securitisation activities that are subject to APS 120. An originating ADI is also encouraged to distinguish between situations where it originates underlying exposures included in a securitisation from those where it is either a managing ADI (of a </w:t>
      </w:r>
      <w:r w:rsidRPr="004B19DF">
        <w:rPr>
          <w:b/>
          <w:sz w:val="20"/>
          <w:szCs w:val="20"/>
        </w:rPr>
        <w:t>third party</w:t>
      </w:r>
      <w:r w:rsidRPr="00782894">
        <w:rPr>
          <w:sz w:val="20"/>
          <w:szCs w:val="20"/>
        </w:rPr>
        <w:t xml:space="preserve"> securitisation) or provider of a facility (other than derivatives) to an asset-backed commercial paper securitisation.</w:t>
      </w:r>
    </w:p>
  </w:footnote>
  <w:footnote w:id="44">
    <w:p w14:paraId="49D05171" w14:textId="77777777" w:rsidR="00DD6B6C" w:rsidRPr="00782894" w:rsidRDefault="00DD6B6C" w:rsidP="00742F5F">
      <w:pPr>
        <w:pStyle w:val="FootnoteText"/>
        <w:jc w:val="both"/>
      </w:pPr>
      <w:r w:rsidRPr="00782894">
        <w:rPr>
          <w:rStyle w:val="FootnoteReference"/>
        </w:rPr>
        <w:footnoteRef/>
      </w:r>
      <w:r w:rsidRPr="00782894">
        <w:t xml:space="preserve"> </w:t>
      </w:r>
      <w:r w:rsidRPr="00782894">
        <w:tab/>
        <w:t>Where relevant, an ADI must provide separate qualitative disclosures for banking book and trading book exposures.</w:t>
      </w:r>
    </w:p>
  </w:footnote>
  <w:footnote w:id="45">
    <w:p w14:paraId="49D05172" w14:textId="77777777" w:rsidR="00DD6B6C" w:rsidRPr="00782894" w:rsidRDefault="00DD6B6C" w:rsidP="00742F5F">
      <w:pPr>
        <w:pStyle w:val="FootnoteText"/>
        <w:jc w:val="both"/>
      </w:pPr>
      <w:r w:rsidRPr="00782894">
        <w:rPr>
          <w:rStyle w:val="FootnoteReference"/>
        </w:rPr>
        <w:footnoteRef/>
      </w:r>
      <w:r w:rsidRPr="00782894">
        <w:t xml:space="preserve"> </w:t>
      </w:r>
      <w:r w:rsidRPr="00782894">
        <w:tab/>
        <w:t>For example, if an ADI is particularly active in the market of senior tranches of re-securitisations of mezzanine tranches related to securitisations of residential mortgages, it must describe the ‘layers’ of re-securitisations (i.e. senior tranche of mezzanine tranche of residential mortgage); this description must be provided for the main categories of re-securitisation products in which the ADI is significantly active.</w:t>
      </w:r>
    </w:p>
  </w:footnote>
  <w:footnote w:id="46">
    <w:p w14:paraId="49D05173" w14:textId="77777777" w:rsidR="00DD6B6C" w:rsidRPr="00782894" w:rsidRDefault="00DD6B6C" w:rsidP="00742F5F">
      <w:pPr>
        <w:pStyle w:val="FootnoteText"/>
        <w:jc w:val="both"/>
      </w:pPr>
      <w:r w:rsidRPr="00782894">
        <w:rPr>
          <w:rStyle w:val="FootnoteReference"/>
        </w:rPr>
        <w:footnoteRef/>
      </w:r>
      <w:r w:rsidRPr="00782894">
        <w:t xml:space="preserve"> </w:t>
      </w:r>
      <w:r w:rsidRPr="00782894">
        <w:tab/>
        <w:t xml:space="preserve">For example, originator, investor, servicer, provider of credit enhancement, sponsor, liquidity provider, swap provider, protection provider. </w:t>
      </w:r>
    </w:p>
  </w:footnote>
  <w:footnote w:id="47">
    <w:p w14:paraId="49D05174" w14:textId="77777777" w:rsidR="00DD6B6C" w:rsidRPr="00782894" w:rsidRDefault="00DD6B6C" w:rsidP="00742F5F">
      <w:pPr>
        <w:pStyle w:val="FootnoteText"/>
        <w:jc w:val="both"/>
      </w:pPr>
      <w:r w:rsidRPr="00782894">
        <w:rPr>
          <w:rStyle w:val="FootnoteReference"/>
        </w:rPr>
        <w:footnoteRef/>
      </w:r>
      <w:r w:rsidRPr="00782894">
        <w:t xml:space="preserve"> </w:t>
      </w:r>
      <w:r w:rsidRPr="00782894">
        <w:tab/>
        <w:t xml:space="preserve">Refer to footnote </w:t>
      </w:r>
      <w:r w:rsidRPr="00782894">
        <w:fldChar w:fldCharType="begin"/>
      </w:r>
      <w:r w:rsidRPr="00782894">
        <w:instrText xml:space="preserve"> NOTEREF _Ref352171105 \h </w:instrText>
      </w:r>
      <w:r>
        <w:instrText xml:space="preserve"> \* MERGEFORMAT </w:instrText>
      </w:r>
      <w:r w:rsidRPr="00782894">
        <w:fldChar w:fldCharType="separate"/>
      </w:r>
      <w:r>
        <w:t>19</w:t>
      </w:r>
      <w:r w:rsidRPr="00782894">
        <w:fldChar w:fldCharType="end"/>
      </w:r>
      <w:r w:rsidRPr="00782894">
        <w:t>.</w:t>
      </w:r>
    </w:p>
  </w:footnote>
  <w:footnote w:id="48">
    <w:p w14:paraId="49D05175" w14:textId="77777777" w:rsidR="00DD6B6C" w:rsidRPr="00782894" w:rsidRDefault="00DD6B6C" w:rsidP="00742F5F">
      <w:pPr>
        <w:pStyle w:val="FootnoteText"/>
        <w:jc w:val="both"/>
      </w:pPr>
      <w:r w:rsidRPr="00782894">
        <w:rPr>
          <w:rStyle w:val="FootnoteReference"/>
        </w:rPr>
        <w:footnoteRef/>
      </w:r>
      <w:r w:rsidRPr="00782894">
        <w:t xml:space="preserve"> </w:t>
      </w:r>
      <w:r w:rsidRPr="00782894">
        <w:tab/>
        <w:t>An ADI would generally be considered a ‘sponsor’ if it, in fact or in substance, manages or advises the programme, places securities into the market, or provides liquidity and/or credit enhancements. The programme may include, for example, ABCP conduit programmes and structured investment vehicles.</w:t>
      </w:r>
    </w:p>
  </w:footnote>
  <w:footnote w:id="49">
    <w:p w14:paraId="49D05176" w14:textId="77777777" w:rsidR="00DD6B6C" w:rsidRPr="00782894" w:rsidRDefault="00DD6B6C" w:rsidP="00742F5F">
      <w:pPr>
        <w:pStyle w:val="FootnoteText"/>
        <w:jc w:val="both"/>
      </w:pPr>
      <w:r w:rsidRPr="00782894">
        <w:rPr>
          <w:rStyle w:val="FootnoteReference"/>
        </w:rPr>
        <w:footnoteRef/>
      </w:r>
      <w:r w:rsidRPr="00782894">
        <w:t xml:space="preserve"> </w:t>
      </w:r>
      <w:r w:rsidRPr="00782894">
        <w:tab/>
        <w:t>Where relevant, ADIs are encouraged to differentiate between valuation of securitisation exposures and resecuritisation exposures.</w:t>
      </w:r>
    </w:p>
  </w:footnote>
  <w:footnote w:id="50">
    <w:p w14:paraId="49D05177" w14:textId="77777777" w:rsidR="00DD6B6C" w:rsidRPr="00782894" w:rsidRDefault="00DD6B6C" w:rsidP="00742F5F">
      <w:pPr>
        <w:pStyle w:val="FootnoteText"/>
        <w:jc w:val="both"/>
      </w:pPr>
      <w:r w:rsidRPr="00782894">
        <w:rPr>
          <w:rStyle w:val="FootnoteReference"/>
        </w:rPr>
        <w:footnoteRef/>
      </w:r>
      <w:r w:rsidRPr="00782894">
        <w:t xml:space="preserve"> </w:t>
      </w:r>
      <w:r w:rsidRPr="00782894">
        <w:tab/>
        <w:t xml:space="preserve">For example, credit cards, home equity, auto, and securitisation exposures detailed by underlying exposure type and security type (e.g. Residential Mortgage-backed Securities (RMBS), Commercial Mortgage-backed Securities (CMBS), Asset-backed Securities (ABS), Collateralised Debt Obligations (CDOs), etc. </w:t>
      </w:r>
    </w:p>
  </w:footnote>
  <w:footnote w:id="51">
    <w:p w14:paraId="49D05178" w14:textId="77777777" w:rsidR="00DD6B6C" w:rsidRPr="00782894" w:rsidRDefault="00DD6B6C" w:rsidP="00742F5F">
      <w:pPr>
        <w:pStyle w:val="FootnoteText"/>
        <w:jc w:val="both"/>
      </w:pPr>
      <w:r w:rsidRPr="00782894">
        <w:rPr>
          <w:rStyle w:val="FootnoteReference"/>
        </w:rPr>
        <w:footnoteRef/>
      </w:r>
      <w:r w:rsidRPr="00782894">
        <w:t xml:space="preserve"> </w:t>
      </w:r>
      <w:r w:rsidRPr="00782894">
        <w:tab/>
        <w:t xml:space="preserve">‘Exposures securitised’ include underlying exposures originated by the ADI, whether generated by it or purchased into the balance sheet from third parties, and third-party exposures included in sponsored schemes. Securitisation transactions (including underlying exposures originally on the ADI’s balance sheet and underlying exposures acquired by the ADI from third-party entities) in which the originating ADI does not retain any securitisation exposure must be shown separately but need only be reported for the year of inception.  </w:t>
      </w:r>
    </w:p>
  </w:footnote>
  <w:footnote w:id="52">
    <w:p w14:paraId="49D05179" w14:textId="77777777" w:rsidR="00DD6B6C" w:rsidRPr="00782894" w:rsidRDefault="00DD6B6C" w:rsidP="00410391">
      <w:pPr>
        <w:pStyle w:val="FootnoteText"/>
        <w:jc w:val="both"/>
      </w:pPr>
      <w:r w:rsidRPr="00782894">
        <w:rPr>
          <w:rStyle w:val="FootnoteReference"/>
        </w:rPr>
        <w:footnoteRef/>
      </w:r>
      <w:r w:rsidRPr="00782894">
        <w:t xml:space="preserve"> </w:t>
      </w:r>
      <w:r w:rsidRPr="00782894">
        <w:tab/>
        <w:t xml:space="preserve">An ADI is required to disclose exposures regardless of whether there is a capital charge under APS 120. </w:t>
      </w:r>
    </w:p>
  </w:footnote>
  <w:footnote w:id="53">
    <w:p w14:paraId="49D0517A" w14:textId="77777777" w:rsidR="00DD6B6C" w:rsidRPr="00782894" w:rsidRDefault="00DD6B6C" w:rsidP="00410391">
      <w:pPr>
        <w:pStyle w:val="FootnoteText"/>
        <w:jc w:val="both"/>
      </w:pPr>
      <w:r w:rsidRPr="00782894">
        <w:rPr>
          <w:rStyle w:val="FootnoteReference"/>
        </w:rPr>
        <w:footnoteRef/>
      </w:r>
      <w:r w:rsidRPr="00782894">
        <w:t xml:space="preserve"> </w:t>
      </w:r>
      <w:r w:rsidRPr="00782894">
        <w:tab/>
        <w:t>For example, charge-offs/allowances (if the assets remain on the ADI’s balance sheet) or write-downs of retained residual interests, as well as recognition of liabilities for probable future financial support required of the ADI with respect to securitised assets.</w:t>
      </w:r>
    </w:p>
  </w:footnote>
  <w:footnote w:id="54">
    <w:p w14:paraId="49D0517B" w14:textId="77777777" w:rsidR="00DD6B6C" w:rsidRPr="00782894" w:rsidRDefault="00DD6B6C" w:rsidP="00410391">
      <w:pPr>
        <w:pStyle w:val="FootnoteText"/>
        <w:jc w:val="both"/>
      </w:pPr>
      <w:r w:rsidRPr="00782894">
        <w:rPr>
          <w:rStyle w:val="FootnoteReference"/>
        </w:rPr>
        <w:footnoteRef/>
      </w:r>
      <w:r w:rsidRPr="00782894">
        <w:t xml:space="preserve"> </w:t>
      </w:r>
      <w:r w:rsidRPr="00782894">
        <w:tab/>
        <w:t>Refer to footnote 50.</w:t>
      </w:r>
    </w:p>
  </w:footnote>
  <w:footnote w:id="55">
    <w:p w14:paraId="49D0517C" w14:textId="77777777" w:rsidR="00DD6B6C" w:rsidRPr="00782894" w:rsidRDefault="00DD6B6C" w:rsidP="00742F5F">
      <w:pPr>
        <w:pStyle w:val="FootnoteText"/>
        <w:jc w:val="both"/>
      </w:pPr>
      <w:r w:rsidRPr="00782894">
        <w:rPr>
          <w:rStyle w:val="FootnoteReference"/>
        </w:rPr>
        <w:footnoteRef/>
      </w:r>
      <w:r w:rsidRPr="00782894">
        <w:t xml:space="preserve"> </w:t>
      </w:r>
      <w:r w:rsidRPr="00782894">
        <w:tab/>
        <w:t xml:space="preserve">Refer to footnote </w:t>
      </w:r>
      <w:r w:rsidRPr="00782894">
        <w:fldChar w:fldCharType="begin"/>
      </w:r>
      <w:r w:rsidRPr="00782894">
        <w:instrText xml:space="preserve"> NOTEREF _Ref352171105 \h </w:instrText>
      </w:r>
      <w:r>
        <w:instrText xml:space="preserve"> \* MERGEFORMAT </w:instrText>
      </w:r>
      <w:r w:rsidRPr="00782894">
        <w:fldChar w:fldCharType="separate"/>
      </w:r>
      <w:r>
        <w:t>19</w:t>
      </w:r>
      <w:r w:rsidRPr="00782894">
        <w:fldChar w:fldCharType="end"/>
      </w:r>
      <w:r w:rsidRPr="00782894">
        <w:t>.</w:t>
      </w:r>
    </w:p>
  </w:footnote>
  <w:footnote w:id="56">
    <w:p w14:paraId="49D0517D" w14:textId="77777777" w:rsidR="00DD6B6C" w:rsidRPr="00782894" w:rsidRDefault="00DD6B6C" w:rsidP="00742F5F">
      <w:pPr>
        <w:pStyle w:val="FootnoteText"/>
        <w:jc w:val="both"/>
      </w:pPr>
      <w:r w:rsidRPr="00782894">
        <w:rPr>
          <w:rStyle w:val="FootnoteReference"/>
        </w:rPr>
        <w:footnoteRef/>
      </w:r>
      <w:r w:rsidRPr="00782894">
        <w:t xml:space="preserve"> </w:t>
      </w:r>
      <w:r w:rsidRPr="00782894">
        <w:tab/>
        <w:t>Refer to APS 111.</w:t>
      </w:r>
    </w:p>
  </w:footnote>
  <w:footnote w:id="57">
    <w:p w14:paraId="49D0517E" w14:textId="77777777" w:rsidR="00DD6B6C" w:rsidRPr="00782894" w:rsidRDefault="00DD6B6C" w:rsidP="00153921">
      <w:pPr>
        <w:pStyle w:val="FootnoteText"/>
      </w:pPr>
      <w:r w:rsidRPr="00782894">
        <w:rPr>
          <w:rStyle w:val="FootnoteReference"/>
        </w:rPr>
        <w:footnoteRef/>
      </w:r>
      <w:r w:rsidRPr="00782894">
        <w:t xml:space="preserve"> </w:t>
      </w:r>
      <w:r w:rsidRPr="00782894">
        <w:tab/>
        <w:t>Separate disclosures are required for the capital requirements on securitisation positions under Table 12.</w:t>
      </w:r>
    </w:p>
  </w:footnote>
  <w:footnote w:id="58">
    <w:p w14:paraId="49D0517F" w14:textId="77777777" w:rsidR="00DD6B6C" w:rsidRPr="00782894" w:rsidRDefault="00DD6B6C">
      <w:pPr>
        <w:pStyle w:val="FootnoteText"/>
      </w:pPr>
      <w:r w:rsidRPr="00782894">
        <w:rPr>
          <w:rStyle w:val="FootnoteReference"/>
        </w:rPr>
        <w:footnoteRef/>
      </w:r>
      <w:r w:rsidRPr="00782894">
        <w:t xml:space="preserve"> </w:t>
      </w:r>
      <w:r w:rsidRPr="00782894">
        <w:tab/>
        <w:t>See paragraph 7 in Attachment D to APS 110</w:t>
      </w:r>
    </w:p>
  </w:footnote>
  <w:footnote w:id="59">
    <w:p w14:paraId="49D05180" w14:textId="77777777" w:rsidR="00DD6B6C" w:rsidRPr="00782894" w:rsidRDefault="00DD6B6C" w:rsidP="008B5AA4">
      <w:pPr>
        <w:pStyle w:val="FootnoteText"/>
        <w:jc w:val="both"/>
      </w:pPr>
      <w:r w:rsidRPr="00782894">
        <w:rPr>
          <w:rStyle w:val="FootnoteReference"/>
        </w:rPr>
        <w:footnoteRef/>
      </w:r>
      <w:r w:rsidRPr="00782894">
        <w:t xml:space="preserve"> </w:t>
      </w:r>
      <w:r w:rsidRPr="00782894">
        <w:tab/>
        <w:t xml:space="preserve">This should show the credit equivalent amount of off-balance sheet items according to paragraph 30 in Attachment D to APS 110 </w:t>
      </w:r>
    </w:p>
  </w:footnote>
  <w:footnote w:id="60">
    <w:p w14:paraId="49D05181" w14:textId="77777777" w:rsidR="00DD6B6C" w:rsidRPr="00782894" w:rsidRDefault="00DD6B6C" w:rsidP="008B5AA4">
      <w:pPr>
        <w:pStyle w:val="FootnoteText"/>
        <w:jc w:val="both"/>
      </w:pPr>
      <w:r w:rsidRPr="00782894">
        <w:rPr>
          <w:rStyle w:val="FootnoteReference"/>
        </w:rPr>
        <w:footnoteRef/>
      </w:r>
      <w:r w:rsidRPr="00782894">
        <w:t xml:space="preserve"> </w:t>
      </w:r>
      <w:r w:rsidRPr="00782894">
        <w:tab/>
        <w:t>This should be the sum of the previous items and should be consistent with row 21 of Table 18.</w:t>
      </w:r>
    </w:p>
  </w:footnote>
  <w:footnote w:id="61">
    <w:p w14:paraId="49D05182" w14:textId="77777777" w:rsidR="00DD6B6C" w:rsidRPr="00782894" w:rsidRDefault="00DD6B6C">
      <w:pPr>
        <w:pStyle w:val="FootnoteText"/>
      </w:pPr>
      <w:r w:rsidRPr="00782894">
        <w:rPr>
          <w:rStyle w:val="FootnoteReference"/>
        </w:rPr>
        <w:footnoteRef/>
      </w:r>
      <w:r w:rsidRPr="00782894">
        <w:t xml:space="preserve"> </w:t>
      </w:r>
      <w:r w:rsidRPr="00782894">
        <w:tab/>
        <w:t xml:space="preserve">Other than a foreign ADI; refer to paragraph </w:t>
      </w:r>
      <w:r w:rsidRPr="00782894">
        <w:fldChar w:fldCharType="begin"/>
      </w:r>
      <w:r w:rsidRPr="00782894">
        <w:instrText xml:space="preserve"> REF _Ref406398111 \r \h </w:instrText>
      </w:r>
      <w:r>
        <w:instrText xml:space="preserve"> \* MERGEFORMAT </w:instrText>
      </w:r>
      <w:r w:rsidRPr="00782894">
        <w:fldChar w:fldCharType="separate"/>
      </w:r>
      <w:r>
        <w:t>10(r)</w:t>
      </w:r>
      <w:r w:rsidRPr="00782894">
        <w:fldChar w:fldCharType="end"/>
      </w:r>
      <w:r w:rsidRPr="00782894">
        <w:t xml:space="preserve"> of this Prudential Standard.</w:t>
      </w:r>
    </w:p>
  </w:footnote>
  <w:footnote w:id="62">
    <w:p w14:paraId="49D05183" w14:textId="77777777" w:rsidR="00DD6B6C" w:rsidRPr="00782894" w:rsidRDefault="00DD6B6C" w:rsidP="006F4530">
      <w:pPr>
        <w:pStyle w:val="FootnoteText"/>
      </w:pPr>
      <w:r w:rsidRPr="00782894">
        <w:rPr>
          <w:rStyle w:val="FootnoteReference"/>
        </w:rPr>
        <w:footnoteRef/>
      </w:r>
      <w:r w:rsidRPr="00782894">
        <w:t xml:space="preserve"> </w:t>
      </w:r>
      <w:r w:rsidRPr="00782894">
        <w:tab/>
        <w:t xml:space="preserve">Unweighted values must be calculated as outstanding balances maturing or callable within 30 days (for inflows and outflows). </w:t>
      </w:r>
    </w:p>
  </w:footnote>
  <w:footnote w:id="63">
    <w:p w14:paraId="49D05184" w14:textId="77777777" w:rsidR="00DD6B6C" w:rsidRPr="00782894" w:rsidRDefault="00DD6B6C" w:rsidP="006F4530">
      <w:pPr>
        <w:pStyle w:val="FootnoteText"/>
      </w:pPr>
      <w:r w:rsidRPr="00782894">
        <w:rPr>
          <w:rStyle w:val="FootnoteReference"/>
        </w:rPr>
        <w:footnoteRef/>
      </w:r>
      <w:r w:rsidRPr="00782894">
        <w:t xml:space="preserve"> </w:t>
      </w:r>
      <w:r w:rsidRPr="00782894">
        <w:tab/>
        <w:t xml:space="preserve">Weighted values must be calculated after the application of respective haircuts (for HQLA) or inflow and outflow rates (for inflows and outflows). </w:t>
      </w:r>
    </w:p>
  </w:footnote>
  <w:footnote w:id="64">
    <w:p w14:paraId="49D05185" w14:textId="77777777" w:rsidR="00DD6B6C" w:rsidRPr="00782894" w:rsidRDefault="00DD6B6C" w:rsidP="00F74F2D">
      <w:pPr>
        <w:pStyle w:val="FootnoteText"/>
      </w:pPr>
      <w:r w:rsidRPr="00782894">
        <w:rPr>
          <w:rStyle w:val="FootnoteReference"/>
        </w:rPr>
        <w:footnoteRef/>
      </w:r>
      <w:r w:rsidRPr="00782894">
        <w:t xml:space="preserve"> </w:t>
      </w:r>
      <w:r w:rsidRPr="00782894">
        <w:tab/>
        <w:t xml:space="preserve">Adjusted values must be calculated after the application of both (i) haircuts and inflow and outflow rates </w:t>
      </w:r>
      <w:r w:rsidRPr="00782894">
        <w:rPr>
          <w:u w:val="single"/>
        </w:rPr>
        <w:t>and</w:t>
      </w:r>
      <w:r w:rsidRPr="00782894">
        <w:t xml:space="preserve"> (ii) any applicable caps (i.e. cap on HQLA2 and cap on inflows). </w:t>
      </w:r>
    </w:p>
  </w:footnote>
  <w:footnote w:id="65">
    <w:p w14:paraId="6534E1D0" w14:textId="5B432954" w:rsidR="00DD6B6C" w:rsidRDefault="00DD6B6C">
      <w:pPr>
        <w:pStyle w:val="FootnoteText"/>
      </w:pPr>
      <w:r>
        <w:rPr>
          <w:rStyle w:val="FootnoteReference"/>
        </w:rPr>
        <w:footnoteRef/>
      </w:r>
      <w:r>
        <w:t xml:space="preserve"> </w:t>
      </w:r>
      <w:r>
        <w:tab/>
      </w:r>
      <w:r w:rsidRPr="00422750">
        <w:t>Items to be reported in the “no maturity” time bucket do not have a stated maturity. These may include, but are not limited to, items such as capital with perpetual maturity, non-maturity deposits, short positions, open maturity positions, non-HQLA equities and physical traded commodities.</w:t>
      </w:r>
    </w:p>
  </w:footnote>
  <w:footnote w:id="66">
    <w:p w14:paraId="49D05187" w14:textId="77777777" w:rsidR="00DD6B6C" w:rsidRPr="00782894" w:rsidRDefault="00DD6B6C" w:rsidP="00266C95">
      <w:pPr>
        <w:pStyle w:val="FootnoteText"/>
      </w:pPr>
      <w:r w:rsidRPr="00782894">
        <w:rPr>
          <w:rStyle w:val="FootnoteReference"/>
        </w:rPr>
        <w:footnoteRef/>
      </w:r>
      <w:r w:rsidRPr="00782894">
        <w:t xml:space="preserve"> </w:t>
      </w:r>
      <w:r w:rsidRPr="00782894">
        <w:tab/>
      </w:r>
      <w:r w:rsidRPr="00FE34A9">
        <w:rPr>
          <w:rStyle w:val="st1"/>
          <w:rFonts w:eastAsia="MS Gothic"/>
          <w:szCs w:val="18"/>
        </w:rPr>
        <w:t>Quantitative disclosures</w:t>
      </w:r>
    </w:p>
  </w:footnote>
  <w:footnote w:id="67">
    <w:p w14:paraId="49D05188" w14:textId="77777777" w:rsidR="00DD6B6C" w:rsidRPr="00782894" w:rsidRDefault="00DD6B6C" w:rsidP="00266C95">
      <w:pPr>
        <w:pStyle w:val="FootnoteText"/>
      </w:pPr>
      <w:r w:rsidRPr="00782894">
        <w:rPr>
          <w:rStyle w:val="FootnoteReference"/>
        </w:rPr>
        <w:footnoteRef/>
      </w:r>
      <w:r w:rsidRPr="00782894">
        <w:t xml:space="preserve"> </w:t>
      </w:r>
      <w:r w:rsidRPr="00782894">
        <w:tab/>
      </w:r>
      <w:r w:rsidRPr="00FE34A9">
        <w:rPr>
          <w:rStyle w:val="st1"/>
          <w:rFonts w:eastAsia="MS Gothic"/>
          <w:szCs w:val="18"/>
        </w:rPr>
        <w:t>Qualitative disclosures</w:t>
      </w:r>
    </w:p>
  </w:footnote>
  <w:footnote w:id="68">
    <w:p w14:paraId="49D05189" w14:textId="77777777" w:rsidR="00DD6B6C" w:rsidRPr="00422750" w:rsidRDefault="00DD6B6C" w:rsidP="00D11E4D">
      <w:pPr>
        <w:pStyle w:val="FootnoteText"/>
      </w:pPr>
      <w:r w:rsidRPr="00422750">
        <w:rPr>
          <w:rStyle w:val="FootnoteReference"/>
        </w:rPr>
        <w:footnoteRef/>
      </w:r>
      <w:r w:rsidRPr="00422750">
        <w:t xml:space="preserve"> </w:t>
      </w:r>
      <w:r w:rsidRPr="00422750">
        <w:tab/>
        <w:t>Or within 40 business days after the end of the period to which the disclosure relates for any quarterly period that does not coincide with the lodgement of an ADI’s financial report under the Corporations Act.</w:t>
      </w:r>
    </w:p>
  </w:footnote>
  <w:footnote w:id="69">
    <w:p w14:paraId="49D0518A" w14:textId="77777777" w:rsidR="00DD6B6C" w:rsidRPr="00422750" w:rsidRDefault="00DD6B6C">
      <w:pPr>
        <w:pStyle w:val="FootnoteText"/>
      </w:pPr>
      <w:r w:rsidRPr="00422750">
        <w:rPr>
          <w:rStyle w:val="FootnoteReference"/>
        </w:rPr>
        <w:footnoteRef/>
      </w:r>
      <w:r w:rsidRPr="00422750">
        <w:t xml:space="preserve"> </w:t>
      </w:r>
      <w:r w:rsidRPr="00422750">
        <w:tab/>
        <w:t>Or within 40 business days after the end of the period to which the disclosure relates for any quarterly period that does not coincide with the lodgement of an ADI’s financial report under the Corporations Act.</w:t>
      </w:r>
    </w:p>
  </w:footnote>
  <w:footnote w:id="70">
    <w:p w14:paraId="36800299" w14:textId="5196C0CC" w:rsidR="00DD6B6C" w:rsidRPr="00422750" w:rsidRDefault="00DD6B6C">
      <w:pPr>
        <w:pStyle w:val="FootnoteText"/>
      </w:pPr>
      <w:r w:rsidRPr="00422750">
        <w:rPr>
          <w:rStyle w:val="FootnoteReference"/>
        </w:rPr>
        <w:footnoteRef/>
      </w:r>
      <w:r w:rsidRPr="00422750">
        <w:t xml:space="preserve"> </w:t>
      </w:r>
      <w:r w:rsidRPr="00422750">
        <w:tab/>
        <w:t>Or within 40 business days after the end of the period to which the disclosure relates for any quarterly period that does not coincide with the lodgement of an ADI’s financial report under the Corporations Act.</w:t>
      </w:r>
    </w:p>
  </w:footnote>
  <w:footnote w:id="71">
    <w:p w14:paraId="18D4DA98" w14:textId="7B71FE47" w:rsidR="00DD6B6C" w:rsidRDefault="00DD6B6C">
      <w:pPr>
        <w:pStyle w:val="FootnoteText"/>
      </w:pPr>
      <w:r w:rsidRPr="00422750">
        <w:rPr>
          <w:rStyle w:val="FootnoteReference"/>
        </w:rPr>
        <w:footnoteRef/>
      </w:r>
      <w:r w:rsidRPr="00422750">
        <w:t xml:space="preserve"> </w:t>
      </w:r>
      <w:r w:rsidRPr="00422750">
        <w:tab/>
        <w:t>Or within 40 business days after the end of the period to which the disclosure relates for any semi-annual period that does not coincide with the lodgement of an ADI’s financial report under the Corporations Act.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05132" w14:textId="5C588150" w:rsidR="00DD6B6C" w:rsidRPr="009C3F64" w:rsidRDefault="00DD6B6C" w:rsidP="00F31983">
    <w:pPr>
      <w:pStyle w:val="Header"/>
      <w:tabs>
        <w:tab w:val="clear" w:pos="4153"/>
        <w:tab w:val="clear" w:pos="8306"/>
      </w:tabs>
      <w:ind w:left="0" w:right="-1186"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14F35" w14:textId="77777777" w:rsidR="00DD6B6C" w:rsidRPr="009C3F64" w:rsidRDefault="00DD6B6C" w:rsidP="00F31983">
    <w:pPr>
      <w:pStyle w:val="Header"/>
      <w:tabs>
        <w:tab w:val="clear" w:pos="4153"/>
        <w:tab w:val="clear" w:pos="8306"/>
      </w:tabs>
      <w:ind w:left="0" w:right="-1186" w:firstLine="0"/>
    </w:pPr>
    <w:r w:rsidRPr="009C3F64">
      <w:ptab w:relativeTo="margin" w:alignment="center" w:leader="none"/>
    </w:r>
    <w:r w:rsidRPr="009C3F64">
      <w:ptab w:relativeTo="margin" w:alignment="right" w:leader="none"/>
    </w:r>
    <w:r>
      <w:t>July</w:t>
    </w:r>
    <w:r w:rsidRPr="009C3F64">
      <w:t xml:space="preserve"> 201</w:t>
    </w:r>
    <w:r>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770A5"/>
    <w:multiLevelType w:val="hybridMultilevel"/>
    <w:tmpl w:val="7C94B72E"/>
    <w:lvl w:ilvl="0" w:tplc="73F63D52">
      <w:start w:val="1"/>
      <w:numFmt w:val="bullet"/>
      <w:lvlText w:val="−"/>
      <w:lvlJc w:val="left"/>
      <w:pPr>
        <w:tabs>
          <w:tab w:val="num" w:pos="1134"/>
        </w:tabs>
        <w:ind w:left="1134" w:hanging="567"/>
      </w:pPr>
      <w:rPr>
        <w:rFonts w:ascii="Trebuchet MS" w:hAnsi="Trebuchet MS"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2929DF"/>
    <w:multiLevelType w:val="hybridMultilevel"/>
    <w:tmpl w:val="884A2688"/>
    <w:lvl w:ilvl="0" w:tplc="442E0E7C">
      <w:start w:val="1"/>
      <w:numFmt w:val="bullet"/>
      <w:lvlText w:val=""/>
      <w:lvlJc w:val="left"/>
      <w:pPr>
        <w:tabs>
          <w:tab w:val="num" w:pos="567"/>
        </w:tabs>
        <w:ind w:left="567" w:hanging="39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AB435D"/>
    <w:multiLevelType w:val="hybridMultilevel"/>
    <w:tmpl w:val="32E25F80"/>
    <w:lvl w:ilvl="0" w:tplc="8E5AB80A">
      <w:start w:val="1"/>
      <w:numFmt w:val="decimal"/>
      <w:pStyle w:val="BodyText"/>
      <w:lvlText w:val="%1."/>
      <w:lvlJc w:val="left"/>
      <w:pPr>
        <w:tabs>
          <w:tab w:val="num" w:pos="567"/>
        </w:tabs>
        <w:ind w:left="567" w:hanging="567"/>
      </w:pPr>
      <w:rPr>
        <w:rFonts w:ascii="Times New Roman" w:eastAsia="Arial Unicode MS" w:hAnsi="Times New Roman" w:cs="Times New Roman" w:hint="default"/>
        <w:b w:val="0"/>
        <w:i w:val="0"/>
      </w:rPr>
    </w:lvl>
    <w:lvl w:ilvl="1" w:tplc="286E5BD4">
      <w:start w:val="1"/>
      <w:numFmt w:val="lowerLetter"/>
      <w:pStyle w:val="Bodytextlist"/>
      <w:lvlText w:val="(%2)"/>
      <w:lvlJc w:val="left"/>
      <w:pPr>
        <w:tabs>
          <w:tab w:val="num" w:pos="1134"/>
        </w:tabs>
        <w:ind w:left="1134" w:hanging="567"/>
      </w:pPr>
      <w:rPr>
        <w:rFonts w:ascii="Times New Roman" w:hAnsi="Times New Roman" w:cs="Times New Roman" w:hint="default"/>
        <w:b w:val="0"/>
        <w:i w:val="0"/>
      </w:rPr>
    </w:lvl>
    <w:lvl w:ilvl="2" w:tplc="0C09001B">
      <w:start w:val="1"/>
      <w:numFmt w:val="lowerRoman"/>
      <w:lvlText w:val="%3."/>
      <w:lvlJc w:val="right"/>
      <w:pPr>
        <w:tabs>
          <w:tab w:val="num" w:pos="2160"/>
        </w:tabs>
        <w:ind w:left="2160" w:hanging="180"/>
      </w:pPr>
    </w:lvl>
    <w:lvl w:ilvl="3" w:tplc="B094B4E6">
      <w:start w:val="1"/>
      <w:numFmt w:val="lowerLetter"/>
      <w:lvlText w:val="(%4)"/>
      <w:lvlJc w:val="left"/>
      <w:pPr>
        <w:tabs>
          <w:tab w:val="num" w:pos="2880"/>
        </w:tabs>
        <w:ind w:left="2880" w:hanging="360"/>
      </w:pPr>
      <w:rPr>
        <w:rFonts w:ascii="Times New Roman" w:eastAsia="Times New Roman" w:hAnsi="Times New Roman" w:cs="Times New Roman"/>
      </w:r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0DF22D06"/>
    <w:multiLevelType w:val="hybridMultilevel"/>
    <w:tmpl w:val="26948522"/>
    <w:lvl w:ilvl="0" w:tplc="0C09000F">
      <w:start w:val="1"/>
      <w:numFmt w:val="decimal"/>
      <w:lvlText w:val="%1."/>
      <w:lvlJc w:val="left"/>
      <w:pPr>
        <w:ind w:left="502"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1826E03"/>
    <w:multiLevelType w:val="hybridMultilevel"/>
    <w:tmpl w:val="7FEC0090"/>
    <w:lvl w:ilvl="0" w:tplc="442E0E7C">
      <w:start w:val="1"/>
      <w:numFmt w:val="bullet"/>
      <w:lvlText w:val=""/>
      <w:lvlJc w:val="left"/>
      <w:pPr>
        <w:tabs>
          <w:tab w:val="num" w:pos="567"/>
        </w:tabs>
        <w:ind w:left="567" w:hanging="39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1F5E65"/>
    <w:multiLevelType w:val="hybridMultilevel"/>
    <w:tmpl w:val="3980462E"/>
    <w:lvl w:ilvl="0" w:tplc="E56C08B2">
      <w:start w:val="1"/>
      <w:numFmt w:val="bullet"/>
      <w:lvlText w:val="•"/>
      <w:lvlJc w:val="left"/>
      <w:pPr>
        <w:tabs>
          <w:tab w:val="num" w:pos="567"/>
        </w:tabs>
        <w:ind w:left="567" w:hanging="567"/>
      </w:pPr>
      <w:rPr>
        <w:rFonts w:ascii="Trebuchet MS" w:hAnsi="Trebuchet M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BE4273C"/>
    <w:multiLevelType w:val="hybridMultilevel"/>
    <w:tmpl w:val="DF08E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AEC5FAD"/>
    <w:multiLevelType w:val="hybridMultilevel"/>
    <w:tmpl w:val="6A1C4E8A"/>
    <w:lvl w:ilvl="0" w:tplc="E5D6CD72">
      <w:start w:val="1"/>
      <w:numFmt w:val="bullet"/>
      <w:lvlText w:val="•"/>
      <w:lvlJc w:val="left"/>
      <w:pPr>
        <w:tabs>
          <w:tab w:val="num" w:pos="567"/>
        </w:tabs>
        <w:ind w:left="567" w:hanging="567"/>
      </w:pPr>
      <w:rPr>
        <w:rFonts w:ascii="Trebuchet MS" w:hAnsi="Trebuchet M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08F0C7B"/>
    <w:multiLevelType w:val="hybridMultilevel"/>
    <w:tmpl w:val="02AE2FFA"/>
    <w:lvl w:ilvl="0" w:tplc="5694E334">
      <w:start w:val="1"/>
      <w:numFmt w:val="bullet"/>
      <w:lvlText w:val="•"/>
      <w:lvlJc w:val="left"/>
      <w:pPr>
        <w:tabs>
          <w:tab w:val="num" w:pos="567"/>
        </w:tabs>
        <w:ind w:left="567" w:hanging="567"/>
      </w:pPr>
      <w:rPr>
        <w:rFonts w:ascii="Trebuchet MS" w:hAnsi="Trebuchet M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16B0972"/>
    <w:multiLevelType w:val="hybridMultilevel"/>
    <w:tmpl w:val="0FD6F3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6163943"/>
    <w:multiLevelType w:val="hybridMultilevel"/>
    <w:tmpl w:val="3E084526"/>
    <w:lvl w:ilvl="0" w:tplc="3B22F3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B2563A"/>
    <w:multiLevelType w:val="hybridMultilevel"/>
    <w:tmpl w:val="87EC0AB8"/>
    <w:lvl w:ilvl="0" w:tplc="442E0E7C">
      <w:start w:val="1"/>
      <w:numFmt w:val="bullet"/>
      <w:lvlText w:val=""/>
      <w:lvlJc w:val="left"/>
      <w:pPr>
        <w:tabs>
          <w:tab w:val="num" w:pos="567"/>
        </w:tabs>
        <w:ind w:left="567" w:hanging="39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190840"/>
    <w:multiLevelType w:val="hybridMultilevel"/>
    <w:tmpl w:val="74EAA9F2"/>
    <w:lvl w:ilvl="0" w:tplc="442E0E7C">
      <w:start w:val="1"/>
      <w:numFmt w:val="bullet"/>
      <w:lvlText w:val=""/>
      <w:lvlJc w:val="left"/>
      <w:pPr>
        <w:tabs>
          <w:tab w:val="num" w:pos="567"/>
        </w:tabs>
        <w:ind w:left="567" w:hanging="39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477660"/>
    <w:multiLevelType w:val="hybridMultilevel"/>
    <w:tmpl w:val="1D220E38"/>
    <w:lvl w:ilvl="0" w:tplc="6EE0DF3A">
      <w:start w:val="1"/>
      <w:numFmt w:val="bullet"/>
      <w:lvlText w:val="•"/>
      <w:lvlJc w:val="left"/>
      <w:pPr>
        <w:tabs>
          <w:tab w:val="num" w:pos="567"/>
        </w:tabs>
        <w:ind w:left="567" w:hanging="567"/>
      </w:pPr>
      <w:rPr>
        <w:rFonts w:ascii="Trebuchet MS" w:hAnsi="Trebuchet M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24E611F"/>
    <w:multiLevelType w:val="hybridMultilevel"/>
    <w:tmpl w:val="5C0499EE"/>
    <w:lvl w:ilvl="0" w:tplc="8898BC2E">
      <w:start w:val="1"/>
      <w:numFmt w:val="bullet"/>
      <w:lvlText w:val="•"/>
      <w:lvlJc w:val="left"/>
      <w:pPr>
        <w:tabs>
          <w:tab w:val="num" w:pos="567"/>
        </w:tabs>
        <w:ind w:left="567" w:hanging="567"/>
      </w:pPr>
      <w:rPr>
        <w:rFonts w:ascii="Trebuchet MS" w:hAnsi="Trebuchet M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C191DC5"/>
    <w:multiLevelType w:val="hybridMultilevel"/>
    <w:tmpl w:val="92C86962"/>
    <w:lvl w:ilvl="0" w:tplc="BAD2A53C">
      <w:start w:val="1"/>
      <w:numFmt w:val="bullet"/>
      <w:lvlText w:val="•"/>
      <w:lvlJc w:val="left"/>
      <w:pPr>
        <w:tabs>
          <w:tab w:val="num" w:pos="567"/>
        </w:tabs>
        <w:ind w:left="567" w:hanging="567"/>
      </w:pPr>
      <w:rPr>
        <w:rFonts w:ascii="Trebuchet MS" w:hAnsi="Trebuchet M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F717A03"/>
    <w:multiLevelType w:val="hybridMultilevel"/>
    <w:tmpl w:val="CF52F616"/>
    <w:lvl w:ilvl="0" w:tplc="5F9AF9D2">
      <w:start w:val="1"/>
      <w:numFmt w:val="decimal"/>
      <w:lvlText w:val="%1."/>
      <w:lvlJc w:val="left"/>
      <w:pPr>
        <w:ind w:left="36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10D3660"/>
    <w:multiLevelType w:val="hybridMultilevel"/>
    <w:tmpl w:val="803E3886"/>
    <w:lvl w:ilvl="0" w:tplc="442E0E7C">
      <w:start w:val="1"/>
      <w:numFmt w:val="bullet"/>
      <w:lvlText w:val=""/>
      <w:lvlJc w:val="left"/>
      <w:pPr>
        <w:tabs>
          <w:tab w:val="num" w:pos="567"/>
        </w:tabs>
        <w:ind w:left="567" w:hanging="39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491ECF"/>
    <w:multiLevelType w:val="hybridMultilevel"/>
    <w:tmpl w:val="3A88C138"/>
    <w:lvl w:ilvl="0" w:tplc="314EC602">
      <w:start w:val="1"/>
      <w:numFmt w:val="bullet"/>
      <w:lvlText w:val="•"/>
      <w:lvlJc w:val="left"/>
      <w:pPr>
        <w:tabs>
          <w:tab w:val="num" w:pos="567"/>
        </w:tabs>
        <w:ind w:left="567" w:hanging="567"/>
      </w:pPr>
      <w:rPr>
        <w:rFonts w:ascii="Trebuchet MS" w:hAnsi="Trebuchet M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38A14A8"/>
    <w:multiLevelType w:val="hybridMultilevel"/>
    <w:tmpl w:val="654812A2"/>
    <w:lvl w:ilvl="0" w:tplc="41907E00">
      <w:start w:val="1"/>
      <w:numFmt w:val="lowerLetter"/>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BDA715C"/>
    <w:multiLevelType w:val="hybridMultilevel"/>
    <w:tmpl w:val="38187064"/>
    <w:lvl w:ilvl="0" w:tplc="72242C0A">
      <w:start w:val="1"/>
      <w:numFmt w:val="bullet"/>
      <w:pStyle w:val="StyleBodyText13ptCharCharChar"/>
      <w:lvlText w:val=""/>
      <w:lvlJc w:val="left"/>
      <w:pPr>
        <w:tabs>
          <w:tab w:val="num" w:pos="720"/>
        </w:tabs>
        <w:ind w:left="720" w:hanging="360"/>
      </w:pPr>
      <w:rPr>
        <w:rFonts w:ascii="Symbol" w:hAnsi="Symbol" w:hint="default"/>
      </w:rPr>
    </w:lvl>
    <w:lvl w:ilvl="1" w:tplc="DD823F8E" w:tentative="1">
      <w:start w:val="1"/>
      <w:numFmt w:val="bullet"/>
      <w:lvlText w:val="o"/>
      <w:lvlJc w:val="left"/>
      <w:pPr>
        <w:tabs>
          <w:tab w:val="num" w:pos="1440"/>
        </w:tabs>
        <w:ind w:left="1440" w:hanging="360"/>
      </w:pPr>
      <w:rPr>
        <w:rFonts w:ascii="Courier New" w:hAnsi="Courier New" w:cs="Courier New" w:hint="default"/>
      </w:rPr>
    </w:lvl>
    <w:lvl w:ilvl="2" w:tplc="9E583054" w:tentative="1">
      <w:start w:val="1"/>
      <w:numFmt w:val="bullet"/>
      <w:lvlText w:val=""/>
      <w:lvlJc w:val="left"/>
      <w:pPr>
        <w:tabs>
          <w:tab w:val="num" w:pos="2160"/>
        </w:tabs>
        <w:ind w:left="2160" w:hanging="360"/>
      </w:pPr>
      <w:rPr>
        <w:rFonts w:ascii="Wingdings" w:hAnsi="Wingdings" w:hint="default"/>
      </w:rPr>
    </w:lvl>
    <w:lvl w:ilvl="3" w:tplc="7A2C78B4" w:tentative="1">
      <w:start w:val="1"/>
      <w:numFmt w:val="bullet"/>
      <w:lvlText w:val=""/>
      <w:lvlJc w:val="left"/>
      <w:pPr>
        <w:tabs>
          <w:tab w:val="num" w:pos="2880"/>
        </w:tabs>
        <w:ind w:left="2880" w:hanging="360"/>
      </w:pPr>
      <w:rPr>
        <w:rFonts w:ascii="Symbol" w:hAnsi="Symbol" w:hint="default"/>
      </w:rPr>
    </w:lvl>
    <w:lvl w:ilvl="4" w:tplc="278EEACE" w:tentative="1">
      <w:start w:val="1"/>
      <w:numFmt w:val="bullet"/>
      <w:lvlText w:val="o"/>
      <w:lvlJc w:val="left"/>
      <w:pPr>
        <w:tabs>
          <w:tab w:val="num" w:pos="3600"/>
        </w:tabs>
        <w:ind w:left="3600" w:hanging="360"/>
      </w:pPr>
      <w:rPr>
        <w:rFonts w:ascii="Courier New" w:hAnsi="Courier New" w:cs="Courier New" w:hint="default"/>
      </w:rPr>
    </w:lvl>
    <w:lvl w:ilvl="5" w:tplc="A006B39E" w:tentative="1">
      <w:start w:val="1"/>
      <w:numFmt w:val="bullet"/>
      <w:lvlText w:val=""/>
      <w:lvlJc w:val="left"/>
      <w:pPr>
        <w:tabs>
          <w:tab w:val="num" w:pos="4320"/>
        </w:tabs>
        <w:ind w:left="4320" w:hanging="360"/>
      </w:pPr>
      <w:rPr>
        <w:rFonts w:ascii="Wingdings" w:hAnsi="Wingdings" w:hint="default"/>
      </w:rPr>
    </w:lvl>
    <w:lvl w:ilvl="6" w:tplc="41DC09DE" w:tentative="1">
      <w:start w:val="1"/>
      <w:numFmt w:val="bullet"/>
      <w:lvlText w:val=""/>
      <w:lvlJc w:val="left"/>
      <w:pPr>
        <w:tabs>
          <w:tab w:val="num" w:pos="5040"/>
        </w:tabs>
        <w:ind w:left="5040" w:hanging="360"/>
      </w:pPr>
      <w:rPr>
        <w:rFonts w:ascii="Symbol" w:hAnsi="Symbol" w:hint="default"/>
      </w:rPr>
    </w:lvl>
    <w:lvl w:ilvl="7" w:tplc="E5AEE21E" w:tentative="1">
      <w:start w:val="1"/>
      <w:numFmt w:val="bullet"/>
      <w:lvlText w:val="o"/>
      <w:lvlJc w:val="left"/>
      <w:pPr>
        <w:tabs>
          <w:tab w:val="num" w:pos="5760"/>
        </w:tabs>
        <w:ind w:left="5760" w:hanging="360"/>
      </w:pPr>
      <w:rPr>
        <w:rFonts w:ascii="Courier New" w:hAnsi="Courier New" w:cs="Courier New" w:hint="default"/>
      </w:rPr>
    </w:lvl>
    <w:lvl w:ilvl="8" w:tplc="511039D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966D1E"/>
    <w:multiLevelType w:val="hybridMultilevel"/>
    <w:tmpl w:val="C5B431BA"/>
    <w:lvl w:ilvl="0" w:tplc="F47012C2">
      <w:start w:val="1"/>
      <w:numFmt w:val="bullet"/>
      <w:lvlText w:val="•"/>
      <w:lvlJc w:val="left"/>
      <w:pPr>
        <w:tabs>
          <w:tab w:val="num" w:pos="567"/>
        </w:tabs>
        <w:ind w:left="567" w:hanging="567"/>
      </w:pPr>
      <w:rPr>
        <w:rFonts w:ascii="Trebuchet MS" w:hAnsi="Trebuchet M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6038095F"/>
    <w:multiLevelType w:val="hybridMultilevel"/>
    <w:tmpl w:val="492EFC52"/>
    <w:lvl w:ilvl="0" w:tplc="442E0E7C">
      <w:start w:val="1"/>
      <w:numFmt w:val="bullet"/>
      <w:lvlText w:val=""/>
      <w:lvlJc w:val="left"/>
      <w:pPr>
        <w:tabs>
          <w:tab w:val="num" w:pos="567"/>
        </w:tabs>
        <w:ind w:left="567" w:hanging="39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966F40"/>
    <w:multiLevelType w:val="hybridMultilevel"/>
    <w:tmpl w:val="C0AE5B9A"/>
    <w:lvl w:ilvl="0" w:tplc="442E0E7C">
      <w:start w:val="1"/>
      <w:numFmt w:val="bullet"/>
      <w:lvlText w:val=""/>
      <w:lvlJc w:val="left"/>
      <w:pPr>
        <w:tabs>
          <w:tab w:val="num" w:pos="567"/>
        </w:tabs>
        <w:ind w:left="567" w:hanging="39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046BE1"/>
    <w:multiLevelType w:val="hybridMultilevel"/>
    <w:tmpl w:val="C94C02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4D46C30"/>
    <w:multiLevelType w:val="hybridMultilevel"/>
    <w:tmpl w:val="469E9F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A191B70"/>
    <w:multiLevelType w:val="hybridMultilevel"/>
    <w:tmpl w:val="9594F23A"/>
    <w:lvl w:ilvl="0" w:tplc="442E0E7C">
      <w:start w:val="1"/>
      <w:numFmt w:val="bullet"/>
      <w:lvlText w:val=""/>
      <w:lvlJc w:val="left"/>
      <w:pPr>
        <w:tabs>
          <w:tab w:val="num" w:pos="567"/>
        </w:tabs>
        <w:ind w:left="567" w:hanging="39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AA4134"/>
    <w:multiLevelType w:val="hybridMultilevel"/>
    <w:tmpl w:val="6FDA8126"/>
    <w:lvl w:ilvl="0" w:tplc="2078DFB2">
      <w:start w:val="1"/>
      <w:numFmt w:val="bullet"/>
      <w:lvlText w:val="•"/>
      <w:lvlJc w:val="left"/>
      <w:pPr>
        <w:tabs>
          <w:tab w:val="num" w:pos="567"/>
        </w:tabs>
        <w:ind w:left="567" w:hanging="567"/>
      </w:pPr>
      <w:rPr>
        <w:rFonts w:ascii="Trebuchet MS" w:hAnsi="Trebuchet M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E086F5F"/>
    <w:multiLevelType w:val="hybridMultilevel"/>
    <w:tmpl w:val="1C7C2AB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6E190C89"/>
    <w:multiLevelType w:val="hybridMultilevel"/>
    <w:tmpl w:val="EFA894C6"/>
    <w:lvl w:ilvl="0" w:tplc="442E0E7C">
      <w:start w:val="1"/>
      <w:numFmt w:val="bullet"/>
      <w:lvlText w:val=""/>
      <w:lvlJc w:val="left"/>
      <w:pPr>
        <w:tabs>
          <w:tab w:val="num" w:pos="567"/>
        </w:tabs>
        <w:ind w:left="567" w:hanging="39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DC2F44"/>
    <w:multiLevelType w:val="hybridMultilevel"/>
    <w:tmpl w:val="E6C6FF78"/>
    <w:lvl w:ilvl="0" w:tplc="73F63D52">
      <w:start w:val="1"/>
      <w:numFmt w:val="bullet"/>
      <w:lvlText w:val="−"/>
      <w:lvlJc w:val="left"/>
      <w:pPr>
        <w:ind w:left="1408" w:hanging="360"/>
      </w:pPr>
      <w:rPr>
        <w:rFonts w:ascii="Trebuchet MS" w:hAnsi="Trebuchet MS" w:cs="Times New Roman" w:hint="default"/>
      </w:rPr>
    </w:lvl>
    <w:lvl w:ilvl="1" w:tplc="0C090003" w:tentative="1">
      <w:start w:val="1"/>
      <w:numFmt w:val="bullet"/>
      <w:lvlText w:val="o"/>
      <w:lvlJc w:val="left"/>
      <w:pPr>
        <w:ind w:left="2128" w:hanging="360"/>
      </w:pPr>
      <w:rPr>
        <w:rFonts w:ascii="Courier New" w:hAnsi="Courier New" w:cs="Courier New" w:hint="default"/>
      </w:rPr>
    </w:lvl>
    <w:lvl w:ilvl="2" w:tplc="0C090005" w:tentative="1">
      <w:start w:val="1"/>
      <w:numFmt w:val="bullet"/>
      <w:lvlText w:val=""/>
      <w:lvlJc w:val="left"/>
      <w:pPr>
        <w:ind w:left="2848" w:hanging="360"/>
      </w:pPr>
      <w:rPr>
        <w:rFonts w:ascii="Wingdings" w:hAnsi="Wingdings" w:hint="default"/>
      </w:rPr>
    </w:lvl>
    <w:lvl w:ilvl="3" w:tplc="0C090001" w:tentative="1">
      <w:start w:val="1"/>
      <w:numFmt w:val="bullet"/>
      <w:lvlText w:val=""/>
      <w:lvlJc w:val="left"/>
      <w:pPr>
        <w:ind w:left="3568" w:hanging="360"/>
      </w:pPr>
      <w:rPr>
        <w:rFonts w:ascii="Symbol" w:hAnsi="Symbol" w:hint="default"/>
      </w:rPr>
    </w:lvl>
    <w:lvl w:ilvl="4" w:tplc="0C090003" w:tentative="1">
      <w:start w:val="1"/>
      <w:numFmt w:val="bullet"/>
      <w:lvlText w:val="o"/>
      <w:lvlJc w:val="left"/>
      <w:pPr>
        <w:ind w:left="4288" w:hanging="360"/>
      </w:pPr>
      <w:rPr>
        <w:rFonts w:ascii="Courier New" w:hAnsi="Courier New" w:cs="Courier New" w:hint="default"/>
      </w:rPr>
    </w:lvl>
    <w:lvl w:ilvl="5" w:tplc="0C090005" w:tentative="1">
      <w:start w:val="1"/>
      <w:numFmt w:val="bullet"/>
      <w:lvlText w:val=""/>
      <w:lvlJc w:val="left"/>
      <w:pPr>
        <w:ind w:left="5008" w:hanging="360"/>
      </w:pPr>
      <w:rPr>
        <w:rFonts w:ascii="Wingdings" w:hAnsi="Wingdings" w:hint="default"/>
      </w:rPr>
    </w:lvl>
    <w:lvl w:ilvl="6" w:tplc="0C090001" w:tentative="1">
      <w:start w:val="1"/>
      <w:numFmt w:val="bullet"/>
      <w:lvlText w:val=""/>
      <w:lvlJc w:val="left"/>
      <w:pPr>
        <w:ind w:left="5728" w:hanging="360"/>
      </w:pPr>
      <w:rPr>
        <w:rFonts w:ascii="Symbol" w:hAnsi="Symbol" w:hint="default"/>
      </w:rPr>
    </w:lvl>
    <w:lvl w:ilvl="7" w:tplc="0C090003" w:tentative="1">
      <w:start w:val="1"/>
      <w:numFmt w:val="bullet"/>
      <w:lvlText w:val="o"/>
      <w:lvlJc w:val="left"/>
      <w:pPr>
        <w:ind w:left="6448" w:hanging="360"/>
      </w:pPr>
      <w:rPr>
        <w:rFonts w:ascii="Courier New" w:hAnsi="Courier New" w:cs="Courier New" w:hint="default"/>
      </w:rPr>
    </w:lvl>
    <w:lvl w:ilvl="8" w:tplc="0C090005" w:tentative="1">
      <w:start w:val="1"/>
      <w:numFmt w:val="bullet"/>
      <w:lvlText w:val=""/>
      <w:lvlJc w:val="left"/>
      <w:pPr>
        <w:ind w:left="7168" w:hanging="360"/>
      </w:pPr>
      <w:rPr>
        <w:rFonts w:ascii="Wingdings" w:hAnsi="Wingdings" w:hint="default"/>
      </w:rPr>
    </w:lvl>
  </w:abstractNum>
  <w:abstractNum w:abstractNumId="31" w15:restartNumberingAfterBreak="0">
    <w:nsid w:val="75406BE4"/>
    <w:multiLevelType w:val="hybridMultilevel"/>
    <w:tmpl w:val="D3DE8C24"/>
    <w:lvl w:ilvl="0" w:tplc="41442BC2">
      <w:start w:val="1"/>
      <w:numFmt w:val="bullet"/>
      <w:lvlText w:val="•"/>
      <w:lvlJc w:val="left"/>
      <w:pPr>
        <w:tabs>
          <w:tab w:val="num" w:pos="567"/>
        </w:tabs>
        <w:ind w:left="567" w:hanging="567"/>
      </w:pPr>
      <w:rPr>
        <w:rFonts w:ascii="Trebuchet MS" w:hAnsi="Trebuchet M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762822EC"/>
    <w:multiLevelType w:val="hybridMultilevel"/>
    <w:tmpl w:val="EBF0E19A"/>
    <w:lvl w:ilvl="0" w:tplc="442E0E7C">
      <w:start w:val="1"/>
      <w:numFmt w:val="bullet"/>
      <w:lvlText w:val=""/>
      <w:lvlJc w:val="left"/>
      <w:pPr>
        <w:tabs>
          <w:tab w:val="num" w:pos="567"/>
        </w:tabs>
        <w:ind w:left="567" w:hanging="39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9B3618"/>
    <w:multiLevelType w:val="hybridMultilevel"/>
    <w:tmpl w:val="0130E454"/>
    <w:lvl w:ilvl="0" w:tplc="442E0E7C">
      <w:start w:val="1"/>
      <w:numFmt w:val="bullet"/>
      <w:lvlText w:val=""/>
      <w:lvlJc w:val="left"/>
      <w:pPr>
        <w:tabs>
          <w:tab w:val="num" w:pos="567"/>
        </w:tabs>
        <w:ind w:left="567" w:hanging="39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55561C"/>
    <w:multiLevelType w:val="hybridMultilevel"/>
    <w:tmpl w:val="65807B74"/>
    <w:lvl w:ilvl="0" w:tplc="FFBC8610">
      <w:start w:val="1"/>
      <w:numFmt w:val="decimal"/>
      <w:lvlText w:val="%1."/>
      <w:lvlJc w:val="left"/>
      <w:pPr>
        <w:tabs>
          <w:tab w:val="num" w:pos="567"/>
        </w:tabs>
        <w:ind w:left="567" w:hanging="567"/>
      </w:pPr>
      <w:rPr>
        <w:rFonts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AD0489C"/>
    <w:multiLevelType w:val="hybridMultilevel"/>
    <w:tmpl w:val="E6F03BDE"/>
    <w:lvl w:ilvl="0" w:tplc="51B4C19A">
      <w:start w:val="1"/>
      <w:numFmt w:val="lowerLetter"/>
      <w:lvlText w:val="(%1)"/>
      <w:lvlJc w:val="left"/>
      <w:pPr>
        <w:tabs>
          <w:tab w:val="num" w:pos="1134"/>
        </w:tabs>
        <w:ind w:left="1134" w:hanging="567"/>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35"/>
  </w:num>
  <w:num w:numId="3">
    <w:abstractNumId w:val="0"/>
  </w:num>
  <w:num w:numId="4">
    <w:abstractNumId w:val="18"/>
  </w:num>
  <w:num w:numId="5">
    <w:abstractNumId w:val="14"/>
  </w:num>
  <w:num w:numId="6">
    <w:abstractNumId w:val="27"/>
  </w:num>
  <w:num w:numId="7">
    <w:abstractNumId w:val="8"/>
  </w:num>
  <w:num w:numId="8">
    <w:abstractNumId w:val="21"/>
  </w:num>
  <w:num w:numId="9">
    <w:abstractNumId w:val="15"/>
  </w:num>
  <w:num w:numId="10">
    <w:abstractNumId w:val="7"/>
  </w:num>
  <w:num w:numId="11">
    <w:abstractNumId w:val="31"/>
  </w:num>
  <w:num w:numId="12">
    <w:abstractNumId w:val="13"/>
  </w:num>
  <w:num w:numId="13">
    <w:abstractNumId w:val="5"/>
  </w:num>
  <w:num w:numId="14">
    <w:abstractNumId w:val="26"/>
  </w:num>
  <w:num w:numId="15">
    <w:abstractNumId w:val="33"/>
  </w:num>
  <w:num w:numId="16">
    <w:abstractNumId w:val="22"/>
  </w:num>
  <w:num w:numId="17">
    <w:abstractNumId w:val="4"/>
  </w:num>
  <w:num w:numId="18">
    <w:abstractNumId w:val="11"/>
  </w:num>
  <w:num w:numId="19">
    <w:abstractNumId w:val="32"/>
  </w:num>
  <w:num w:numId="20">
    <w:abstractNumId w:val="12"/>
  </w:num>
  <w:num w:numId="21">
    <w:abstractNumId w:val="17"/>
  </w:num>
  <w:num w:numId="22">
    <w:abstractNumId w:val="29"/>
  </w:num>
  <w:num w:numId="23">
    <w:abstractNumId w:val="1"/>
  </w:num>
  <w:num w:numId="24">
    <w:abstractNumId w:val="23"/>
  </w:num>
  <w:num w:numId="25">
    <w:abstractNumId w:val="24"/>
  </w:num>
  <w:num w:numId="26">
    <w:abstractNumId w:val="30"/>
  </w:num>
  <w:num w:numId="27">
    <w:abstractNumId w:val="6"/>
  </w:num>
  <w:num w:numId="28">
    <w:abstractNumId w:val="34"/>
  </w:num>
  <w:num w:numId="29">
    <w:abstractNumId w:val="16"/>
  </w:num>
  <w:num w:numId="30">
    <w:abstractNumId w:val="3"/>
  </w:num>
  <w:num w:numId="31">
    <w:abstractNumId w:val="25"/>
  </w:num>
  <w:num w:numId="32">
    <w:abstractNumId w:val="28"/>
  </w:num>
  <w:num w:numId="33">
    <w:abstractNumId w:val="9"/>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0"/>
  </w:num>
  <w:num w:numId="43">
    <w:abstractNumId w:val="19"/>
  </w:num>
  <w:num w:numId="44">
    <w:abstractNumId w:val="1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617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29F"/>
    <w:rsid w:val="00001200"/>
    <w:rsid w:val="00005AD6"/>
    <w:rsid w:val="00006072"/>
    <w:rsid w:val="0000683B"/>
    <w:rsid w:val="000068A6"/>
    <w:rsid w:val="00006E44"/>
    <w:rsid w:val="00010282"/>
    <w:rsid w:val="00010555"/>
    <w:rsid w:val="00011D4F"/>
    <w:rsid w:val="000125C4"/>
    <w:rsid w:val="0001329F"/>
    <w:rsid w:val="000201A9"/>
    <w:rsid w:val="0002029A"/>
    <w:rsid w:val="00020692"/>
    <w:rsid w:val="0002168C"/>
    <w:rsid w:val="00022F54"/>
    <w:rsid w:val="000248A3"/>
    <w:rsid w:val="00024C55"/>
    <w:rsid w:val="00026EC1"/>
    <w:rsid w:val="0003042C"/>
    <w:rsid w:val="00030E9D"/>
    <w:rsid w:val="00031C65"/>
    <w:rsid w:val="00032300"/>
    <w:rsid w:val="00033E92"/>
    <w:rsid w:val="00034DE2"/>
    <w:rsid w:val="00036393"/>
    <w:rsid w:val="00036803"/>
    <w:rsid w:val="00036A65"/>
    <w:rsid w:val="00037461"/>
    <w:rsid w:val="00040F8A"/>
    <w:rsid w:val="000414FB"/>
    <w:rsid w:val="00042304"/>
    <w:rsid w:val="0004281A"/>
    <w:rsid w:val="00043B5D"/>
    <w:rsid w:val="00044055"/>
    <w:rsid w:val="00044196"/>
    <w:rsid w:val="00044A3D"/>
    <w:rsid w:val="00046605"/>
    <w:rsid w:val="00047D69"/>
    <w:rsid w:val="00050C46"/>
    <w:rsid w:val="00050F96"/>
    <w:rsid w:val="00051FF7"/>
    <w:rsid w:val="0005218D"/>
    <w:rsid w:val="00052A5E"/>
    <w:rsid w:val="00052AAB"/>
    <w:rsid w:val="00052BE8"/>
    <w:rsid w:val="00053959"/>
    <w:rsid w:val="0005470A"/>
    <w:rsid w:val="00055852"/>
    <w:rsid w:val="0005675E"/>
    <w:rsid w:val="00056895"/>
    <w:rsid w:val="000577CF"/>
    <w:rsid w:val="000605A0"/>
    <w:rsid w:val="00060F24"/>
    <w:rsid w:val="000619E3"/>
    <w:rsid w:val="00062029"/>
    <w:rsid w:val="0006385A"/>
    <w:rsid w:val="000659FB"/>
    <w:rsid w:val="00065DF5"/>
    <w:rsid w:val="00067258"/>
    <w:rsid w:val="000672A1"/>
    <w:rsid w:val="00067B6E"/>
    <w:rsid w:val="00070B72"/>
    <w:rsid w:val="00070BBC"/>
    <w:rsid w:val="000711C7"/>
    <w:rsid w:val="000714A6"/>
    <w:rsid w:val="00071B3C"/>
    <w:rsid w:val="00074B19"/>
    <w:rsid w:val="000761E8"/>
    <w:rsid w:val="00076C4A"/>
    <w:rsid w:val="00077874"/>
    <w:rsid w:val="000806CB"/>
    <w:rsid w:val="00081CB4"/>
    <w:rsid w:val="00081F67"/>
    <w:rsid w:val="00085A30"/>
    <w:rsid w:val="0008634A"/>
    <w:rsid w:val="00086E7A"/>
    <w:rsid w:val="00087C10"/>
    <w:rsid w:val="00090D15"/>
    <w:rsid w:val="000951BE"/>
    <w:rsid w:val="00095518"/>
    <w:rsid w:val="0009557B"/>
    <w:rsid w:val="00095E4A"/>
    <w:rsid w:val="00095E87"/>
    <w:rsid w:val="000963BD"/>
    <w:rsid w:val="00097162"/>
    <w:rsid w:val="000A090E"/>
    <w:rsid w:val="000A1D4B"/>
    <w:rsid w:val="000A581B"/>
    <w:rsid w:val="000A72BE"/>
    <w:rsid w:val="000A7A9A"/>
    <w:rsid w:val="000A7D4A"/>
    <w:rsid w:val="000B021A"/>
    <w:rsid w:val="000B0F10"/>
    <w:rsid w:val="000B165C"/>
    <w:rsid w:val="000B2015"/>
    <w:rsid w:val="000B2431"/>
    <w:rsid w:val="000B25EF"/>
    <w:rsid w:val="000B30B6"/>
    <w:rsid w:val="000B30D0"/>
    <w:rsid w:val="000B329E"/>
    <w:rsid w:val="000B3E76"/>
    <w:rsid w:val="000B5356"/>
    <w:rsid w:val="000B7187"/>
    <w:rsid w:val="000C07F3"/>
    <w:rsid w:val="000C219E"/>
    <w:rsid w:val="000C303C"/>
    <w:rsid w:val="000C53B1"/>
    <w:rsid w:val="000C5508"/>
    <w:rsid w:val="000C57BC"/>
    <w:rsid w:val="000C6010"/>
    <w:rsid w:val="000C6A60"/>
    <w:rsid w:val="000C6B55"/>
    <w:rsid w:val="000D0B53"/>
    <w:rsid w:val="000D0F9E"/>
    <w:rsid w:val="000D11BE"/>
    <w:rsid w:val="000D16B7"/>
    <w:rsid w:val="000D17DB"/>
    <w:rsid w:val="000D2790"/>
    <w:rsid w:val="000D29EB"/>
    <w:rsid w:val="000D412D"/>
    <w:rsid w:val="000D4BFD"/>
    <w:rsid w:val="000D6DFB"/>
    <w:rsid w:val="000D6F3C"/>
    <w:rsid w:val="000E038C"/>
    <w:rsid w:val="000E04D0"/>
    <w:rsid w:val="000E0523"/>
    <w:rsid w:val="000E1EB7"/>
    <w:rsid w:val="000E2459"/>
    <w:rsid w:val="000E3653"/>
    <w:rsid w:val="000E48D4"/>
    <w:rsid w:val="000E68E7"/>
    <w:rsid w:val="000F1019"/>
    <w:rsid w:val="000F12BC"/>
    <w:rsid w:val="000F1C15"/>
    <w:rsid w:val="000F24E0"/>
    <w:rsid w:val="000F2B03"/>
    <w:rsid w:val="000F2E29"/>
    <w:rsid w:val="000F3311"/>
    <w:rsid w:val="000F3B92"/>
    <w:rsid w:val="000F3BBD"/>
    <w:rsid w:val="000F4272"/>
    <w:rsid w:val="000F4400"/>
    <w:rsid w:val="000F4E93"/>
    <w:rsid w:val="000F5DDF"/>
    <w:rsid w:val="000F7A32"/>
    <w:rsid w:val="001000E1"/>
    <w:rsid w:val="0010192A"/>
    <w:rsid w:val="0010307D"/>
    <w:rsid w:val="001041A3"/>
    <w:rsid w:val="00104ACB"/>
    <w:rsid w:val="00105815"/>
    <w:rsid w:val="0011032A"/>
    <w:rsid w:val="001110E8"/>
    <w:rsid w:val="00111296"/>
    <w:rsid w:val="00111F95"/>
    <w:rsid w:val="00112CB7"/>
    <w:rsid w:val="00112D02"/>
    <w:rsid w:val="00113615"/>
    <w:rsid w:val="001139BB"/>
    <w:rsid w:val="00113A9E"/>
    <w:rsid w:val="001142D9"/>
    <w:rsid w:val="00114436"/>
    <w:rsid w:val="00114E4D"/>
    <w:rsid w:val="0011520A"/>
    <w:rsid w:val="0011556B"/>
    <w:rsid w:val="00115FED"/>
    <w:rsid w:val="00116587"/>
    <w:rsid w:val="00116816"/>
    <w:rsid w:val="00117BE4"/>
    <w:rsid w:val="00120587"/>
    <w:rsid w:val="00121122"/>
    <w:rsid w:val="00121634"/>
    <w:rsid w:val="00122E70"/>
    <w:rsid w:val="00122EDF"/>
    <w:rsid w:val="0012382C"/>
    <w:rsid w:val="001246D1"/>
    <w:rsid w:val="001248D1"/>
    <w:rsid w:val="00124E0F"/>
    <w:rsid w:val="00133015"/>
    <w:rsid w:val="00137D14"/>
    <w:rsid w:val="00137D52"/>
    <w:rsid w:val="00137EBD"/>
    <w:rsid w:val="00140BF2"/>
    <w:rsid w:val="001410AB"/>
    <w:rsid w:val="00142ABC"/>
    <w:rsid w:val="001430F1"/>
    <w:rsid w:val="0014347C"/>
    <w:rsid w:val="0014389A"/>
    <w:rsid w:val="00144E4C"/>
    <w:rsid w:val="00145792"/>
    <w:rsid w:val="00145903"/>
    <w:rsid w:val="00150003"/>
    <w:rsid w:val="001504AA"/>
    <w:rsid w:val="00151872"/>
    <w:rsid w:val="00151D8E"/>
    <w:rsid w:val="00152931"/>
    <w:rsid w:val="001529E2"/>
    <w:rsid w:val="00153921"/>
    <w:rsid w:val="001557F8"/>
    <w:rsid w:val="00156027"/>
    <w:rsid w:val="00156857"/>
    <w:rsid w:val="00161BD6"/>
    <w:rsid w:val="0016220E"/>
    <w:rsid w:val="001623BA"/>
    <w:rsid w:val="00164A2C"/>
    <w:rsid w:val="00164E1F"/>
    <w:rsid w:val="001674FD"/>
    <w:rsid w:val="00167965"/>
    <w:rsid w:val="001679FD"/>
    <w:rsid w:val="00167B5D"/>
    <w:rsid w:val="00167B9F"/>
    <w:rsid w:val="001728FF"/>
    <w:rsid w:val="00174EC4"/>
    <w:rsid w:val="00174F91"/>
    <w:rsid w:val="001755F0"/>
    <w:rsid w:val="0018141B"/>
    <w:rsid w:val="0018440D"/>
    <w:rsid w:val="001879A1"/>
    <w:rsid w:val="00187AEE"/>
    <w:rsid w:val="001906B1"/>
    <w:rsid w:val="00190E26"/>
    <w:rsid w:val="0019181A"/>
    <w:rsid w:val="00192224"/>
    <w:rsid w:val="00193835"/>
    <w:rsid w:val="0019466D"/>
    <w:rsid w:val="00194FD8"/>
    <w:rsid w:val="00195A5B"/>
    <w:rsid w:val="001A0CFD"/>
    <w:rsid w:val="001A2490"/>
    <w:rsid w:val="001A4A13"/>
    <w:rsid w:val="001A4E4C"/>
    <w:rsid w:val="001A5A8C"/>
    <w:rsid w:val="001A6AB1"/>
    <w:rsid w:val="001A6FD9"/>
    <w:rsid w:val="001A7686"/>
    <w:rsid w:val="001A7C49"/>
    <w:rsid w:val="001B017A"/>
    <w:rsid w:val="001B0F41"/>
    <w:rsid w:val="001B1F39"/>
    <w:rsid w:val="001B3F3B"/>
    <w:rsid w:val="001B48B8"/>
    <w:rsid w:val="001B50E7"/>
    <w:rsid w:val="001B611C"/>
    <w:rsid w:val="001B7620"/>
    <w:rsid w:val="001C27A1"/>
    <w:rsid w:val="001C29AA"/>
    <w:rsid w:val="001C2FD7"/>
    <w:rsid w:val="001C3B28"/>
    <w:rsid w:val="001C4240"/>
    <w:rsid w:val="001C4A4C"/>
    <w:rsid w:val="001C4F6D"/>
    <w:rsid w:val="001C525B"/>
    <w:rsid w:val="001C7D0C"/>
    <w:rsid w:val="001D1E76"/>
    <w:rsid w:val="001D52A2"/>
    <w:rsid w:val="001D56F0"/>
    <w:rsid w:val="001D5F8B"/>
    <w:rsid w:val="001D67CD"/>
    <w:rsid w:val="001D6D8E"/>
    <w:rsid w:val="001D7589"/>
    <w:rsid w:val="001D7727"/>
    <w:rsid w:val="001D7BFA"/>
    <w:rsid w:val="001E0994"/>
    <w:rsid w:val="001E11BE"/>
    <w:rsid w:val="001E2E04"/>
    <w:rsid w:val="001E4863"/>
    <w:rsid w:val="001E712D"/>
    <w:rsid w:val="001E75BF"/>
    <w:rsid w:val="001F096F"/>
    <w:rsid w:val="001F199F"/>
    <w:rsid w:val="001F2A57"/>
    <w:rsid w:val="001F333D"/>
    <w:rsid w:val="001F35D6"/>
    <w:rsid w:val="001F3C82"/>
    <w:rsid w:val="001F5164"/>
    <w:rsid w:val="001F5E76"/>
    <w:rsid w:val="001F6477"/>
    <w:rsid w:val="001F6B4B"/>
    <w:rsid w:val="00200AEC"/>
    <w:rsid w:val="00200B03"/>
    <w:rsid w:val="0020177E"/>
    <w:rsid w:val="0020204E"/>
    <w:rsid w:val="00202FAA"/>
    <w:rsid w:val="00203431"/>
    <w:rsid w:val="00203A99"/>
    <w:rsid w:val="00203F6F"/>
    <w:rsid w:val="0020454F"/>
    <w:rsid w:val="0020528E"/>
    <w:rsid w:val="00205B5E"/>
    <w:rsid w:val="0020605E"/>
    <w:rsid w:val="00206406"/>
    <w:rsid w:val="002107DF"/>
    <w:rsid w:val="00210BDA"/>
    <w:rsid w:val="00212D6D"/>
    <w:rsid w:val="00213A0A"/>
    <w:rsid w:val="0021463C"/>
    <w:rsid w:val="00214F5D"/>
    <w:rsid w:val="00216405"/>
    <w:rsid w:val="002201C2"/>
    <w:rsid w:val="00220CEB"/>
    <w:rsid w:val="00221062"/>
    <w:rsid w:val="00222001"/>
    <w:rsid w:val="00223415"/>
    <w:rsid w:val="00223BD1"/>
    <w:rsid w:val="00224DAC"/>
    <w:rsid w:val="00225863"/>
    <w:rsid w:val="00225C44"/>
    <w:rsid w:val="00227359"/>
    <w:rsid w:val="00230C6A"/>
    <w:rsid w:val="002317E6"/>
    <w:rsid w:val="00231A14"/>
    <w:rsid w:val="00234CFA"/>
    <w:rsid w:val="00234EBC"/>
    <w:rsid w:val="00235C17"/>
    <w:rsid w:val="00237F9B"/>
    <w:rsid w:val="00240626"/>
    <w:rsid w:val="00240AD0"/>
    <w:rsid w:val="00241366"/>
    <w:rsid w:val="002417C9"/>
    <w:rsid w:val="00242034"/>
    <w:rsid w:val="00243918"/>
    <w:rsid w:val="00243E40"/>
    <w:rsid w:val="0024463D"/>
    <w:rsid w:val="00244A35"/>
    <w:rsid w:val="002509CD"/>
    <w:rsid w:val="00251FAC"/>
    <w:rsid w:val="002527BD"/>
    <w:rsid w:val="002552A5"/>
    <w:rsid w:val="002578B7"/>
    <w:rsid w:val="002608A8"/>
    <w:rsid w:val="00260A6E"/>
    <w:rsid w:val="00260EDE"/>
    <w:rsid w:val="00261295"/>
    <w:rsid w:val="00261411"/>
    <w:rsid w:val="00263707"/>
    <w:rsid w:val="0026389B"/>
    <w:rsid w:val="002640DC"/>
    <w:rsid w:val="00265186"/>
    <w:rsid w:val="0026577D"/>
    <w:rsid w:val="00265C5A"/>
    <w:rsid w:val="00266B70"/>
    <w:rsid w:val="00266C95"/>
    <w:rsid w:val="00267141"/>
    <w:rsid w:val="00267B1B"/>
    <w:rsid w:val="00271CD1"/>
    <w:rsid w:val="00272631"/>
    <w:rsid w:val="00273323"/>
    <w:rsid w:val="002745EA"/>
    <w:rsid w:val="00275117"/>
    <w:rsid w:val="002768DB"/>
    <w:rsid w:val="00281787"/>
    <w:rsid w:val="00282024"/>
    <w:rsid w:val="0028248D"/>
    <w:rsid w:val="002830FE"/>
    <w:rsid w:val="00286E66"/>
    <w:rsid w:val="002903A8"/>
    <w:rsid w:val="00292DDF"/>
    <w:rsid w:val="00293241"/>
    <w:rsid w:val="00293DB7"/>
    <w:rsid w:val="00294776"/>
    <w:rsid w:val="0029586E"/>
    <w:rsid w:val="0029589A"/>
    <w:rsid w:val="00296B8D"/>
    <w:rsid w:val="00297B0C"/>
    <w:rsid w:val="00297B45"/>
    <w:rsid w:val="002A60AC"/>
    <w:rsid w:val="002A6335"/>
    <w:rsid w:val="002B406F"/>
    <w:rsid w:val="002B4D36"/>
    <w:rsid w:val="002B5AAC"/>
    <w:rsid w:val="002B66E5"/>
    <w:rsid w:val="002B7A6D"/>
    <w:rsid w:val="002B7BFF"/>
    <w:rsid w:val="002C0991"/>
    <w:rsid w:val="002C1F89"/>
    <w:rsid w:val="002C215C"/>
    <w:rsid w:val="002C4ECF"/>
    <w:rsid w:val="002C513E"/>
    <w:rsid w:val="002C5235"/>
    <w:rsid w:val="002C655C"/>
    <w:rsid w:val="002C7C55"/>
    <w:rsid w:val="002D07E8"/>
    <w:rsid w:val="002D23EE"/>
    <w:rsid w:val="002D36D0"/>
    <w:rsid w:val="002D3FB3"/>
    <w:rsid w:val="002D5606"/>
    <w:rsid w:val="002D69B3"/>
    <w:rsid w:val="002D6A90"/>
    <w:rsid w:val="002D6CC2"/>
    <w:rsid w:val="002D6ECE"/>
    <w:rsid w:val="002D748F"/>
    <w:rsid w:val="002D7F42"/>
    <w:rsid w:val="002D7FBA"/>
    <w:rsid w:val="002E0B96"/>
    <w:rsid w:val="002E0CBB"/>
    <w:rsid w:val="002E0D5C"/>
    <w:rsid w:val="002E0E75"/>
    <w:rsid w:val="002E260D"/>
    <w:rsid w:val="002E3CA1"/>
    <w:rsid w:val="002E41E1"/>
    <w:rsid w:val="002E4760"/>
    <w:rsid w:val="002E6230"/>
    <w:rsid w:val="002E629F"/>
    <w:rsid w:val="002E708F"/>
    <w:rsid w:val="002E7336"/>
    <w:rsid w:val="002E7545"/>
    <w:rsid w:val="002E7BC0"/>
    <w:rsid w:val="002F03C8"/>
    <w:rsid w:val="002F0464"/>
    <w:rsid w:val="002F112F"/>
    <w:rsid w:val="002F1FEF"/>
    <w:rsid w:val="002F2653"/>
    <w:rsid w:val="002F2773"/>
    <w:rsid w:val="002F3FB5"/>
    <w:rsid w:val="002F44C9"/>
    <w:rsid w:val="002F468D"/>
    <w:rsid w:val="002F46FA"/>
    <w:rsid w:val="002F4EA3"/>
    <w:rsid w:val="002F745F"/>
    <w:rsid w:val="002F7A37"/>
    <w:rsid w:val="003007C1"/>
    <w:rsid w:val="0030186B"/>
    <w:rsid w:val="003036B8"/>
    <w:rsid w:val="003042F4"/>
    <w:rsid w:val="00304A33"/>
    <w:rsid w:val="00307458"/>
    <w:rsid w:val="00310726"/>
    <w:rsid w:val="0031184A"/>
    <w:rsid w:val="00312104"/>
    <w:rsid w:val="00313D88"/>
    <w:rsid w:val="00317889"/>
    <w:rsid w:val="00320069"/>
    <w:rsid w:val="00320481"/>
    <w:rsid w:val="00321B78"/>
    <w:rsid w:val="003233AD"/>
    <w:rsid w:val="00324136"/>
    <w:rsid w:val="00325881"/>
    <w:rsid w:val="00325B4C"/>
    <w:rsid w:val="003305C1"/>
    <w:rsid w:val="003329B4"/>
    <w:rsid w:val="0033308F"/>
    <w:rsid w:val="003333C2"/>
    <w:rsid w:val="003336A1"/>
    <w:rsid w:val="00333DC2"/>
    <w:rsid w:val="00333F91"/>
    <w:rsid w:val="003351CF"/>
    <w:rsid w:val="00336747"/>
    <w:rsid w:val="00337545"/>
    <w:rsid w:val="003375B9"/>
    <w:rsid w:val="00337E0F"/>
    <w:rsid w:val="0034038D"/>
    <w:rsid w:val="00341117"/>
    <w:rsid w:val="00341731"/>
    <w:rsid w:val="00341BE2"/>
    <w:rsid w:val="00341D83"/>
    <w:rsid w:val="0034215A"/>
    <w:rsid w:val="003435C7"/>
    <w:rsid w:val="00343C36"/>
    <w:rsid w:val="00344164"/>
    <w:rsid w:val="0034612C"/>
    <w:rsid w:val="003465A2"/>
    <w:rsid w:val="00347E5D"/>
    <w:rsid w:val="00350845"/>
    <w:rsid w:val="00351046"/>
    <w:rsid w:val="00353625"/>
    <w:rsid w:val="00354C56"/>
    <w:rsid w:val="003550DA"/>
    <w:rsid w:val="00356006"/>
    <w:rsid w:val="00356B07"/>
    <w:rsid w:val="0035797B"/>
    <w:rsid w:val="00357B66"/>
    <w:rsid w:val="00357C86"/>
    <w:rsid w:val="003607D4"/>
    <w:rsid w:val="00361306"/>
    <w:rsid w:val="003629B5"/>
    <w:rsid w:val="003643AB"/>
    <w:rsid w:val="003734D5"/>
    <w:rsid w:val="0037351D"/>
    <w:rsid w:val="00373B1A"/>
    <w:rsid w:val="0037516C"/>
    <w:rsid w:val="00376436"/>
    <w:rsid w:val="00376A7D"/>
    <w:rsid w:val="0037700F"/>
    <w:rsid w:val="0037763D"/>
    <w:rsid w:val="00377865"/>
    <w:rsid w:val="00377AAB"/>
    <w:rsid w:val="0038153D"/>
    <w:rsid w:val="00381F66"/>
    <w:rsid w:val="003842EC"/>
    <w:rsid w:val="00384540"/>
    <w:rsid w:val="0038490F"/>
    <w:rsid w:val="00385363"/>
    <w:rsid w:val="00385CBD"/>
    <w:rsid w:val="003861D0"/>
    <w:rsid w:val="00386578"/>
    <w:rsid w:val="00386855"/>
    <w:rsid w:val="00386BCD"/>
    <w:rsid w:val="00386F93"/>
    <w:rsid w:val="00387348"/>
    <w:rsid w:val="00390847"/>
    <w:rsid w:val="00390857"/>
    <w:rsid w:val="00390DBB"/>
    <w:rsid w:val="00391979"/>
    <w:rsid w:val="0039592D"/>
    <w:rsid w:val="00395D40"/>
    <w:rsid w:val="00396BE0"/>
    <w:rsid w:val="003A1A67"/>
    <w:rsid w:val="003A312A"/>
    <w:rsid w:val="003A3958"/>
    <w:rsid w:val="003A44B6"/>
    <w:rsid w:val="003A50CD"/>
    <w:rsid w:val="003A561D"/>
    <w:rsid w:val="003A568D"/>
    <w:rsid w:val="003A64B7"/>
    <w:rsid w:val="003B12F7"/>
    <w:rsid w:val="003B220A"/>
    <w:rsid w:val="003B2219"/>
    <w:rsid w:val="003B240C"/>
    <w:rsid w:val="003B4366"/>
    <w:rsid w:val="003B4C20"/>
    <w:rsid w:val="003B503A"/>
    <w:rsid w:val="003C17C6"/>
    <w:rsid w:val="003C256A"/>
    <w:rsid w:val="003C321E"/>
    <w:rsid w:val="003C3CC5"/>
    <w:rsid w:val="003C4CDD"/>
    <w:rsid w:val="003C6032"/>
    <w:rsid w:val="003C62C8"/>
    <w:rsid w:val="003C71AA"/>
    <w:rsid w:val="003C76F8"/>
    <w:rsid w:val="003C7FA1"/>
    <w:rsid w:val="003D022F"/>
    <w:rsid w:val="003D05EF"/>
    <w:rsid w:val="003D1976"/>
    <w:rsid w:val="003D2248"/>
    <w:rsid w:val="003D2AD8"/>
    <w:rsid w:val="003D3A10"/>
    <w:rsid w:val="003D514F"/>
    <w:rsid w:val="003D56BA"/>
    <w:rsid w:val="003D5722"/>
    <w:rsid w:val="003D5F68"/>
    <w:rsid w:val="003D75D3"/>
    <w:rsid w:val="003E0123"/>
    <w:rsid w:val="003E29DD"/>
    <w:rsid w:val="003E4A22"/>
    <w:rsid w:val="003E4AE1"/>
    <w:rsid w:val="003E648D"/>
    <w:rsid w:val="003E6BFC"/>
    <w:rsid w:val="003E7EEE"/>
    <w:rsid w:val="003F02E0"/>
    <w:rsid w:val="003F21AF"/>
    <w:rsid w:val="003F2754"/>
    <w:rsid w:val="003F27FC"/>
    <w:rsid w:val="003F288C"/>
    <w:rsid w:val="003F2ED3"/>
    <w:rsid w:val="003F3827"/>
    <w:rsid w:val="003F4E26"/>
    <w:rsid w:val="003F519D"/>
    <w:rsid w:val="003F54B4"/>
    <w:rsid w:val="003F69E6"/>
    <w:rsid w:val="003F74B5"/>
    <w:rsid w:val="003F7DDC"/>
    <w:rsid w:val="00400089"/>
    <w:rsid w:val="00400994"/>
    <w:rsid w:val="00401239"/>
    <w:rsid w:val="004018C8"/>
    <w:rsid w:val="004021B6"/>
    <w:rsid w:val="004029AA"/>
    <w:rsid w:val="00403164"/>
    <w:rsid w:val="00404E8E"/>
    <w:rsid w:val="004058CF"/>
    <w:rsid w:val="00406987"/>
    <w:rsid w:val="00406B4B"/>
    <w:rsid w:val="0040741D"/>
    <w:rsid w:val="00407B70"/>
    <w:rsid w:val="00410391"/>
    <w:rsid w:val="00411B6A"/>
    <w:rsid w:val="00412C22"/>
    <w:rsid w:val="0041308F"/>
    <w:rsid w:val="00413AB8"/>
    <w:rsid w:val="004179D9"/>
    <w:rsid w:val="00420BAC"/>
    <w:rsid w:val="00420D4C"/>
    <w:rsid w:val="004219E6"/>
    <w:rsid w:val="00422750"/>
    <w:rsid w:val="0042326A"/>
    <w:rsid w:val="00427E49"/>
    <w:rsid w:val="00430119"/>
    <w:rsid w:val="00432175"/>
    <w:rsid w:val="004333A2"/>
    <w:rsid w:val="00434B18"/>
    <w:rsid w:val="004356DE"/>
    <w:rsid w:val="00435F45"/>
    <w:rsid w:val="00436224"/>
    <w:rsid w:val="00436BFE"/>
    <w:rsid w:val="004378C9"/>
    <w:rsid w:val="004409C2"/>
    <w:rsid w:val="004410D3"/>
    <w:rsid w:val="00441671"/>
    <w:rsid w:val="00441685"/>
    <w:rsid w:val="004432DA"/>
    <w:rsid w:val="004443CD"/>
    <w:rsid w:val="00444B9D"/>
    <w:rsid w:val="004458D8"/>
    <w:rsid w:val="00445A99"/>
    <w:rsid w:val="00445D9B"/>
    <w:rsid w:val="00446A26"/>
    <w:rsid w:val="00446EA9"/>
    <w:rsid w:val="00447F08"/>
    <w:rsid w:val="00450538"/>
    <w:rsid w:val="00456348"/>
    <w:rsid w:val="00460160"/>
    <w:rsid w:val="00460516"/>
    <w:rsid w:val="004606C9"/>
    <w:rsid w:val="00460D49"/>
    <w:rsid w:val="00460EEA"/>
    <w:rsid w:val="00462501"/>
    <w:rsid w:val="00463BC0"/>
    <w:rsid w:val="0046402D"/>
    <w:rsid w:val="00464132"/>
    <w:rsid w:val="00464374"/>
    <w:rsid w:val="00464D75"/>
    <w:rsid w:val="0046508F"/>
    <w:rsid w:val="00465E6C"/>
    <w:rsid w:val="004663EA"/>
    <w:rsid w:val="004666F5"/>
    <w:rsid w:val="00467340"/>
    <w:rsid w:val="00467EF8"/>
    <w:rsid w:val="00471AE7"/>
    <w:rsid w:val="00471BFE"/>
    <w:rsid w:val="0047233F"/>
    <w:rsid w:val="00473102"/>
    <w:rsid w:val="00476887"/>
    <w:rsid w:val="004769E3"/>
    <w:rsid w:val="00476E5D"/>
    <w:rsid w:val="0047738B"/>
    <w:rsid w:val="004773E6"/>
    <w:rsid w:val="0048115B"/>
    <w:rsid w:val="00481B4A"/>
    <w:rsid w:val="00483569"/>
    <w:rsid w:val="00483ED9"/>
    <w:rsid w:val="004843AD"/>
    <w:rsid w:val="00484944"/>
    <w:rsid w:val="00486564"/>
    <w:rsid w:val="004878DC"/>
    <w:rsid w:val="00490646"/>
    <w:rsid w:val="00491D5B"/>
    <w:rsid w:val="00493C07"/>
    <w:rsid w:val="00493E1B"/>
    <w:rsid w:val="004948CA"/>
    <w:rsid w:val="004962C8"/>
    <w:rsid w:val="00496C99"/>
    <w:rsid w:val="004971F5"/>
    <w:rsid w:val="00497DE1"/>
    <w:rsid w:val="00497FF0"/>
    <w:rsid w:val="004A016B"/>
    <w:rsid w:val="004A22EA"/>
    <w:rsid w:val="004A32E7"/>
    <w:rsid w:val="004A43CA"/>
    <w:rsid w:val="004A5161"/>
    <w:rsid w:val="004A54FA"/>
    <w:rsid w:val="004A6796"/>
    <w:rsid w:val="004A73F6"/>
    <w:rsid w:val="004A780F"/>
    <w:rsid w:val="004A7E44"/>
    <w:rsid w:val="004B078C"/>
    <w:rsid w:val="004B1493"/>
    <w:rsid w:val="004B19DF"/>
    <w:rsid w:val="004B1E43"/>
    <w:rsid w:val="004B1EA4"/>
    <w:rsid w:val="004B4FC8"/>
    <w:rsid w:val="004B5F94"/>
    <w:rsid w:val="004B75D4"/>
    <w:rsid w:val="004B7BAD"/>
    <w:rsid w:val="004C013B"/>
    <w:rsid w:val="004C050C"/>
    <w:rsid w:val="004C1599"/>
    <w:rsid w:val="004C233D"/>
    <w:rsid w:val="004C2378"/>
    <w:rsid w:val="004C2FBE"/>
    <w:rsid w:val="004C52C0"/>
    <w:rsid w:val="004C5C27"/>
    <w:rsid w:val="004C5FBA"/>
    <w:rsid w:val="004C6E20"/>
    <w:rsid w:val="004C7347"/>
    <w:rsid w:val="004C7CD5"/>
    <w:rsid w:val="004C7CF2"/>
    <w:rsid w:val="004D090F"/>
    <w:rsid w:val="004D2B36"/>
    <w:rsid w:val="004D363A"/>
    <w:rsid w:val="004D4CD1"/>
    <w:rsid w:val="004D74C5"/>
    <w:rsid w:val="004E08E8"/>
    <w:rsid w:val="004E24EC"/>
    <w:rsid w:val="004E4E82"/>
    <w:rsid w:val="004E5EE8"/>
    <w:rsid w:val="004E7639"/>
    <w:rsid w:val="004E77DF"/>
    <w:rsid w:val="004F19C1"/>
    <w:rsid w:val="004F2778"/>
    <w:rsid w:val="004F2F52"/>
    <w:rsid w:val="004F34C6"/>
    <w:rsid w:val="004F3AAC"/>
    <w:rsid w:val="004F53BF"/>
    <w:rsid w:val="004F59A9"/>
    <w:rsid w:val="004F5F81"/>
    <w:rsid w:val="004F6347"/>
    <w:rsid w:val="004F65C5"/>
    <w:rsid w:val="004F6824"/>
    <w:rsid w:val="004F71E3"/>
    <w:rsid w:val="004F7930"/>
    <w:rsid w:val="004F7FA6"/>
    <w:rsid w:val="00500CE6"/>
    <w:rsid w:val="00500E7A"/>
    <w:rsid w:val="005014A1"/>
    <w:rsid w:val="005019A2"/>
    <w:rsid w:val="00501A78"/>
    <w:rsid w:val="00501C62"/>
    <w:rsid w:val="00503231"/>
    <w:rsid w:val="00504118"/>
    <w:rsid w:val="00504A5F"/>
    <w:rsid w:val="005051BB"/>
    <w:rsid w:val="00505F63"/>
    <w:rsid w:val="00506774"/>
    <w:rsid w:val="0051110D"/>
    <w:rsid w:val="005114D4"/>
    <w:rsid w:val="00514BD3"/>
    <w:rsid w:val="0051555A"/>
    <w:rsid w:val="005157E5"/>
    <w:rsid w:val="00516BD3"/>
    <w:rsid w:val="00517439"/>
    <w:rsid w:val="005202A5"/>
    <w:rsid w:val="00525A96"/>
    <w:rsid w:val="005261C5"/>
    <w:rsid w:val="00526ABB"/>
    <w:rsid w:val="00527695"/>
    <w:rsid w:val="00530DDB"/>
    <w:rsid w:val="00531CBD"/>
    <w:rsid w:val="005320C4"/>
    <w:rsid w:val="00532302"/>
    <w:rsid w:val="00532687"/>
    <w:rsid w:val="0053395B"/>
    <w:rsid w:val="0053421C"/>
    <w:rsid w:val="005347D1"/>
    <w:rsid w:val="00534866"/>
    <w:rsid w:val="0053639F"/>
    <w:rsid w:val="005403ED"/>
    <w:rsid w:val="005411C4"/>
    <w:rsid w:val="005420A2"/>
    <w:rsid w:val="005421EC"/>
    <w:rsid w:val="00542343"/>
    <w:rsid w:val="005445AA"/>
    <w:rsid w:val="00544D3D"/>
    <w:rsid w:val="00545490"/>
    <w:rsid w:val="00546A4C"/>
    <w:rsid w:val="00547637"/>
    <w:rsid w:val="00550C65"/>
    <w:rsid w:val="00551597"/>
    <w:rsid w:val="00552AAA"/>
    <w:rsid w:val="00553E9E"/>
    <w:rsid w:val="0055420B"/>
    <w:rsid w:val="00554528"/>
    <w:rsid w:val="00554556"/>
    <w:rsid w:val="00554B7E"/>
    <w:rsid w:val="00554F45"/>
    <w:rsid w:val="005565F8"/>
    <w:rsid w:val="0055763B"/>
    <w:rsid w:val="00561564"/>
    <w:rsid w:val="00562268"/>
    <w:rsid w:val="005626DF"/>
    <w:rsid w:val="005633B0"/>
    <w:rsid w:val="00563D69"/>
    <w:rsid w:val="00565281"/>
    <w:rsid w:val="0056554A"/>
    <w:rsid w:val="00565AA8"/>
    <w:rsid w:val="00567E40"/>
    <w:rsid w:val="00570CE6"/>
    <w:rsid w:val="00571454"/>
    <w:rsid w:val="0057149C"/>
    <w:rsid w:val="00573132"/>
    <w:rsid w:val="00573456"/>
    <w:rsid w:val="00573C90"/>
    <w:rsid w:val="005746C7"/>
    <w:rsid w:val="00575BFC"/>
    <w:rsid w:val="00575EFF"/>
    <w:rsid w:val="0057634A"/>
    <w:rsid w:val="00576E32"/>
    <w:rsid w:val="0058032F"/>
    <w:rsid w:val="005803A0"/>
    <w:rsid w:val="0058102E"/>
    <w:rsid w:val="00582F67"/>
    <w:rsid w:val="00583592"/>
    <w:rsid w:val="0058580E"/>
    <w:rsid w:val="00585B83"/>
    <w:rsid w:val="005860DB"/>
    <w:rsid w:val="00587E32"/>
    <w:rsid w:val="00591E42"/>
    <w:rsid w:val="00591FA3"/>
    <w:rsid w:val="00592423"/>
    <w:rsid w:val="0059487B"/>
    <w:rsid w:val="00594D3E"/>
    <w:rsid w:val="00594F2A"/>
    <w:rsid w:val="00594F57"/>
    <w:rsid w:val="00597725"/>
    <w:rsid w:val="005A01BA"/>
    <w:rsid w:val="005A06F7"/>
    <w:rsid w:val="005A0E58"/>
    <w:rsid w:val="005A1471"/>
    <w:rsid w:val="005A179A"/>
    <w:rsid w:val="005A17B2"/>
    <w:rsid w:val="005A1B62"/>
    <w:rsid w:val="005A39F9"/>
    <w:rsid w:val="005A3E69"/>
    <w:rsid w:val="005A3EBC"/>
    <w:rsid w:val="005B0B70"/>
    <w:rsid w:val="005B1342"/>
    <w:rsid w:val="005B1835"/>
    <w:rsid w:val="005B3BBA"/>
    <w:rsid w:val="005B41A6"/>
    <w:rsid w:val="005B4644"/>
    <w:rsid w:val="005B59AD"/>
    <w:rsid w:val="005B5D70"/>
    <w:rsid w:val="005B5DB5"/>
    <w:rsid w:val="005B62AE"/>
    <w:rsid w:val="005B66F9"/>
    <w:rsid w:val="005B7EF9"/>
    <w:rsid w:val="005C03E9"/>
    <w:rsid w:val="005C16A5"/>
    <w:rsid w:val="005C1701"/>
    <w:rsid w:val="005C22F1"/>
    <w:rsid w:val="005C252E"/>
    <w:rsid w:val="005C31B3"/>
    <w:rsid w:val="005C5087"/>
    <w:rsid w:val="005D0220"/>
    <w:rsid w:val="005D1AC3"/>
    <w:rsid w:val="005D3588"/>
    <w:rsid w:val="005D3BD3"/>
    <w:rsid w:val="005D4C76"/>
    <w:rsid w:val="005D577D"/>
    <w:rsid w:val="005D6194"/>
    <w:rsid w:val="005D6C5D"/>
    <w:rsid w:val="005D7CFD"/>
    <w:rsid w:val="005E09FA"/>
    <w:rsid w:val="005E3270"/>
    <w:rsid w:val="005E4FA2"/>
    <w:rsid w:val="005E5916"/>
    <w:rsid w:val="005E6877"/>
    <w:rsid w:val="005E7618"/>
    <w:rsid w:val="005F097D"/>
    <w:rsid w:val="005F0B3B"/>
    <w:rsid w:val="005F1E58"/>
    <w:rsid w:val="005F3DD8"/>
    <w:rsid w:val="005F44E0"/>
    <w:rsid w:val="005F48BF"/>
    <w:rsid w:val="005F4B4B"/>
    <w:rsid w:val="005F5594"/>
    <w:rsid w:val="00600A7D"/>
    <w:rsid w:val="00600BB1"/>
    <w:rsid w:val="00600DEB"/>
    <w:rsid w:val="0060225E"/>
    <w:rsid w:val="00602D3A"/>
    <w:rsid w:val="006054B3"/>
    <w:rsid w:val="006056F8"/>
    <w:rsid w:val="00605BB6"/>
    <w:rsid w:val="006077E2"/>
    <w:rsid w:val="0060786F"/>
    <w:rsid w:val="00611C9E"/>
    <w:rsid w:val="00611DED"/>
    <w:rsid w:val="00612666"/>
    <w:rsid w:val="00612CA7"/>
    <w:rsid w:val="00612D1F"/>
    <w:rsid w:val="00614307"/>
    <w:rsid w:val="00614441"/>
    <w:rsid w:val="0061572D"/>
    <w:rsid w:val="00617697"/>
    <w:rsid w:val="00617D08"/>
    <w:rsid w:val="0062075B"/>
    <w:rsid w:val="00621446"/>
    <w:rsid w:val="00622CD9"/>
    <w:rsid w:val="00623947"/>
    <w:rsid w:val="00623A5E"/>
    <w:rsid w:val="00625057"/>
    <w:rsid w:val="00627249"/>
    <w:rsid w:val="006274ED"/>
    <w:rsid w:val="00631DD2"/>
    <w:rsid w:val="0063203B"/>
    <w:rsid w:val="006343FA"/>
    <w:rsid w:val="00634A91"/>
    <w:rsid w:val="006363A3"/>
    <w:rsid w:val="00637AED"/>
    <w:rsid w:val="00637C63"/>
    <w:rsid w:val="00637D9D"/>
    <w:rsid w:val="00640592"/>
    <w:rsid w:val="00641FA1"/>
    <w:rsid w:val="006433C2"/>
    <w:rsid w:val="006435A9"/>
    <w:rsid w:val="00643D44"/>
    <w:rsid w:val="006509DC"/>
    <w:rsid w:val="00652830"/>
    <w:rsid w:val="00652A5A"/>
    <w:rsid w:val="00653015"/>
    <w:rsid w:val="00654A81"/>
    <w:rsid w:val="0066005E"/>
    <w:rsid w:val="00660357"/>
    <w:rsid w:val="00660872"/>
    <w:rsid w:val="00662193"/>
    <w:rsid w:val="006622F0"/>
    <w:rsid w:val="00662B58"/>
    <w:rsid w:val="0066341E"/>
    <w:rsid w:val="006645F6"/>
    <w:rsid w:val="00664EC6"/>
    <w:rsid w:val="006651D8"/>
    <w:rsid w:val="0066551B"/>
    <w:rsid w:val="00665C5E"/>
    <w:rsid w:val="00666B28"/>
    <w:rsid w:val="006724DF"/>
    <w:rsid w:val="00676966"/>
    <w:rsid w:val="00676B7B"/>
    <w:rsid w:val="00677F6B"/>
    <w:rsid w:val="00680E93"/>
    <w:rsid w:val="006811F5"/>
    <w:rsid w:val="00681795"/>
    <w:rsid w:val="00681CB2"/>
    <w:rsid w:val="00682F3E"/>
    <w:rsid w:val="00683366"/>
    <w:rsid w:val="00683880"/>
    <w:rsid w:val="0068399C"/>
    <w:rsid w:val="00684996"/>
    <w:rsid w:val="00686321"/>
    <w:rsid w:val="00686350"/>
    <w:rsid w:val="00686466"/>
    <w:rsid w:val="00687CED"/>
    <w:rsid w:val="0069440C"/>
    <w:rsid w:val="006945EB"/>
    <w:rsid w:val="00694D4E"/>
    <w:rsid w:val="00695074"/>
    <w:rsid w:val="006952C8"/>
    <w:rsid w:val="00696303"/>
    <w:rsid w:val="006964EC"/>
    <w:rsid w:val="0069763E"/>
    <w:rsid w:val="006A3464"/>
    <w:rsid w:val="006A388B"/>
    <w:rsid w:val="006A4304"/>
    <w:rsid w:val="006A51F6"/>
    <w:rsid w:val="006A55E5"/>
    <w:rsid w:val="006B00E7"/>
    <w:rsid w:val="006B1702"/>
    <w:rsid w:val="006B3056"/>
    <w:rsid w:val="006B37E7"/>
    <w:rsid w:val="006B43D9"/>
    <w:rsid w:val="006B44C7"/>
    <w:rsid w:val="006B48C2"/>
    <w:rsid w:val="006B5A15"/>
    <w:rsid w:val="006B5B54"/>
    <w:rsid w:val="006B6BA2"/>
    <w:rsid w:val="006C0417"/>
    <w:rsid w:val="006C179D"/>
    <w:rsid w:val="006C510B"/>
    <w:rsid w:val="006C524C"/>
    <w:rsid w:val="006C5899"/>
    <w:rsid w:val="006C6FB3"/>
    <w:rsid w:val="006C762D"/>
    <w:rsid w:val="006D0E32"/>
    <w:rsid w:val="006D0FF6"/>
    <w:rsid w:val="006D1744"/>
    <w:rsid w:val="006D2758"/>
    <w:rsid w:val="006D3CED"/>
    <w:rsid w:val="006D3D54"/>
    <w:rsid w:val="006D4410"/>
    <w:rsid w:val="006D4D50"/>
    <w:rsid w:val="006D549A"/>
    <w:rsid w:val="006D55C8"/>
    <w:rsid w:val="006D6703"/>
    <w:rsid w:val="006D7938"/>
    <w:rsid w:val="006D7EB8"/>
    <w:rsid w:val="006E0003"/>
    <w:rsid w:val="006E011E"/>
    <w:rsid w:val="006E085D"/>
    <w:rsid w:val="006E15F4"/>
    <w:rsid w:val="006E2FDA"/>
    <w:rsid w:val="006E406B"/>
    <w:rsid w:val="006E51DE"/>
    <w:rsid w:val="006E55AC"/>
    <w:rsid w:val="006E5AD2"/>
    <w:rsid w:val="006E76CA"/>
    <w:rsid w:val="006F0102"/>
    <w:rsid w:val="006F24E0"/>
    <w:rsid w:val="006F44B1"/>
    <w:rsid w:val="006F4530"/>
    <w:rsid w:val="006F550D"/>
    <w:rsid w:val="006F7729"/>
    <w:rsid w:val="007010DD"/>
    <w:rsid w:val="00701B01"/>
    <w:rsid w:val="00703312"/>
    <w:rsid w:val="00703BA4"/>
    <w:rsid w:val="00707844"/>
    <w:rsid w:val="00707D48"/>
    <w:rsid w:val="00710617"/>
    <w:rsid w:val="00712105"/>
    <w:rsid w:val="0071382B"/>
    <w:rsid w:val="00716581"/>
    <w:rsid w:val="00716679"/>
    <w:rsid w:val="00716BCE"/>
    <w:rsid w:val="00716EA5"/>
    <w:rsid w:val="00717831"/>
    <w:rsid w:val="00721589"/>
    <w:rsid w:val="007235B6"/>
    <w:rsid w:val="007257C2"/>
    <w:rsid w:val="00725C56"/>
    <w:rsid w:val="0072667C"/>
    <w:rsid w:val="007271E1"/>
    <w:rsid w:val="0073038C"/>
    <w:rsid w:val="00733F5B"/>
    <w:rsid w:val="00734E53"/>
    <w:rsid w:val="00735BA4"/>
    <w:rsid w:val="00737734"/>
    <w:rsid w:val="00737BC4"/>
    <w:rsid w:val="007405E0"/>
    <w:rsid w:val="00742AAE"/>
    <w:rsid w:val="00742ECA"/>
    <w:rsid w:val="00742F5F"/>
    <w:rsid w:val="007437C7"/>
    <w:rsid w:val="00744860"/>
    <w:rsid w:val="00745D4A"/>
    <w:rsid w:val="00746A5D"/>
    <w:rsid w:val="0074747B"/>
    <w:rsid w:val="00747759"/>
    <w:rsid w:val="0075043A"/>
    <w:rsid w:val="00750DDD"/>
    <w:rsid w:val="00750E78"/>
    <w:rsid w:val="00750F67"/>
    <w:rsid w:val="00752696"/>
    <w:rsid w:val="00752830"/>
    <w:rsid w:val="00753694"/>
    <w:rsid w:val="00753B9B"/>
    <w:rsid w:val="0075565D"/>
    <w:rsid w:val="0075657D"/>
    <w:rsid w:val="00756955"/>
    <w:rsid w:val="00756EB3"/>
    <w:rsid w:val="007570C4"/>
    <w:rsid w:val="0075715C"/>
    <w:rsid w:val="00757791"/>
    <w:rsid w:val="00762E12"/>
    <w:rsid w:val="00764929"/>
    <w:rsid w:val="00764DBC"/>
    <w:rsid w:val="00765129"/>
    <w:rsid w:val="007663E8"/>
    <w:rsid w:val="00766749"/>
    <w:rsid w:val="00767BEA"/>
    <w:rsid w:val="00772FD0"/>
    <w:rsid w:val="007770CB"/>
    <w:rsid w:val="007801EE"/>
    <w:rsid w:val="00780C43"/>
    <w:rsid w:val="007820BE"/>
    <w:rsid w:val="007820C6"/>
    <w:rsid w:val="007826D5"/>
    <w:rsid w:val="00782894"/>
    <w:rsid w:val="00782D74"/>
    <w:rsid w:val="00784482"/>
    <w:rsid w:val="00785142"/>
    <w:rsid w:val="00786790"/>
    <w:rsid w:val="007875A8"/>
    <w:rsid w:val="00790789"/>
    <w:rsid w:val="00791C01"/>
    <w:rsid w:val="00793133"/>
    <w:rsid w:val="00793394"/>
    <w:rsid w:val="0079351F"/>
    <w:rsid w:val="00793769"/>
    <w:rsid w:val="007942D0"/>
    <w:rsid w:val="007944E3"/>
    <w:rsid w:val="00797D12"/>
    <w:rsid w:val="007A076D"/>
    <w:rsid w:val="007A2E67"/>
    <w:rsid w:val="007A3976"/>
    <w:rsid w:val="007A54F5"/>
    <w:rsid w:val="007A692B"/>
    <w:rsid w:val="007A6A11"/>
    <w:rsid w:val="007A6C28"/>
    <w:rsid w:val="007A7355"/>
    <w:rsid w:val="007A77A6"/>
    <w:rsid w:val="007B17E1"/>
    <w:rsid w:val="007B24E6"/>
    <w:rsid w:val="007B355E"/>
    <w:rsid w:val="007B3B11"/>
    <w:rsid w:val="007B5B5F"/>
    <w:rsid w:val="007B5C5B"/>
    <w:rsid w:val="007B5DCF"/>
    <w:rsid w:val="007B7118"/>
    <w:rsid w:val="007B71BE"/>
    <w:rsid w:val="007B76EA"/>
    <w:rsid w:val="007C014D"/>
    <w:rsid w:val="007C0EFE"/>
    <w:rsid w:val="007C1FB4"/>
    <w:rsid w:val="007C2EE5"/>
    <w:rsid w:val="007C3701"/>
    <w:rsid w:val="007C3F2F"/>
    <w:rsid w:val="007C7F99"/>
    <w:rsid w:val="007D06B2"/>
    <w:rsid w:val="007D232B"/>
    <w:rsid w:val="007D2D8A"/>
    <w:rsid w:val="007D3201"/>
    <w:rsid w:val="007D32DA"/>
    <w:rsid w:val="007D444E"/>
    <w:rsid w:val="007D565D"/>
    <w:rsid w:val="007D62E0"/>
    <w:rsid w:val="007D6768"/>
    <w:rsid w:val="007D72B0"/>
    <w:rsid w:val="007D7414"/>
    <w:rsid w:val="007D79A9"/>
    <w:rsid w:val="007E29C6"/>
    <w:rsid w:val="007E3492"/>
    <w:rsid w:val="007E5471"/>
    <w:rsid w:val="007E6F4E"/>
    <w:rsid w:val="007E70AA"/>
    <w:rsid w:val="007E73EA"/>
    <w:rsid w:val="007F102E"/>
    <w:rsid w:val="007F1B56"/>
    <w:rsid w:val="007F25FB"/>
    <w:rsid w:val="007F28FC"/>
    <w:rsid w:val="007F371C"/>
    <w:rsid w:val="007F400D"/>
    <w:rsid w:val="007F4475"/>
    <w:rsid w:val="007F486D"/>
    <w:rsid w:val="007F5551"/>
    <w:rsid w:val="007F788C"/>
    <w:rsid w:val="007F799B"/>
    <w:rsid w:val="007F7EC1"/>
    <w:rsid w:val="00800B9A"/>
    <w:rsid w:val="00800E98"/>
    <w:rsid w:val="008012E9"/>
    <w:rsid w:val="00801F07"/>
    <w:rsid w:val="00802454"/>
    <w:rsid w:val="0080323A"/>
    <w:rsid w:val="008034B8"/>
    <w:rsid w:val="008048A9"/>
    <w:rsid w:val="008048EF"/>
    <w:rsid w:val="008052A3"/>
    <w:rsid w:val="0080539D"/>
    <w:rsid w:val="00805A78"/>
    <w:rsid w:val="008061F9"/>
    <w:rsid w:val="008071F6"/>
    <w:rsid w:val="00810429"/>
    <w:rsid w:val="00810B85"/>
    <w:rsid w:val="00811F01"/>
    <w:rsid w:val="008136C9"/>
    <w:rsid w:val="00813758"/>
    <w:rsid w:val="00817E22"/>
    <w:rsid w:val="00820588"/>
    <w:rsid w:val="00822170"/>
    <w:rsid w:val="0082337E"/>
    <w:rsid w:val="008255EC"/>
    <w:rsid w:val="00825993"/>
    <w:rsid w:val="008263C9"/>
    <w:rsid w:val="00826F77"/>
    <w:rsid w:val="00830660"/>
    <w:rsid w:val="00830D13"/>
    <w:rsid w:val="008313F3"/>
    <w:rsid w:val="00831661"/>
    <w:rsid w:val="00831DEB"/>
    <w:rsid w:val="0083287B"/>
    <w:rsid w:val="008331AB"/>
    <w:rsid w:val="00835CD3"/>
    <w:rsid w:val="00836FD2"/>
    <w:rsid w:val="0084189C"/>
    <w:rsid w:val="008434CD"/>
    <w:rsid w:val="0084441A"/>
    <w:rsid w:val="0084491F"/>
    <w:rsid w:val="00846398"/>
    <w:rsid w:val="00850B95"/>
    <w:rsid w:val="008514AA"/>
    <w:rsid w:val="00851D5C"/>
    <w:rsid w:val="008521AB"/>
    <w:rsid w:val="00853AC1"/>
    <w:rsid w:val="00855B4B"/>
    <w:rsid w:val="00855B86"/>
    <w:rsid w:val="00856C0C"/>
    <w:rsid w:val="00857007"/>
    <w:rsid w:val="00857D5E"/>
    <w:rsid w:val="0086008A"/>
    <w:rsid w:val="00860511"/>
    <w:rsid w:val="00860CF4"/>
    <w:rsid w:val="00861A71"/>
    <w:rsid w:val="00861C1D"/>
    <w:rsid w:val="00862DF1"/>
    <w:rsid w:val="008650BE"/>
    <w:rsid w:val="008655D8"/>
    <w:rsid w:val="0086610F"/>
    <w:rsid w:val="0087001F"/>
    <w:rsid w:val="00870066"/>
    <w:rsid w:val="0087233C"/>
    <w:rsid w:val="00873567"/>
    <w:rsid w:val="00874987"/>
    <w:rsid w:val="00881490"/>
    <w:rsid w:val="00881805"/>
    <w:rsid w:val="00881E12"/>
    <w:rsid w:val="00884D8B"/>
    <w:rsid w:val="00887D7B"/>
    <w:rsid w:val="008900F6"/>
    <w:rsid w:val="0089229E"/>
    <w:rsid w:val="008928BB"/>
    <w:rsid w:val="00892BC6"/>
    <w:rsid w:val="00892E61"/>
    <w:rsid w:val="00895A62"/>
    <w:rsid w:val="00895FB7"/>
    <w:rsid w:val="00896190"/>
    <w:rsid w:val="00896730"/>
    <w:rsid w:val="008A037B"/>
    <w:rsid w:val="008A1BC1"/>
    <w:rsid w:val="008A2CF1"/>
    <w:rsid w:val="008A2EFB"/>
    <w:rsid w:val="008A3CAE"/>
    <w:rsid w:val="008A4E7C"/>
    <w:rsid w:val="008A5007"/>
    <w:rsid w:val="008A5693"/>
    <w:rsid w:val="008A57CE"/>
    <w:rsid w:val="008A5A4E"/>
    <w:rsid w:val="008A5C16"/>
    <w:rsid w:val="008B0E0F"/>
    <w:rsid w:val="008B1E64"/>
    <w:rsid w:val="008B2850"/>
    <w:rsid w:val="008B391C"/>
    <w:rsid w:val="008B5834"/>
    <w:rsid w:val="008B5AA4"/>
    <w:rsid w:val="008B64EE"/>
    <w:rsid w:val="008B68AE"/>
    <w:rsid w:val="008B695F"/>
    <w:rsid w:val="008B7D02"/>
    <w:rsid w:val="008C080B"/>
    <w:rsid w:val="008C0D40"/>
    <w:rsid w:val="008C11E3"/>
    <w:rsid w:val="008C12B1"/>
    <w:rsid w:val="008C26AF"/>
    <w:rsid w:val="008C454A"/>
    <w:rsid w:val="008C71EA"/>
    <w:rsid w:val="008C748E"/>
    <w:rsid w:val="008C770A"/>
    <w:rsid w:val="008C79E6"/>
    <w:rsid w:val="008D042F"/>
    <w:rsid w:val="008D0EE9"/>
    <w:rsid w:val="008D1319"/>
    <w:rsid w:val="008D1569"/>
    <w:rsid w:val="008D210B"/>
    <w:rsid w:val="008D2A21"/>
    <w:rsid w:val="008D3313"/>
    <w:rsid w:val="008D3C2B"/>
    <w:rsid w:val="008D770C"/>
    <w:rsid w:val="008E0201"/>
    <w:rsid w:val="008E23C1"/>
    <w:rsid w:val="008E3478"/>
    <w:rsid w:val="008E3634"/>
    <w:rsid w:val="008E3FE5"/>
    <w:rsid w:val="008E622D"/>
    <w:rsid w:val="008E641F"/>
    <w:rsid w:val="008E723F"/>
    <w:rsid w:val="008F283D"/>
    <w:rsid w:val="008F48E3"/>
    <w:rsid w:val="008F61EE"/>
    <w:rsid w:val="008F7048"/>
    <w:rsid w:val="008F7FF1"/>
    <w:rsid w:val="0090228D"/>
    <w:rsid w:val="00902B29"/>
    <w:rsid w:val="0090379F"/>
    <w:rsid w:val="0090459F"/>
    <w:rsid w:val="00904CDC"/>
    <w:rsid w:val="00905C0A"/>
    <w:rsid w:val="00905CD7"/>
    <w:rsid w:val="00907450"/>
    <w:rsid w:val="0090761F"/>
    <w:rsid w:val="0091025C"/>
    <w:rsid w:val="00910D4C"/>
    <w:rsid w:val="00911BA7"/>
    <w:rsid w:val="00911D9D"/>
    <w:rsid w:val="00912B00"/>
    <w:rsid w:val="009150C2"/>
    <w:rsid w:val="00916152"/>
    <w:rsid w:val="009164E6"/>
    <w:rsid w:val="00916FA0"/>
    <w:rsid w:val="009173FB"/>
    <w:rsid w:val="00922810"/>
    <w:rsid w:val="00923425"/>
    <w:rsid w:val="00923CB1"/>
    <w:rsid w:val="009243A8"/>
    <w:rsid w:val="009249F1"/>
    <w:rsid w:val="00924F51"/>
    <w:rsid w:val="00925FD8"/>
    <w:rsid w:val="009271CA"/>
    <w:rsid w:val="0093076E"/>
    <w:rsid w:val="00930832"/>
    <w:rsid w:val="0093242F"/>
    <w:rsid w:val="00932D35"/>
    <w:rsid w:val="00932E2B"/>
    <w:rsid w:val="00932E3A"/>
    <w:rsid w:val="00934B16"/>
    <w:rsid w:val="009371E1"/>
    <w:rsid w:val="009375B0"/>
    <w:rsid w:val="009410BF"/>
    <w:rsid w:val="00942440"/>
    <w:rsid w:val="00943011"/>
    <w:rsid w:val="0094421E"/>
    <w:rsid w:val="00945105"/>
    <w:rsid w:val="00945F1D"/>
    <w:rsid w:val="009465E0"/>
    <w:rsid w:val="0095014F"/>
    <w:rsid w:val="0095074A"/>
    <w:rsid w:val="00950979"/>
    <w:rsid w:val="00950A1C"/>
    <w:rsid w:val="00951191"/>
    <w:rsid w:val="0095141E"/>
    <w:rsid w:val="00952679"/>
    <w:rsid w:val="00952D15"/>
    <w:rsid w:val="00953F7D"/>
    <w:rsid w:val="00954ACB"/>
    <w:rsid w:val="00955103"/>
    <w:rsid w:val="009557D5"/>
    <w:rsid w:val="009560D8"/>
    <w:rsid w:val="00957C86"/>
    <w:rsid w:val="009600D6"/>
    <w:rsid w:val="00962CC3"/>
    <w:rsid w:val="0096349E"/>
    <w:rsid w:val="009636F4"/>
    <w:rsid w:val="0096370A"/>
    <w:rsid w:val="009660E6"/>
    <w:rsid w:val="00966AD7"/>
    <w:rsid w:val="009671A2"/>
    <w:rsid w:val="00967475"/>
    <w:rsid w:val="00970E93"/>
    <w:rsid w:val="00971C21"/>
    <w:rsid w:val="0097537C"/>
    <w:rsid w:val="009759BF"/>
    <w:rsid w:val="00977672"/>
    <w:rsid w:val="00980C36"/>
    <w:rsid w:val="00982158"/>
    <w:rsid w:val="00982F49"/>
    <w:rsid w:val="009837B9"/>
    <w:rsid w:val="00983B64"/>
    <w:rsid w:val="00983D70"/>
    <w:rsid w:val="00983DE0"/>
    <w:rsid w:val="00986C27"/>
    <w:rsid w:val="00987049"/>
    <w:rsid w:val="0098778E"/>
    <w:rsid w:val="009915F5"/>
    <w:rsid w:val="009926BF"/>
    <w:rsid w:val="00993228"/>
    <w:rsid w:val="009939CF"/>
    <w:rsid w:val="00994B0C"/>
    <w:rsid w:val="00994B13"/>
    <w:rsid w:val="00995242"/>
    <w:rsid w:val="00997706"/>
    <w:rsid w:val="009979C1"/>
    <w:rsid w:val="00997C0D"/>
    <w:rsid w:val="009A1496"/>
    <w:rsid w:val="009A27DA"/>
    <w:rsid w:val="009A3229"/>
    <w:rsid w:val="009A37BE"/>
    <w:rsid w:val="009A3DD4"/>
    <w:rsid w:val="009A4DE7"/>
    <w:rsid w:val="009A5E27"/>
    <w:rsid w:val="009A6A9B"/>
    <w:rsid w:val="009A7947"/>
    <w:rsid w:val="009B07F2"/>
    <w:rsid w:val="009B1DA6"/>
    <w:rsid w:val="009B3FCC"/>
    <w:rsid w:val="009B408E"/>
    <w:rsid w:val="009B50C6"/>
    <w:rsid w:val="009C081C"/>
    <w:rsid w:val="009C09A2"/>
    <w:rsid w:val="009C0E5F"/>
    <w:rsid w:val="009C151F"/>
    <w:rsid w:val="009C2CED"/>
    <w:rsid w:val="009C3F64"/>
    <w:rsid w:val="009C5A2B"/>
    <w:rsid w:val="009C64F4"/>
    <w:rsid w:val="009C66CB"/>
    <w:rsid w:val="009C768F"/>
    <w:rsid w:val="009D0057"/>
    <w:rsid w:val="009D0FC1"/>
    <w:rsid w:val="009D1397"/>
    <w:rsid w:val="009D1C19"/>
    <w:rsid w:val="009D1CC3"/>
    <w:rsid w:val="009D38A5"/>
    <w:rsid w:val="009D59BF"/>
    <w:rsid w:val="009E2FCD"/>
    <w:rsid w:val="009E4C9A"/>
    <w:rsid w:val="009E70BC"/>
    <w:rsid w:val="009E78A7"/>
    <w:rsid w:val="009E7B52"/>
    <w:rsid w:val="009E7E52"/>
    <w:rsid w:val="009F2B7D"/>
    <w:rsid w:val="009F4D44"/>
    <w:rsid w:val="009F6139"/>
    <w:rsid w:val="009F726F"/>
    <w:rsid w:val="00A00C7D"/>
    <w:rsid w:val="00A02154"/>
    <w:rsid w:val="00A03486"/>
    <w:rsid w:val="00A04C1F"/>
    <w:rsid w:val="00A04DE8"/>
    <w:rsid w:val="00A06030"/>
    <w:rsid w:val="00A069A3"/>
    <w:rsid w:val="00A06EC5"/>
    <w:rsid w:val="00A0772C"/>
    <w:rsid w:val="00A102B3"/>
    <w:rsid w:val="00A10B56"/>
    <w:rsid w:val="00A10B86"/>
    <w:rsid w:val="00A10FC7"/>
    <w:rsid w:val="00A123FC"/>
    <w:rsid w:val="00A133EC"/>
    <w:rsid w:val="00A134E7"/>
    <w:rsid w:val="00A139BA"/>
    <w:rsid w:val="00A145F7"/>
    <w:rsid w:val="00A1477D"/>
    <w:rsid w:val="00A1561A"/>
    <w:rsid w:val="00A16A58"/>
    <w:rsid w:val="00A1723D"/>
    <w:rsid w:val="00A20752"/>
    <w:rsid w:val="00A217ED"/>
    <w:rsid w:val="00A21DE7"/>
    <w:rsid w:val="00A226E5"/>
    <w:rsid w:val="00A22985"/>
    <w:rsid w:val="00A22C66"/>
    <w:rsid w:val="00A24CDA"/>
    <w:rsid w:val="00A258F2"/>
    <w:rsid w:val="00A27B3D"/>
    <w:rsid w:val="00A31805"/>
    <w:rsid w:val="00A3244D"/>
    <w:rsid w:val="00A331AF"/>
    <w:rsid w:val="00A336AF"/>
    <w:rsid w:val="00A3499D"/>
    <w:rsid w:val="00A34A01"/>
    <w:rsid w:val="00A356A9"/>
    <w:rsid w:val="00A35EFA"/>
    <w:rsid w:val="00A417D1"/>
    <w:rsid w:val="00A4498D"/>
    <w:rsid w:val="00A44A73"/>
    <w:rsid w:val="00A44BA8"/>
    <w:rsid w:val="00A45438"/>
    <w:rsid w:val="00A51A5C"/>
    <w:rsid w:val="00A527CA"/>
    <w:rsid w:val="00A54E0D"/>
    <w:rsid w:val="00A55456"/>
    <w:rsid w:val="00A56F7B"/>
    <w:rsid w:val="00A57BA1"/>
    <w:rsid w:val="00A60CF6"/>
    <w:rsid w:val="00A60F31"/>
    <w:rsid w:val="00A63597"/>
    <w:rsid w:val="00A63F86"/>
    <w:rsid w:val="00A64885"/>
    <w:rsid w:val="00A660FB"/>
    <w:rsid w:val="00A67701"/>
    <w:rsid w:val="00A70AF8"/>
    <w:rsid w:val="00A71022"/>
    <w:rsid w:val="00A717D0"/>
    <w:rsid w:val="00A72BE6"/>
    <w:rsid w:val="00A72DC7"/>
    <w:rsid w:val="00A72EEE"/>
    <w:rsid w:val="00A73C4F"/>
    <w:rsid w:val="00A73EAE"/>
    <w:rsid w:val="00A74248"/>
    <w:rsid w:val="00A74A93"/>
    <w:rsid w:val="00A773AF"/>
    <w:rsid w:val="00A77876"/>
    <w:rsid w:val="00A77960"/>
    <w:rsid w:val="00A80B38"/>
    <w:rsid w:val="00A83590"/>
    <w:rsid w:val="00A83A84"/>
    <w:rsid w:val="00A86BBE"/>
    <w:rsid w:val="00A871DF"/>
    <w:rsid w:val="00A87A14"/>
    <w:rsid w:val="00A90D1E"/>
    <w:rsid w:val="00A90EDD"/>
    <w:rsid w:val="00A92354"/>
    <w:rsid w:val="00A93DAE"/>
    <w:rsid w:val="00A94253"/>
    <w:rsid w:val="00A94D27"/>
    <w:rsid w:val="00A9507E"/>
    <w:rsid w:val="00A96CBF"/>
    <w:rsid w:val="00A9788B"/>
    <w:rsid w:val="00AA07D0"/>
    <w:rsid w:val="00AA17FB"/>
    <w:rsid w:val="00AA1B1B"/>
    <w:rsid w:val="00AA2A1D"/>
    <w:rsid w:val="00AA3BDC"/>
    <w:rsid w:val="00AA45D4"/>
    <w:rsid w:val="00AA548E"/>
    <w:rsid w:val="00AB032B"/>
    <w:rsid w:val="00AB04E3"/>
    <w:rsid w:val="00AB28B7"/>
    <w:rsid w:val="00AB4E53"/>
    <w:rsid w:val="00AB51BF"/>
    <w:rsid w:val="00AB51C2"/>
    <w:rsid w:val="00AB650A"/>
    <w:rsid w:val="00AB6C18"/>
    <w:rsid w:val="00AB7327"/>
    <w:rsid w:val="00AC0540"/>
    <w:rsid w:val="00AC0826"/>
    <w:rsid w:val="00AC1FD1"/>
    <w:rsid w:val="00AC519C"/>
    <w:rsid w:val="00AC58E2"/>
    <w:rsid w:val="00AC5BCD"/>
    <w:rsid w:val="00AC6B0F"/>
    <w:rsid w:val="00AD10B1"/>
    <w:rsid w:val="00AD12C9"/>
    <w:rsid w:val="00AD13F8"/>
    <w:rsid w:val="00AD193F"/>
    <w:rsid w:val="00AD2DE8"/>
    <w:rsid w:val="00AD2F99"/>
    <w:rsid w:val="00AD3A3A"/>
    <w:rsid w:val="00AD4080"/>
    <w:rsid w:val="00AD45AC"/>
    <w:rsid w:val="00AD4FEA"/>
    <w:rsid w:val="00AD6D3B"/>
    <w:rsid w:val="00AE0FFC"/>
    <w:rsid w:val="00AE1B1D"/>
    <w:rsid w:val="00AE261B"/>
    <w:rsid w:val="00AE2A46"/>
    <w:rsid w:val="00AE2AC6"/>
    <w:rsid w:val="00AE2AE8"/>
    <w:rsid w:val="00AE44BE"/>
    <w:rsid w:val="00AE4A4B"/>
    <w:rsid w:val="00AE4E74"/>
    <w:rsid w:val="00AE7239"/>
    <w:rsid w:val="00AE7281"/>
    <w:rsid w:val="00AE7FBB"/>
    <w:rsid w:val="00AF1980"/>
    <w:rsid w:val="00AF2D77"/>
    <w:rsid w:val="00AF2FD6"/>
    <w:rsid w:val="00AF30DC"/>
    <w:rsid w:val="00AF52BB"/>
    <w:rsid w:val="00AF5955"/>
    <w:rsid w:val="00AF62F1"/>
    <w:rsid w:val="00AF7132"/>
    <w:rsid w:val="00AF7E76"/>
    <w:rsid w:val="00B00E1C"/>
    <w:rsid w:val="00B01C01"/>
    <w:rsid w:val="00B01E7F"/>
    <w:rsid w:val="00B02A44"/>
    <w:rsid w:val="00B037DA"/>
    <w:rsid w:val="00B03D18"/>
    <w:rsid w:val="00B03D76"/>
    <w:rsid w:val="00B04EDF"/>
    <w:rsid w:val="00B0500C"/>
    <w:rsid w:val="00B0511A"/>
    <w:rsid w:val="00B0581C"/>
    <w:rsid w:val="00B05A5F"/>
    <w:rsid w:val="00B05EDF"/>
    <w:rsid w:val="00B05F0F"/>
    <w:rsid w:val="00B0687D"/>
    <w:rsid w:val="00B06F80"/>
    <w:rsid w:val="00B10122"/>
    <w:rsid w:val="00B103E8"/>
    <w:rsid w:val="00B10522"/>
    <w:rsid w:val="00B1103E"/>
    <w:rsid w:val="00B1151B"/>
    <w:rsid w:val="00B13701"/>
    <w:rsid w:val="00B13F27"/>
    <w:rsid w:val="00B141B2"/>
    <w:rsid w:val="00B15C15"/>
    <w:rsid w:val="00B175AD"/>
    <w:rsid w:val="00B17E0E"/>
    <w:rsid w:val="00B2165B"/>
    <w:rsid w:val="00B21785"/>
    <w:rsid w:val="00B2365E"/>
    <w:rsid w:val="00B23E91"/>
    <w:rsid w:val="00B2439F"/>
    <w:rsid w:val="00B24419"/>
    <w:rsid w:val="00B24B83"/>
    <w:rsid w:val="00B24FA7"/>
    <w:rsid w:val="00B2673F"/>
    <w:rsid w:val="00B269EA"/>
    <w:rsid w:val="00B32C35"/>
    <w:rsid w:val="00B33084"/>
    <w:rsid w:val="00B33769"/>
    <w:rsid w:val="00B341BB"/>
    <w:rsid w:val="00B365E9"/>
    <w:rsid w:val="00B36955"/>
    <w:rsid w:val="00B37098"/>
    <w:rsid w:val="00B3768B"/>
    <w:rsid w:val="00B37DE6"/>
    <w:rsid w:val="00B402BB"/>
    <w:rsid w:val="00B40357"/>
    <w:rsid w:val="00B40FDB"/>
    <w:rsid w:val="00B41C3B"/>
    <w:rsid w:val="00B41F32"/>
    <w:rsid w:val="00B421C7"/>
    <w:rsid w:val="00B457F2"/>
    <w:rsid w:val="00B465DC"/>
    <w:rsid w:val="00B47BE2"/>
    <w:rsid w:val="00B50A81"/>
    <w:rsid w:val="00B5159C"/>
    <w:rsid w:val="00B5343F"/>
    <w:rsid w:val="00B542F7"/>
    <w:rsid w:val="00B544CD"/>
    <w:rsid w:val="00B555F2"/>
    <w:rsid w:val="00B56BCF"/>
    <w:rsid w:val="00B579D1"/>
    <w:rsid w:val="00B57D7E"/>
    <w:rsid w:val="00B603D9"/>
    <w:rsid w:val="00B608FE"/>
    <w:rsid w:val="00B60AA0"/>
    <w:rsid w:val="00B60CE1"/>
    <w:rsid w:val="00B6203F"/>
    <w:rsid w:val="00B62173"/>
    <w:rsid w:val="00B62D1C"/>
    <w:rsid w:val="00B63A0D"/>
    <w:rsid w:val="00B641B9"/>
    <w:rsid w:val="00B64575"/>
    <w:rsid w:val="00B66661"/>
    <w:rsid w:val="00B66C6C"/>
    <w:rsid w:val="00B70813"/>
    <w:rsid w:val="00B70897"/>
    <w:rsid w:val="00B70FEF"/>
    <w:rsid w:val="00B716AF"/>
    <w:rsid w:val="00B718A5"/>
    <w:rsid w:val="00B72D24"/>
    <w:rsid w:val="00B75BF6"/>
    <w:rsid w:val="00B774EF"/>
    <w:rsid w:val="00B77BB5"/>
    <w:rsid w:val="00B77C9F"/>
    <w:rsid w:val="00B80CE7"/>
    <w:rsid w:val="00B8452D"/>
    <w:rsid w:val="00B85F4B"/>
    <w:rsid w:val="00B916C4"/>
    <w:rsid w:val="00B926E8"/>
    <w:rsid w:val="00B94568"/>
    <w:rsid w:val="00B95841"/>
    <w:rsid w:val="00BA0ABA"/>
    <w:rsid w:val="00BA1496"/>
    <w:rsid w:val="00BA361F"/>
    <w:rsid w:val="00BA3D07"/>
    <w:rsid w:val="00BA3E7D"/>
    <w:rsid w:val="00BA4864"/>
    <w:rsid w:val="00BA4A24"/>
    <w:rsid w:val="00BA7A82"/>
    <w:rsid w:val="00BA7AA8"/>
    <w:rsid w:val="00BB0815"/>
    <w:rsid w:val="00BB081D"/>
    <w:rsid w:val="00BB193C"/>
    <w:rsid w:val="00BB1EF5"/>
    <w:rsid w:val="00BB2771"/>
    <w:rsid w:val="00BB3125"/>
    <w:rsid w:val="00BB3603"/>
    <w:rsid w:val="00BB5C14"/>
    <w:rsid w:val="00BB780D"/>
    <w:rsid w:val="00BB7BFC"/>
    <w:rsid w:val="00BC0DE5"/>
    <w:rsid w:val="00BC1753"/>
    <w:rsid w:val="00BC2BA6"/>
    <w:rsid w:val="00BC3A40"/>
    <w:rsid w:val="00BC3DE6"/>
    <w:rsid w:val="00BC55E5"/>
    <w:rsid w:val="00BC60A4"/>
    <w:rsid w:val="00BC776A"/>
    <w:rsid w:val="00BC791E"/>
    <w:rsid w:val="00BC7FE9"/>
    <w:rsid w:val="00BD010B"/>
    <w:rsid w:val="00BD1EBB"/>
    <w:rsid w:val="00BD2E15"/>
    <w:rsid w:val="00BD4EE3"/>
    <w:rsid w:val="00BD7643"/>
    <w:rsid w:val="00BD76B4"/>
    <w:rsid w:val="00BD76D9"/>
    <w:rsid w:val="00BD784A"/>
    <w:rsid w:val="00BD7BD4"/>
    <w:rsid w:val="00BE1171"/>
    <w:rsid w:val="00BE341B"/>
    <w:rsid w:val="00BE405A"/>
    <w:rsid w:val="00BE4279"/>
    <w:rsid w:val="00BE4479"/>
    <w:rsid w:val="00BE6C49"/>
    <w:rsid w:val="00BE7EA3"/>
    <w:rsid w:val="00BE7FDC"/>
    <w:rsid w:val="00BF077B"/>
    <w:rsid w:val="00BF0935"/>
    <w:rsid w:val="00BF0C0F"/>
    <w:rsid w:val="00BF3C50"/>
    <w:rsid w:val="00BF4578"/>
    <w:rsid w:val="00BF4BD8"/>
    <w:rsid w:val="00BF72CB"/>
    <w:rsid w:val="00C00418"/>
    <w:rsid w:val="00C01508"/>
    <w:rsid w:val="00C0181B"/>
    <w:rsid w:val="00C02D9F"/>
    <w:rsid w:val="00C0343F"/>
    <w:rsid w:val="00C04176"/>
    <w:rsid w:val="00C057D6"/>
    <w:rsid w:val="00C05927"/>
    <w:rsid w:val="00C05D2E"/>
    <w:rsid w:val="00C0606F"/>
    <w:rsid w:val="00C06E44"/>
    <w:rsid w:val="00C0756B"/>
    <w:rsid w:val="00C07867"/>
    <w:rsid w:val="00C11CBD"/>
    <w:rsid w:val="00C12036"/>
    <w:rsid w:val="00C12BEA"/>
    <w:rsid w:val="00C13117"/>
    <w:rsid w:val="00C13E64"/>
    <w:rsid w:val="00C143F0"/>
    <w:rsid w:val="00C15B47"/>
    <w:rsid w:val="00C16180"/>
    <w:rsid w:val="00C161F0"/>
    <w:rsid w:val="00C2118D"/>
    <w:rsid w:val="00C216CE"/>
    <w:rsid w:val="00C24DB5"/>
    <w:rsid w:val="00C254E2"/>
    <w:rsid w:val="00C25536"/>
    <w:rsid w:val="00C26153"/>
    <w:rsid w:val="00C26CFB"/>
    <w:rsid w:val="00C279F5"/>
    <w:rsid w:val="00C27AA1"/>
    <w:rsid w:val="00C300D0"/>
    <w:rsid w:val="00C30410"/>
    <w:rsid w:val="00C3070A"/>
    <w:rsid w:val="00C30D34"/>
    <w:rsid w:val="00C30F81"/>
    <w:rsid w:val="00C31135"/>
    <w:rsid w:val="00C31379"/>
    <w:rsid w:val="00C32229"/>
    <w:rsid w:val="00C32F2C"/>
    <w:rsid w:val="00C33C07"/>
    <w:rsid w:val="00C34A2D"/>
    <w:rsid w:val="00C40612"/>
    <w:rsid w:val="00C4065A"/>
    <w:rsid w:val="00C409B7"/>
    <w:rsid w:val="00C413A3"/>
    <w:rsid w:val="00C43B03"/>
    <w:rsid w:val="00C43ED8"/>
    <w:rsid w:val="00C47A20"/>
    <w:rsid w:val="00C50BC6"/>
    <w:rsid w:val="00C5478F"/>
    <w:rsid w:val="00C54990"/>
    <w:rsid w:val="00C55282"/>
    <w:rsid w:val="00C55F7A"/>
    <w:rsid w:val="00C56479"/>
    <w:rsid w:val="00C57803"/>
    <w:rsid w:val="00C6667F"/>
    <w:rsid w:val="00C67966"/>
    <w:rsid w:val="00C709B4"/>
    <w:rsid w:val="00C70EFD"/>
    <w:rsid w:val="00C711DC"/>
    <w:rsid w:val="00C71C0C"/>
    <w:rsid w:val="00C73459"/>
    <w:rsid w:val="00C734F8"/>
    <w:rsid w:val="00C751CE"/>
    <w:rsid w:val="00C7567F"/>
    <w:rsid w:val="00C77C3A"/>
    <w:rsid w:val="00C816A5"/>
    <w:rsid w:val="00C82F8C"/>
    <w:rsid w:val="00C830AC"/>
    <w:rsid w:val="00C8509C"/>
    <w:rsid w:val="00C8527B"/>
    <w:rsid w:val="00C8675A"/>
    <w:rsid w:val="00C87E49"/>
    <w:rsid w:val="00C91493"/>
    <w:rsid w:val="00C9292B"/>
    <w:rsid w:val="00C93160"/>
    <w:rsid w:val="00C94065"/>
    <w:rsid w:val="00C9518A"/>
    <w:rsid w:val="00C95B83"/>
    <w:rsid w:val="00C966A2"/>
    <w:rsid w:val="00C9723A"/>
    <w:rsid w:val="00C97B09"/>
    <w:rsid w:val="00C97D03"/>
    <w:rsid w:val="00CA127B"/>
    <w:rsid w:val="00CA2175"/>
    <w:rsid w:val="00CA2784"/>
    <w:rsid w:val="00CA6C7D"/>
    <w:rsid w:val="00CA6E01"/>
    <w:rsid w:val="00CA751C"/>
    <w:rsid w:val="00CA7739"/>
    <w:rsid w:val="00CA7A08"/>
    <w:rsid w:val="00CB048D"/>
    <w:rsid w:val="00CB3D11"/>
    <w:rsid w:val="00CB3F14"/>
    <w:rsid w:val="00CB5DE0"/>
    <w:rsid w:val="00CB6E49"/>
    <w:rsid w:val="00CC04A6"/>
    <w:rsid w:val="00CC058F"/>
    <w:rsid w:val="00CC143C"/>
    <w:rsid w:val="00CC249E"/>
    <w:rsid w:val="00CC2809"/>
    <w:rsid w:val="00CC2A1A"/>
    <w:rsid w:val="00CC2CA5"/>
    <w:rsid w:val="00CC4C97"/>
    <w:rsid w:val="00CC5FF7"/>
    <w:rsid w:val="00CC73AD"/>
    <w:rsid w:val="00CD017D"/>
    <w:rsid w:val="00CD0645"/>
    <w:rsid w:val="00CD267A"/>
    <w:rsid w:val="00CD28AE"/>
    <w:rsid w:val="00CD34B4"/>
    <w:rsid w:val="00CD4479"/>
    <w:rsid w:val="00CD59F3"/>
    <w:rsid w:val="00CD5F93"/>
    <w:rsid w:val="00CD5FC9"/>
    <w:rsid w:val="00CD6C85"/>
    <w:rsid w:val="00CD6CE4"/>
    <w:rsid w:val="00CE10CD"/>
    <w:rsid w:val="00CE2CB7"/>
    <w:rsid w:val="00CE3241"/>
    <w:rsid w:val="00CE460F"/>
    <w:rsid w:val="00CE611B"/>
    <w:rsid w:val="00CE689C"/>
    <w:rsid w:val="00CE6D95"/>
    <w:rsid w:val="00CF0541"/>
    <w:rsid w:val="00CF11C6"/>
    <w:rsid w:val="00CF18C2"/>
    <w:rsid w:val="00CF5644"/>
    <w:rsid w:val="00CF79F3"/>
    <w:rsid w:val="00D00251"/>
    <w:rsid w:val="00D003B5"/>
    <w:rsid w:val="00D00860"/>
    <w:rsid w:val="00D020FB"/>
    <w:rsid w:val="00D02662"/>
    <w:rsid w:val="00D02E80"/>
    <w:rsid w:val="00D0419D"/>
    <w:rsid w:val="00D04239"/>
    <w:rsid w:val="00D050A3"/>
    <w:rsid w:val="00D067FC"/>
    <w:rsid w:val="00D068C5"/>
    <w:rsid w:val="00D07370"/>
    <w:rsid w:val="00D079F9"/>
    <w:rsid w:val="00D10246"/>
    <w:rsid w:val="00D10F38"/>
    <w:rsid w:val="00D118FD"/>
    <w:rsid w:val="00D11A12"/>
    <w:rsid w:val="00D11C7C"/>
    <w:rsid w:val="00D11E4D"/>
    <w:rsid w:val="00D1224D"/>
    <w:rsid w:val="00D13E68"/>
    <w:rsid w:val="00D14780"/>
    <w:rsid w:val="00D14BDF"/>
    <w:rsid w:val="00D17970"/>
    <w:rsid w:val="00D20321"/>
    <w:rsid w:val="00D20351"/>
    <w:rsid w:val="00D20A2B"/>
    <w:rsid w:val="00D2328F"/>
    <w:rsid w:val="00D24565"/>
    <w:rsid w:val="00D24DFD"/>
    <w:rsid w:val="00D26094"/>
    <w:rsid w:val="00D26121"/>
    <w:rsid w:val="00D271A8"/>
    <w:rsid w:val="00D2731B"/>
    <w:rsid w:val="00D3436C"/>
    <w:rsid w:val="00D361C9"/>
    <w:rsid w:val="00D36F59"/>
    <w:rsid w:val="00D370F2"/>
    <w:rsid w:val="00D37FC3"/>
    <w:rsid w:val="00D40A41"/>
    <w:rsid w:val="00D42FCE"/>
    <w:rsid w:val="00D4379B"/>
    <w:rsid w:val="00D4394F"/>
    <w:rsid w:val="00D43A31"/>
    <w:rsid w:val="00D4425F"/>
    <w:rsid w:val="00D449CB"/>
    <w:rsid w:val="00D473C6"/>
    <w:rsid w:val="00D50320"/>
    <w:rsid w:val="00D50E5C"/>
    <w:rsid w:val="00D532B9"/>
    <w:rsid w:val="00D61879"/>
    <w:rsid w:val="00D63172"/>
    <w:rsid w:val="00D63AA5"/>
    <w:rsid w:val="00D65F02"/>
    <w:rsid w:val="00D6620B"/>
    <w:rsid w:val="00D66274"/>
    <w:rsid w:val="00D66F8C"/>
    <w:rsid w:val="00D67918"/>
    <w:rsid w:val="00D705D8"/>
    <w:rsid w:val="00D70709"/>
    <w:rsid w:val="00D70CB8"/>
    <w:rsid w:val="00D72317"/>
    <w:rsid w:val="00D72CB7"/>
    <w:rsid w:val="00D72DE6"/>
    <w:rsid w:val="00D742C6"/>
    <w:rsid w:val="00D751E9"/>
    <w:rsid w:val="00D76B6F"/>
    <w:rsid w:val="00D76F7B"/>
    <w:rsid w:val="00D777D4"/>
    <w:rsid w:val="00D77EEE"/>
    <w:rsid w:val="00D82686"/>
    <w:rsid w:val="00D826C4"/>
    <w:rsid w:val="00D82B76"/>
    <w:rsid w:val="00D8394E"/>
    <w:rsid w:val="00D853AB"/>
    <w:rsid w:val="00D85D04"/>
    <w:rsid w:val="00D86C26"/>
    <w:rsid w:val="00D87353"/>
    <w:rsid w:val="00D901D5"/>
    <w:rsid w:val="00D9167C"/>
    <w:rsid w:val="00D916B7"/>
    <w:rsid w:val="00D917D6"/>
    <w:rsid w:val="00D9242C"/>
    <w:rsid w:val="00D929B8"/>
    <w:rsid w:val="00D92E18"/>
    <w:rsid w:val="00D934AF"/>
    <w:rsid w:val="00D9360B"/>
    <w:rsid w:val="00D94957"/>
    <w:rsid w:val="00D95EE6"/>
    <w:rsid w:val="00D96457"/>
    <w:rsid w:val="00D969FC"/>
    <w:rsid w:val="00D979F7"/>
    <w:rsid w:val="00DA0067"/>
    <w:rsid w:val="00DA0C15"/>
    <w:rsid w:val="00DA138A"/>
    <w:rsid w:val="00DA326A"/>
    <w:rsid w:val="00DA4CA7"/>
    <w:rsid w:val="00DA6565"/>
    <w:rsid w:val="00DA7785"/>
    <w:rsid w:val="00DB0F00"/>
    <w:rsid w:val="00DB174A"/>
    <w:rsid w:val="00DB3476"/>
    <w:rsid w:val="00DB389D"/>
    <w:rsid w:val="00DB6885"/>
    <w:rsid w:val="00DB7A82"/>
    <w:rsid w:val="00DC0678"/>
    <w:rsid w:val="00DC2435"/>
    <w:rsid w:val="00DC31E2"/>
    <w:rsid w:val="00DC3C87"/>
    <w:rsid w:val="00DC5F82"/>
    <w:rsid w:val="00DC6499"/>
    <w:rsid w:val="00DC74D0"/>
    <w:rsid w:val="00DD0B10"/>
    <w:rsid w:val="00DD15D4"/>
    <w:rsid w:val="00DD2E49"/>
    <w:rsid w:val="00DD2EFD"/>
    <w:rsid w:val="00DD4335"/>
    <w:rsid w:val="00DD49AA"/>
    <w:rsid w:val="00DD4C2E"/>
    <w:rsid w:val="00DD6B6C"/>
    <w:rsid w:val="00DD7211"/>
    <w:rsid w:val="00DD75A3"/>
    <w:rsid w:val="00DE25CB"/>
    <w:rsid w:val="00DE47FC"/>
    <w:rsid w:val="00DE4A81"/>
    <w:rsid w:val="00DE4EDE"/>
    <w:rsid w:val="00DE5282"/>
    <w:rsid w:val="00DE5910"/>
    <w:rsid w:val="00DE6406"/>
    <w:rsid w:val="00DF0891"/>
    <w:rsid w:val="00DF0919"/>
    <w:rsid w:val="00DF1F2F"/>
    <w:rsid w:val="00DF203E"/>
    <w:rsid w:val="00DF22C0"/>
    <w:rsid w:val="00DF3390"/>
    <w:rsid w:val="00DF452D"/>
    <w:rsid w:val="00DF53EE"/>
    <w:rsid w:val="00DF5712"/>
    <w:rsid w:val="00DF597C"/>
    <w:rsid w:val="00DF6C1C"/>
    <w:rsid w:val="00DF768A"/>
    <w:rsid w:val="00E00F32"/>
    <w:rsid w:val="00E01037"/>
    <w:rsid w:val="00E01F54"/>
    <w:rsid w:val="00E024C6"/>
    <w:rsid w:val="00E02672"/>
    <w:rsid w:val="00E044BF"/>
    <w:rsid w:val="00E050F1"/>
    <w:rsid w:val="00E052A9"/>
    <w:rsid w:val="00E05B78"/>
    <w:rsid w:val="00E071C4"/>
    <w:rsid w:val="00E10956"/>
    <w:rsid w:val="00E111D2"/>
    <w:rsid w:val="00E12AF6"/>
    <w:rsid w:val="00E13C73"/>
    <w:rsid w:val="00E154AA"/>
    <w:rsid w:val="00E165CD"/>
    <w:rsid w:val="00E17D4B"/>
    <w:rsid w:val="00E21D8F"/>
    <w:rsid w:val="00E22AC6"/>
    <w:rsid w:val="00E236B3"/>
    <w:rsid w:val="00E2431B"/>
    <w:rsid w:val="00E24E0D"/>
    <w:rsid w:val="00E2537E"/>
    <w:rsid w:val="00E26066"/>
    <w:rsid w:val="00E26A46"/>
    <w:rsid w:val="00E31E62"/>
    <w:rsid w:val="00E32D24"/>
    <w:rsid w:val="00E33F9B"/>
    <w:rsid w:val="00E3419F"/>
    <w:rsid w:val="00E36EDC"/>
    <w:rsid w:val="00E37C31"/>
    <w:rsid w:val="00E40D3C"/>
    <w:rsid w:val="00E41413"/>
    <w:rsid w:val="00E41899"/>
    <w:rsid w:val="00E434CB"/>
    <w:rsid w:val="00E445DA"/>
    <w:rsid w:val="00E4554E"/>
    <w:rsid w:val="00E456D0"/>
    <w:rsid w:val="00E469A1"/>
    <w:rsid w:val="00E5056F"/>
    <w:rsid w:val="00E50660"/>
    <w:rsid w:val="00E5086A"/>
    <w:rsid w:val="00E508BD"/>
    <w:rsid w:val="00E50C11"/>
    <w:rsid w:val="00E536E3"/>
    <w:rsid w:val="00E536F0"/>
    <w:rsid w:val="00E5464F"/>
    <w:rsid w:val="00E556DB"/>
    <w:rsid w:val="00E57481"/>
    <w:rsid w:val="00E577E7"/>
    <w:rsid w:val="00E62574"/>
    <w:rsid w:val="00E62DAF"/>
    <w:rsid w:val="00E6307E"/>
    <w:rsid w:val="00E63858"/>
    <w:rsid w:val="00E642DE"/>
    <w:rsid w:val="00E6443F"/>
    <w:rsid w:val="00E645BA"/>
    <w:rsid w:val="00E646C6"/>
    <w:rsid w:val="00E64A77"/>
    <w:rsid w:val="00E64ADE"/>
    <w:rsid w:val="00E64AE1"/>
    <w:rsid w:val="00E65637"/>
    <w:rsid w:val="00E65642"/>
    <w:rsid w:val="00E70F3F"/>
    <w:rsid w:val="00E70FC6"/>
    <w:rsid w:val="00E7169C"/>
    <w:rsid w:val="00E73216"/>
    <w:rsid w:val="00E770AE"/>
    <w:rsid w:val="00E77FE6"/>
    <w:rsid w:val="00E803BF"/>
    <w:rsid w:val="00E821A6"/>
    <w:rsid w:val="00E82274"/>
    <w:rsid w:val="00E83028"/>
    <w:rsid w:val="00E834AF"/>
    <w:rsid w:val="00E8372D"/>
    <w:rsid w:val="00E84C71"/>
    <w:rsid w:val="00E86759"/>
    <w:rsid w:val="00E8696D"/>
    <w:rsid w:val="00E93492"/>
    <w:rsid w:val="00E939A9"/>
    <w:rsid w:val="00E9482F"/>
    <w:rsid w:val="00E94D6C"/>
    <w:rsid w:val="00E94F8F"/>
    <w:rsid w:val="00E9548B"/>
    <w:rsid w:val="00E964C6"/>
    <w:rsid w:val="00E9684A"/>
    <w:rsid w:val="00E96980"/>
    <w:rsid w:val="00E969FA"/>
    <w:rsid w:val="00EA0024"/>
    <w:rsid w:val="00EA15A8"/>
    <w:rsid w:val="00EA2BCC"/>
    <w:rsid w:val="00EA52A1"/>
    <w:rsid w:val="00EA5CBE"/>
    <w:rsid w:val="00EA6B47"/>
    <w:rsid w:val="00EA6F47"/>
    <w:rsid w:val="00EA73C9"/>
    <w:rsid w:val="00EA7559"/>
    <w:rsid w:val="00EB0A31"/>
    <w:rsid w:val="00EB296F"/>
    <w:rsid w:val="00EB2A93"/>
    <w:rsid w:val="00EB2CA7"/>
    <w:rsid w:val="00EB2D09"/>
    <w:rsid w:val="00EB385D"/>
    <w:rsid w:val="00EB5188"/>
    <w:rsid w:val="00EB5B45"/>
    <w:rsid w:val="00EB65C5"/>
    <w:rsid w:val="00EB68E5"/>
    <w:rsid w:val="00EC0768"/>
    <w:rsid w:val="00EC0BF5"/>
    <w:rsid w:val="00EC2B4D"/>
    <w:rsid w:val="00EC2D7F"/>
    <w:rsid w:val="00EC32E5"/>
    <w:rsid w:val="00EC4136"/>
    <w:rsid w:val="00EC5A1E"/>
    <w:rsid w:val="00ED0F33"/>
    <w:rsid w:val="00ED14E8"/>
    <w:rsid w:val="00ED15CF"/>
    <w:rsid w:val="00ED1616"/>
    <w:rsid w:val="00ED18F1"/>
    <w:rsid w:val="00ED1FB3"/>
    <w:rsid w:val="00ED1FD1"/>
    <w:rsid w:val="00ED3038"/>
    <w:rsid w:val="00ED38A1"/>
    <w:rsid w:val="00ED42D8"/>
    <w:rsid w:val="00ED4950"/>
    <w:rsid w:val="00ED4BA4"/>
    <w:rsid w:val="00ED6366"/>
    <w:rsid w:val="00ED68F1"/>
    <w:rsid w:val="00ED76D0"/>
    <w:rsid w:val="00ED7D4D"/>
    <w:rsid w:val="00EE0DA0"/>
    <w:rsid w:val="00EE1A80"/>
    <w:rsid w:val="00EE31F5"/>
    <w:rsid w:val="00EE3AE5"/>
    <w:rsid w:val="00EE3CD7"/>
    <w:rsid w:val="00EE451E"/>
    <w:rsid w:val="00EE45B6"/>
    <w:rsid w:val="00EE5297"/>
    <w:rsid w:val="00EE55B2"/>
    <w:rsid w:val="00EE6385"/>
    <w:rsid w:val="00EE6BE7"/>
    <w:rsid w:val="00EE6E60"/>
    <w:rsid w:val="00EE7D25"/>
    <w:rsid w:val="00EE7DCE"/>
    <w:rsid w:val="00EE7F79"/>
    <w:rsid w:val="00EF3FE3"/>
    <w:rsid w:val="00EF4488"/>
    <w:rsid w:val="00EF45B3"/>
    <w:rsid w:val="00EF4AD8"/>
    <w:rsid w:val="00EF4D48"/>
    <w:rsid w:val="00EF5801"/>
    <w:rsid w:val="00EF60DA"/>
    <w:rsid w:val="00EF65A7"/>
    <w:rsid w:val="00EF6FC6"/>
    <w:rsid w:val="00F04160"/>
    <w:rsid w:val="00F0508E"/>
    <w:rsid w:val="00F053E6"/>
    <w:rsid w:val="00F059E8"/>
    <w:rsid w:val="00F06960"/>
    <w:rsid w:val="00F10D04"/>
    <w:rsid w:val="00F12AA0"/>
    <w:rsid w:val="00F12CEB"/>
    <w:rsid w:val="00F1431C"/>
    <w:rsid w:val="00F14B47"/>
    <w:rsid w:val="00F15EAE"/>
    <w:rsid w:val="00F16761"/>
    <w:rsid w:val="00F1685E"/>
    <w:rsid w:val="00F216DE"/>
    <w:rsid w:val="00F232CD"/>
    <w:rsid w:val="00F24A5A"/>
    <w:rsid w:val="00F25A84"/>
    <w:rsid w:val="00F25B80"/>
    <w:rsid w:val="00F262AA"/>
    <w:rsid w:val="00F26A17"/>
    <w:rsid w:val="00F26CA4"/>
    <w:rsid w:val="00F3020D"/>
    <w:rsid w:val="00F302F2"/>
    <w:rsid w:val="00F307C2"/>
    <w:rsid w:val="00F308F0"/>
    <w:rsid w:val="00F31983"/>
    <w:rsid w:val="00F3262D"/>
    <w:rsid w:val="00F32EFE"/>
    <w:rsid w:val="00F3306C"/>
    <w:rsid w:val="00F33774"/>
    <w:rsid w:val="00F376F7"/>
    <w:rsid w:val="00F40C83"/>
    <w:rsid w:val="00F42119"/>
    <w:rsid w:val="00F42A24"/>
    <w:rsid w:val="00F430A4"/>
    <w:rsid w:val="00F43199"/>
    <w:rsid w:val="00F43A1D"/>
    <w:rsid w:val="00F44B70"/>
    <w:rsid w:val="00F4578D"/>
    <w:rsid w:val="00F4698E"/>
    <w:rsid w:val="00F479CE"/>
    <w:rsid w:val="00F47FB7"/>
    <w:rsid w:val="00F50205"/>
    <w:rsid w:val="00F5090D"/>
    <w:rsid w:val="00F50A17"/>
    <w:rsid w:val="00F515F8"/>
    <w:rsid w:val="00F51C36"/>
    <w:rsid w:val="00F52147"/>
    <w:rsid w:val="00F52774"/>
    <w:rsid w:val="00F52940"/>
    <w:rsid w:val="00F52F7B"/>
    <w:rsid w:val="00F537A0"/>
    <w:rsid w:val="00F55D08"/>
    <w:rsid w:val="00F55FA4"/>
    <w:rsid w:val="00F564A7"/>
    <w:rsid w:val="00F56C66"/>
    <w:rsid w:val="00F60035"/>
    <w:rsid w:val="00F610D2"/>
    <w:rsid w:val="00F6158F"/>
    <w:rsid w:val="00F618D3"/>
    <w:rsid w:val="00F638B5"/>
    <w:rsid w:val="00F638C1"/>
    <w:rsid w:val="00F63D51"/>
    <w:rsid w:val="00F65C2D"/>
    <w:rsid w:val="00F67882"/>
    <w:rsid w:val="00F70365"/>
    <w:rsid w:val="00F70565"/>
    <w:rsid w:val="00F705AB"/>
    <w:rsid w:val="00F7079A"/>
    <w:rsid w:val="00F738F0"/>
    <w:rsid w:val="00F74416"/>
    <w:rsid w:val="00F748C7"/>
    <w:rsid w:val="00F74F2D"/>
    <w:rsid w:val="00F76763"/>
    <w:rsid w:val="00F80D28"/>
    <w:rsid w:val="00F81782"/>
    <w:rsid w:val="00F821DF"/>
    <w:rsid w:val="00F83573"/>
    <w:rsid w:val="00F837EF"/>
    <w:rsid w:val="00F83ABB"/>
    <w:rsid w:val="00F85493"/>
    <w:rsid w:val="00F85588"/>
    <w:rsid w:val="00F85A72"/>
    <w:rsid w:val="00F85A81"/>
    <w:rsid w:val="00F86606"/>
    <w:rsid w:val="00F86CCD"/>
    <w:rsid w:val="00F87664"/>
    <w:rsid w:val="00F91488"/>
    <w:rsid w:val="00F921FA"/>
    <w:rsid w:val="00F924FC"/>
    <w:rsid w:val="00F93BC2"/>
    <w:rsid w:val="00F94A90"/>
    <w:rsid w:val="00F95B28"/>
    <w:rsid w:val="00F967E2"/>
    <w:rsid w:val="00F96990"/>
    <w:rsid w:val="00F96FF3"/>
    <w:rsid w:val="00F97689"/>
    <w:rsid w:val="00FA055F"/>
    <w:rsid w:val="00FA3871"/>
    <w:rsid w:val="00FA4AB2"/>
    <w:rsid w:val="00FA51B9"/>
    <w:rsid w:val="00FA5269"/>
    <w:rsid w:val="00FA53CE"/>
    <w:rsid w:val="00FA5AA1"/>
    <w:rsid w:val="00FA6302"/>
    <w:rsid w:val="00FA6FBE"/>
    <w:rsid w:val="00FA748D"/>
    <w:rsid w:val="00FA7F52"/>
    <w:rsid w:val="00FB399A"/>
    <w:rsid w:val="00FB4065"/>
    <w:rsid w:val="00FB64D9"/>
    <w:rsid w:val="00FC05BA"/>
    <w:rsid w:val="00FC1E6A"/>
    <w:rsid w:val="00FC26BD"/>
    <w:rsid w:val="00FC3633"/>
    <w:rsid w:val="00FC473C"/>
    <w:rsid w:val="00FC630E"/>
    <w:rsid w:val="00FC6AF8"/>
    <w:rsid w:val="00FC6B30"/>
    <w:rsid w:val="00FC73E8"/>
    <w:rsid w:val="00FC7B90"/>
    <w:rsid w:val="00FD020B"/>
    <w:rsid w:val="00FD0507"/>
    <w:rsid w:val="00FD1986"/>
    <w:rsid w:val="00FD1FFD"/>
    <w:rsid w:val="00FD2B66"/>
    <w:rsid w:val="00FD474D"/>
    <w:rsid w:val="00FD4AC0"/>
    <w:rsid w:val="00FD5115"/>
    <w:rsid w:val="00FD578C"/>
    <w:rsid w:val="00FD7AB3"/>
    <w:rsid w:val="00FD7E90"/>
    <w:rsid w:val="00FE3385"/>
    <w:rsid w:val="00FE34A9"/>
    <w:rsid w:val="00FE3F4A"/>
    <w:rsid w:val="00FE42E0"/>
    <w:rsid w:val="00FE454D"/>
    <w:rsid w:val="00FE45AF"/>
    <w:rsid w:val="00FE4868"/>
    <w:rsid w:val="00FE557C"/>
    <w:rsid w:val="00FE61D9"/>
    <w:rsid w:val="00FE6954"/>
    <w:rsid w:val="00FE6C3C"/>
    <w:rsid w:val="00FE7A9C"/>
    <w:rsid w:val="00FF1D21"/>
    <w:rsid w:val="00FF24AA"/>
    <w:rsid w:val="00FF2A6D"/>
    <w:rsid w:val="00FF4B18"/>
    <w:rsid w:val="00FF54C2"/>
    <w:rsid w:val="00FF67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1793"/>
    <o:shapelayout v:ext="edit">
      <o:idmap v:ext="edit" data="1"/>
    </o:shapelayout>
  </w:shapeDefaults>
  <w:decimalSymbol w:val="."/>
  <w:listSeparator w:val=","/>
  <w14:docId w14:val="49D04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pPr>
        <w:ind w:left="567" w:hanging="567"/>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987"/>
    <w:rPr>
      <w:sz w:val="24"/>
      <w:szCs w:val="24"/>
    </w:rPr>
  </w:style>
  <w:style w:type="paragraph" w:styleId="Heading1">
    <w:name w:val="heading 1"/>
    <w:basedOn w:val="Normal"/>
    <w:next w:val="Normal"/>
    <w:qFormat/>
    <w:rsid w:val="000711C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F1FE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5657D"/>
    <w:pPr>
      <w:keepNext/>
      <w:outlineLvl w:val="2"/>
    </w:pPr>
    <w:rPr>
      <w:rFonts w:ascii="Arial" w:hAnsi="Arial" w:cs="Arial"/>
      <w:bCs/>
      <w:szCs w:val="26"/>
    </w:rPr>
  </w:style>
  <w:style w:type="paragraph" w:styleId="Heading4">
    <w:name w:val="heading 4"/>
    <w:basedOn w:val="Normal"/>
    <w:next w:val="Normal"/>
    <w:qFormat/>
    <w:rsid w:val="00137EBD"/>
    <w:pPr>
      <w:autoSpaceDE w:val="0"/>
      <w:autoSpaceDN w:val="0"/>
      <w:adjustRightInd w:val="0"/>
      <w:spacing w:after="240"/>
      <w:outlineLvl w:val="3"/>
    </w:pPr>
    <w:rPr>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sid w:val="00341117"/>
    <w:rPr>
      <w:sz w:val="20"/>
      <w:szCs w:val="20"/>
    </w:rPr>
  </w:style>
  <w:style w:type="character" w:styleId="FootnoteReference">
    <w:name w:val="footnote reference"/>
    <w:basedOn w:val="DefaultParagraphFont"/>
    <w:uiPriority w:val="99"/>
    <w:rsid w:val="00341117"/>
    <w:rPr>
      <w:vertAlign w:val="superscript"/>
    </w:rPr>
  </w:style>
  <w:style w:type="character" w:styleId="CommentReference">
    <w:name w:val="annotation reference"/>
    <w:basedOn w:val="DefaultParagraphFont"/>
    <w:uiPriority w:val="99"/>
    <w:semiHidden/>
    <w:rsid w:val="00341117"/>
    <w:rPr>
      <w:sz w:val="16"/>
      <w:szCs w:val="16"/>
    </w:rPr>
  </w:style>
  <w:style w:type="paragraph" w:styleId="CommentText">
    <w:name w:val="annotation text"/>
    <w:basedOn w:val="Normal"/>
    <w:link w:val="CommentTextChar"/>
    <w:uiPriority w:val="99"/>
    <w:semiHidden/>
    <w:rsid w:val="00341117"/>
    <w:rPr>
      <w:sz w:val="20"/>
      <w:szCs w:val="20"/>
    </w:rPr>
  </w:style>
  <w:style w:type="paragraph" w:styleId="CommentSubject">
    <w:name w:val="annotation subject"/>
    <w:basedOn w:val="CommentText"/>
    <w:next w:val="CommentText"/>
    <w:semiHidden/>
    <w:rsid w:val="00341117"/>
    <w:rPr>
      <w:b/>
      <w:bCs/>
    </w:rPr>
  </w:style>
  <w:style w:type="paragraph" w:styleId="BalloonText">
    <w:name w:val="Balloon Text"/>
    <w:basedOn w:val="Normal"/>
    <w:semiHidden/>
    <w:rsid w:val="00341117"/>
    <w:rPr>
      <w:rFonts w:ascii="Tahoma" w:hAnsi="Tahoma" w:cs="Tahoma"/>
      <w:sz w:val="16"/>
      <w:szCs w:val="16"/>
    </w:rPr>
  </w:style>
  <w:style w:type="paragraph" w:customStyle="1" w:styleId="Paragraph">
    <w:name w:val="Paragraph"/>
    <w:basedOn w:val="Normal"/>
    <w:rsid w:val="000414FB"/>
    <w:pPr>
      <w:spacing w:after="240"/>
      <w:jc w:val="both"/>
    </w:pPr>
    <w:rPr>
      <w:rFonts w:ascii="Arial" w:hAnsi="Arial"/>
      <w:sz w:val="22"/>
      <w:szCs w:val="20"/>
      <w:lang w:val="en-GB" w:eastAsia="en-US"/>
    </w:rPr>
  </w:style>
  <w:style w:type="paragraph" w:styleId="Footer">
    <w:name w:val="footer"/>
    <w:basedOn w:val="Normal"/>
    <w:link w:val="FooterChar"/>
    <w:uiPriority w:val="99"/>
    <w:rsid w:val="003C7FA1"/>
    <w:pPr>
      <w:tabs>
        <w:tab w:val="center" w:pos="4153"/>
        <w:tab w:val="right" w:pos="8306"/>
      </w:tabs>
    </w:pPr>
  </w:style>
  <w:style w:type="character" w:styleId="PageNumber">
    <w:name w:val="page number"/>
    <w:basedOn w:val="DefaultParagraphFont"/>
    <w:rsid w:val="003C7FA1"/>
  </w:style>
  <w:style w:type="paragraph" w:styleId="Header">
    <w:name w:val="header"/>
    <w:basedOn w:val="Normal"/>
    <w:link w:val="HeaderChar"/>
    <w:uiPriority w:val="99"/>
    <w:rsid w:val="0046402D"/>
    <w:pPr>
      <w:tabs>
        <w:tab w:val="center" w:pos="4153"/>
        <w:tab w:val="right" w:pos="8306"/>
      </w:tabs>
    </w:pPr>
  </w:style>
  <w:style w:type="table" w:styleId="TableGrid">
    <w:name w:val="Table Grid"/>
    <w:basedOn w:val="TableNormal"/>
    <w:rsid w:val="00B101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8A2CF1"/>
    <w:pPr>
      <w:shd w:val="clear" w:color="auto" w:fill="000080"/>
    </w:pPr>
    <w:rPr>
      <w:rFonts w:ascii="Tahoma" w:hAnsi="Tahoma"/>
    </w:rPr>
  </w:style>
  <w:style w:type="paragraph" w:customStyle="1" w:styleId="Heading">
    <w:name w:val="Heading"/>
    <w:basedOn w:val="Normal"/>
    <w:rsid w:val="00C413A3"/>
    <w:pPr>
      <w:keepNext/>
      <w:spacing w:before="240" w:after="60"/>
      <w:outlineLvl w:val="0"/>
    </w:pPr>
    <w:rPr>
      <w:rFonts w:cs="Arial"/>
      <w:b/>
      <w:kern w:val="32"/>
      <w:sz w:val="26"/>
      <w:szCs w:val="32"/>
    </w:rPr>
  </w:style>
  <w:style w:type="paragraph" w:styleId="BodyText">
    <w:name w:val="Body Text"/>
    <w:basedOn w:val="Normal"/>
    <w:link w:val="BodyTextChar"/>
    <w:rsid w:val="001B7620"/>
    <w:pPr>
      <w:numPr>
        <w:numId w:val="1"/>
      </w:numPr>
      <w:spacing w:after="240"/>
      <w:jc w:val="both"/>
    </w:pPr>
    <w:rPr>
      <w:bCs/>
      <w:iCs/>
      <w:lang w:eastAsia="en-US"/>
    </w:rPr>
  </w:style>
  <w:style w:type="character" w:styleId="FollowedHyperlink">
    <w:name w:val="FollowedHyperlink"/>
    <w:basedOn w:val="DefaultParagraphFont"/>
    <w:rsid w:val="007D32DA"/>
    <w:rPr>
      <w:color w:val="800080"/>
      <w:u w:val="single"/>
    </w:rPr>
  </w:style>
  <w:style w:type="paragraph" w:styleId="TOC2">
    <w:name w:val="toc 2"/>
    <w:basedOn w:val="Normal"/>
    <w:next w:val="Normal"/>
    <w:autoRedefine/>
    <w:semiHidden/>
    <w:rsid w:val="009660E6"/>
    <w:pPr>
      <w:tabs>
        <w:tab w:val="right" w:leader="dot" w:pos="8303"/>
      </w:tabs>
      <w:spacing w:before="120" w:after="240"/>
    </w:pPr>
    <w:rPr>
      <w:rFonts w:ascii="Arial" w:hAnsi="Arial" w:cs="Arial"/>
      <w:b/>
      <w:noProof/>
    </w:rPr>
  </w:style>
  <w:style w:type="paragraph" w:styleId="TOC1">
    <w:name w:val="toc 1"/>
    <w:basedOn w:val="Normal"/>
    <w:next w:val="Normal"/>
    <w:autoRedefine/>
    <w:uiPriority w:val="39"/>
    <w:rsid w:val="00C3070A"/>
  </w:style>
  <w:style w:type="paragraph" w:styleId="TOC3">
    <w:name w:val="toc 3"/>
    <w:basedOn w:val="Normal"/>
    <w:next w:val="Normal"/>
    <w:autoRedefine/>
    <w:uiPriority w:val="39"/>
    <w:rsid w:val="00296B8D"/>
    <w:pPr>
      <w:tabs>
        <w:tab w:val="right" w:leader="dot" w:pos="8302"/>
      </w:tabs>
      <w:spacing w:line="480" w:lineRule="auto"/>
      <w:ind w:left="-284" w:firstLine="1"/>
    </w:pPr>
    <w:rPr>
      <w:noProof/>
    </w:rPr>
  </w:style>
  <w:style w:type="character" w:styleId="Hyperlink">
    <w:name w:val="Hyperlink"/>
    <w:basedOn w:val="DefaultParagraphFont"/>
    <w:uiPriority w:val="99"/>
    <w:rsid w:val="00C3070A"/>
    <w:rPr>
      <w:color w:val="0000FF"/>
      <w:u w:val="single"/>
    </w:rPr>
  </w:style>
  <w:style w:type="paragraph" w:styleId="BodyText2">
    <w:name w:val="Body Text 2"/>
    <w:basedOn w:val="Normal"/>
    <w:link w:val="BodyText2Char"/>
    <w:uiPriority w:val="99"/>
    <w:semiHidden/>
    <w:unhideWhenUsed/>
    <w:rsid w:val="00B70813"/>
    <w:pPr>
      <w:spacing w:after="120" w:line="480" w:lineRule="auto"/>
    </w:pPr>
  </w:style>
  <w:style w:type="character" w:customStyle="1" w:styleId="BodyText2Char">
    <w:name w:val="Body Text 2 Char"/>
    <w:basedOn w:val="DefaultParagraphFont"/>
    <w:link w:val="BodyText2"/>
    <w:uiPriority w:val="99"/>
    <w:semiHidden/>
    <w:rsid w:val="00B70813"/>
    <w:rPr>
      <w:sz w:val="24"/>
      <w:szCs w:val="24"/>
    </w:rPr>
  </w:style>
  <w:style w:type="paragraph" w:styleId="Revision">
    <w:name w:val="Revision"/>
    <w:hidden/>
    <w:uiPriority w:val="99"/>
    <w:semiHidden/>
    <w:rsid w:val="00DC6499"/>
    <w:rPr>
      <w:sz w:val="24"/>
      <w:szCs w:val="24"/>
    </w:rPr>
  </w:style>
  <w:style w:type="paragraph" w:customStyle="1" w:styleId="Default">
    <w:name w:val="Default"/>
    <w:rsid w:val="00FD7AB3"/>
    <w:pPr>
      <w:autoSpaceDE w:val="0"/>
      <w:autoSpaceDN w:val="0"/>
      <w:adjustRightInd w:val="0"/>
    </w:pPr>
    <w:rPr>
      <w:color w:val="000000"/>
      <w:sz w:val="24"/>
      <w:szCs w:val="24"/>
    </w:rPr>
  </w:style>
  <w:style w:type="paragraph" w:styleId="TOC4">
    <w:name w:val="toc 4"/>
    <w:basedOn w:val="Normal"/>
    <w:next w:val="Normal"/>
    <w:autoRedefine/>
    <w:uiPriority w:val="39"/>
    <w:unhideWhenUsed/>
    <w:rsid w:val="00B23E91"/>
    <w:pPr>
      <w:tabs>
        <w:tab w:val="right" w:leader="dot" w:pos="8302"/>
      </w:tabs>
      <w:spacing w:after="100"/>
      <w:ind w:left="720" w:hanging="436"/>
    </w:pPr>
  </w:style>
  <w:style w:type="paragraph" w:styleId="Title">
    <w:name w:val="Title"/>
    <w:basedOn w:val="Normal"/>
    <w:next w:val="Normal"/>
    <w:link w:val="TitleChar"/>
    <w:qFormat/>
    <w:rsid w:val="004F6824"/>
    <w:pPr>
      <w:spacing w:before="480"/>
    </w:pPr>
    <w:rPr>
      <w:rFonts w:ascii="Arial" w:hAnsi="Arial" w:cs="Arial"/>
      <w:b/>
      <w:bCs/>
      <w:sz w:val="40"/>
      <w:szCs w:val="40"/>
      <w:lang w:eastAsia="en-US"/>
    </w:rPr>
  </w:style>
  <w:style w:type="character" w:customStyle="1" w:styleId="TitleChar">
    <w:name w:val="Title Char"/>
    <w:basedOn w:val="DefaultParagraphFont"/>
    <w:link w:val="Title"/>
    <w:rsid w:val="004F6824"/>
    <w:rPr>
      <w:rFonts w:ascii="Arial" w:hAnsi="Arial" w:cs="Arial"/>
      <w:b/>
      <w:bCs/>
      <w:sz w:val="40"/>
      <w:szCs w:val="40"/>
      <w:lang w:eastAsia="en-US"/>
    </w:rPr>
  </w:style>
  <w:style w:type="paragraph" w:customStyle="1" w:styleId="IntroTo">
    <w:name w:val="IntroTo:"/>
    <w:basedOn w:val="Normal"/>
    <w:rsid w:val="004F6824"/>
    <w:pPr>
      <w:ind w:left="720" w:hanging="720"/>
    </w:pPr>
    <w:rPr>
      <w:szCs w:val="20"/>
      <w:lang w:eastAsia="en-US"/>
    </w:rPr>
  </w:style>
  <w:style w:type="paragraph" w:customStyle="1" w:styleId="IP">
    <w:name w:val="IP"/>
    <w:aliases w:val="Interpretation paragraph"/>
    <w:basedOn w:val="Normal"/>
    <w:next w:val="Normal"/>
    <w:rsid w:val="004F6824"/>
    <w:pPr>
      <w:keepNext/>
      <w:tabs>
        <w:tab w:val="right" w:pos="794"/>
      </w:tabs>
      <w:spacing w:before="120" w:line="260" w:lineRule="exact"/>
      <w:ind w:left="964" w:hanging="964"/>
      <w:jc w:val="both"/>
    </w:pPr>
    <w:rPr>
      <w:lang w:eastAsia="en-US"/>
    </w:rPr>
  </w:style>
  <w:style w:type="paragraph" w:customStyle="1" w:styleId="definition">
    <w:name w:val="definition"/>
    <w:basedOn w:val="Normal"/>
    <w:rsid w:val="004F6824"/>
    <w:pPr>
      <w:spacing w:before="80" w:line="260" w:lineRule="exact"/>
      <w:jc w:val="both"/>
    </w:pPr>
    <w:rPr>
      <w:lang w:eastAsia="en-US"/>
    </w:rPr>
  </w:style>
  <w:style w:type="paragraph" w:customStyle="1" w:styleId="AS">
    <w:name w:val="AS"/>
    <w:aliases w:val="Schedule title Amendment"/>
    <w:basedOn w:val="Normal"/>
    <w:next w:val="Normal"/>
    <w:rsid w:val="004F6824"/>
    <w:pPr>
      <w:keepNext/>
      <w:autoSpaceDE w:val="0"/>
      <w:autoSpaceDN w:val="0"/>
      <w:spacing w:before="480"/>
      <w:ind w:left="2410" w:hanging="2410"/>
    </w:pPr>
    <w:rPr>
      <w:rFonts w:ascii="Arial" w:hAnsi="Arial" w:cs="Arial"/>
      <w:b/>
      <w:bCs/>
      <w:sz w:val="32"/>
      <w:szCs w:val="32"/>
    </w:rPr>
  </w:style>
  <w:style w:type="character" w:customStyle="1" w:styleId="CharSchNo">
    <w:name w:val="CharSchNo"/>
    <w:basedOn w:val="DefaultParagraphFont"/>
    <w:rsid w:val="004F6824"/>
  </w:style>
  <w:style w:type="paragraph" w:customStyle="1" w:styleId="CoverAct">
    <w:name w:val="CoverAct"/>
    <w:basedOn w:val="Normal"/>
    <w:next w:val="Normal"/>
    <w:rsid w:val="004F6824"/>
    <w:pPr>
      <w:pBdr>
        <w:bottom w:val="single" w:sz="4" w:space="3" w:color="auto"/>
      </w:pBdr>
    </w:pPr>
    <w:rPr>
      <w:rFonts w:ascii="Arial" w:hAnsi="Arial"/>
      <w:i/>
      <w:noProof/>
      <w:sz w:val="28"/>
    </w:rPr>
  </w:style>
  <w:style w:type="paragraph" w:customStyle="1" w:styleId="CoverStatRule">
    <w:name w:val="CoverStatRule"/>
    <w:basedOn w:val="Normal"/>
    <w:next w:val="Normal"/>
    <w:rsid w:val="004F6824"/>
    <w:pPr>
      <w:spacing w:before="240"/>
    </w:pPr>
    <w:rPr>
      <w:rFonts w:ascii="Arial" w:hAnsi="Arial"/>
      <w:b/>
    </w:rPr>
  </w:style>
  <w:style w:type="paragraph" w:styleId="ListParagraph">
    <w:name w:val="List Paragraph"/>
    <w:basedOn w:val="Normal"/>
    <w:uiPriority w:val="34"/>
    <w:qFormat/>
    <w:rsid w:val="00742F5F"/>
    <w:pPr>
      <w:ind w:left="720"/>
      <w:contextualSpacing/>
    </w:pPr>
  </w:style>
  <w:style w:type="character" w:customStyle="1" w:styleId="CommentTextChar">
    <w:name w:val="Comment Text Char"/>
    <w:basedOn w:val="DefaultParagraphFont"/>
    <w:link w:val="CommentText"/>
    <w:uiPriority w:val="99"/>
    <w:semiHidden/>
    <w:rsid w:val="00742F5F"/>
  </w:style>
  <w:style w:type="paragraph" w:styleId="NormalWeb">
    <w:name w:val="Normal (Web)"/>
    <w:basedOn w:val="Normal"/>
    <w:uiPriority w:val="99"/>
    <w:rsid w:val="00742F5F"/>
    <w:pPr>
      <w:spacing w:before="100" w:beforeAutospacing="1" w:after="100" w:afterAutospacing="1"/>
    </w:pPr>
  </w:style>
  <w:style w:type="character" w:styleId="PlaceholderText">
    <w:name w:val="Placeholder Text"/>
    <w:basedOn w:val="DefaultParagraphFont"/>
    <w:uiPriority w:val="99"/>
    <w:semiHidden/>
    <w:rsid w:val="00742F5F"/>
    <w:rPr>
      <w:color w:val="808080"/>
    </w:rPr>
  </w:style>
  <w:style w:type="character" w:customStyle="1" w:styleId="HeaderChar">
    <w:name w:val="Header Char"/>
    <w:basedOn w:val="DefaultParagraphFont"/>
    <w:link w:val="Header"/>
    <w:uiPriority w:val="99"/>
    <w:rsid w:val="00742F5F"/>
    <w:rPr>
      <w:sz w:val="24"/>
      <w:szCs w:val="24"/>
    </w:rPr>
  </w:style>
  <w:style w:type="character" w:customStyle="1" w:styleId="FooterChar">
    <w:name w:val="Footer Char"/>
    <w:basedOn w:val="DefaultParagraphFont"/>
    <w:link w:val="Footer"/>
    <w:uiPriority w:val="99"/>
    <w:rsid w:val="00742F5F"/>
    <w:rPr>
      <w:sz w:val="24"/>
      <w:szCs w:val="24"/>
    </w:rPr>
  </w:style>
  <w:style w:type="paragraph" w:styleId="NoSpacing">
    <w:name w:val="No Spacing"/>
    <w:uiPriority w:val="1"/>
    <w:qFormat/>
    <w:rsid w:val="00742F5F"/>
    <w:rPr>
      <w:sz w:val="24"/>
      <w:szCs w:val="24"/>
    </w:rPr>
  </w:style>
  <w:style w:type="character" w:customStyle="1" w:styleId="FootnoteTextChar">
    <w:name w:val="Footnote Text Char"/>
    <w:basedOn w:val="DefaultParagraphFont"/>
    <w:link w:val="FootnoteText"/>
    <w:uiPriority w:val="99"/>
    <w:rsid w:val="00742F5F"/>
  </w:style>
  <w:style w:type="paragraph" w:styleId="PlainText">
    <w:name w:val="Plain Text"/>
    <w:basedOn w:val="Normal"/>
    <w:link w:val="PlainTextChar"/>
    <w:uiPriority w:val="99"/>
    <w:semiHidden/>
    <w:unhideWhenUsed/>
    <w:rsid w:val="00742F5F"/>
    <w:rPr>
      <w:rFonts w:ascii="Consolas" w:hAnsi="Consolas"/>
      <w:sz w:val="21"/>
      <w:szCs w:val="21"/>
      <w:lang w:eastAsia="en-US"/>
    </w:rPr>
  </w:style>
  <w:style w:type="character" w:customStyle="1" w:styleId="PlainTextChar">
    <w:name w:val="Plain Text Char"/>
    <w:basedOn w:val="DefaultParagraphFont"/>
    <w:link w:val="PlainText"/>
    <w:uiPriority w:val="99"/>
    <w:semiHidden/>
    <w:rsid w:val="00742F5F"/>
    <w:rPr>
      <w:rFonts w:ascii="Consolas" w:hAnsi="Consolas"/>
      <w:sz w:val="21"/>
      <w:szCs w:val="21"/>
      <w:lang w:eastAsia="en-US"/>
    </w:rPr>
  </w:style>
  <w:style w:type="paragraph" w:customStyle="1" w:styleId="Footnote">
    <w:name w:val="Footnote"/>
    <w:basedOn w:val="FootnoteText"/>
    <w:qFormat/>
    <w:rsid w:val="009173FB"/>
    <w:pPr>
      <w:jc w:val="both"/>
    </w:pPr>
  </w:style>
  <w:style w:type="character" w:customStyle="1" w:styleId="st1">
    <w:name w:val="st1"/>
    <w:basedOn w:val="DefaultParagraphFont"/>
    <w:rsid w:val="00266C95"/>
  </w:style>
  <w:style w:type="paragraph" w:customStyle="1" w:styleId="Bodytextlist">
    <w:name w:val="Body text list"/>
    <w:basedOn w:val="Heading3"/>
    <w:qFormat/>
    <w:rsid w:val="00404E8E"/>
    <w:pPr>
      <w:keepNext w:val="0"/>
      <w:numPr>
        <w:ilvl w:val="1"/>
        <w:numId w:val="1"/>
      </w:numPr>
      <w:spacing w:before="120" w:after="240"/>
      <w:jc w:val="both"/>
    </w:pPr>
    <w:rPr>
      <w:rFonts w:ascii="Times New Roman" w:hAnsi="Times New Roman" w:cs="Times New Roman"/>
      <w:szCs w:val="24"/>
      <w:lang w:val="en-GB" w:eastAsia="en-US"/>
    </w:rPr>
  </w:style>
  <w:style w:type="paragraph" w:customStyle="1" w:styleId="StyleBodyText13ptCharCharChar">
    <w:name w:val="Style Body Text + 13 pt Char Char Char"/>
    <w:basedOn w:val="BodyText"/>
    <w:rsid w:val="00293241"/>
    <w:pPr>
      <w:numPr>
        <w:numId w:val="42"/>
      </w:numPr>
      <w:spacing w:line="360" w:lineRule="auto"/>
    </w:pPr>
    <w:rPr>
      <w:bCs w:val="0"/>
      <w:iCs w:val="0"/>
      <w:lang w:eastAsia="en-AU"/>
    </w:rPr>
  </w:style>
  <w:style w:type="paragraph" w:customStyle="1" w:styleId="APRANORMAL">
    <w:name w:val="APRA NORMAL"/>
    <w:basedOn w:val="Normal"/>
    <w:link w:val="APRANORMALChar"/>
    <w:qFormat/>
    <w:rsid w:val="00390857"/>
    <w:pPr>
      <w:spacing w:after="240"/>
      <w:ind w:left="0" w:firstLine="0"/>
    </w:pPr>
    <w:rPr>
      <w:rFonts w:ascii="DIN OT Light" w:eastAsiaTheme="minorHAnsi" w:hAnsi="DIN OT Light"/>
      <w:color w:val="000000" w:themeColor="text1"/>
      <w:sz w:val="22"/>
      <w:szCs w:val="22"/>
      <w:lang w:val="en-GB" w:eastAsia="en-US"/>
    </w:rPr>
  </w:style>
  <w:style w:type="character" w:customStyle="1" w:styleId="APRANORMALChar">
    <w:name w:val="APRA NORMAL Char"/>
    <w:basedOn w:val="DefaultParagraphFont"/>
    <w:link w:val="APRANORMAL"/>
    <w:rsid w:val="00390857"/>
    <w:rPr>
      <w:rFonts w:ascii="DIN OT Light" w:eastAsiaTheme="minorHAnsi" w:hAnsi="DIN OT Light"/>
      <w:color w:val="000000" w:themeColor="text1"/>
      <w:sz w:val="22"/>
      <w:szCs w:val="22"/>
      <w:lang w:val="en-GB" w:eastAsia="en-US"/>
    </w:rPr>
  </w:style>
  <w:style w:type="character" w:customStyle="1" w:styleId="BodyTextChar">
    <w:name w:val="Body Text Char"/>
    <w:basedOn w:val="DefaultParagraphFont"/>
    <w:link w:val="BodyText"/>
    <w:rsid w:val="00390857"/>
    <w:rPr>
      <w:bCs/>
      <w:i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401028">
      <w:bodyDiv w:val="1"/>
      <w:marLeft w:val="0"/>
      <w:marRight w:val="0"/>
      <w:marTop w:val="0"/>
      <w:marBottom w:val="0"/>
      <w:divBdr>
        <w:top w:val="none" w:sz="0" w:space="0" w:color="auto"/>
        <w:left w:val="none" w:sz="0" w:space="0" w:color="auto"/>
        <w:bottom w:val="none" w:sz="0" w:space="0" w:color="auto"/>
        <w:right w:val="none" w:sz="0" w:space="0" w:color="auto"/>
      </w:divBdr>
    </w:div>
    <w:div w:id="214207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footer" Target="footer3.xml"/><Relationship Id="rId26" Type="http://schemas.openxmlformats.org/officeDocument/2006/relationships/footer" Target="footer11.xml"/><Relationship Id="rId3" Type="http://schemas.openxmlformats.org/officeDocument/2006/relationships/customXml" Target="../customXml/item3.xml"/><Relationship Id="rId21" Type="http://schemas.openxmlformats.org/officeDocument/2006/relationships/footer" Target="footer6.xml"/><Relationship Id="rId34" Type="http://schemas.openxmlformats.org/officeDocument/2006/relationships/footer" Target="footer19.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footer" Target="footer10.xml"/><Relationship Id="rId33" Type="http://schemas.openxmlformats.org/officeDocument/2006/relationships/footer" Target="footer18.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5.xml"/><Relationship Id="rId29"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9.xml"/><Relationship Id="rId32" Type="http://schemas.openxmlformats.org/officeDocument/2006/relationships/footer" Target="footer17.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8.xml"/><Relationship Id="rId28" Type="http://schemas.openxmlformats.org/officeDocument/2006/relationships/footer" Target="footer13.xml"/><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4.xml"/><Relationship Id="rId31" Type="http://schemas.openxmlformats.org/officeDocument/2006/relationships/footer" Target="footer16.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7.xml"/><Relationship Id="rId27" Type="http://schemas.openxmlformats.org/officeDocument/2006/relationships/footer" Target="footer12.xml"/><Relationship Id="rId30" Type="http://schemas.openxmlformats.org/officeDocument/2006/relationships/footer" Target="footer15.xml"/><Relationship Id="rId35" Type="http://schemas.openxmlformats.org/officeDocument/2006/relationships/footer" Target="foot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8aef97a4-ded2-4e4a-9fbc-e666dae3ecd2" ContentTypeId="0x0101008CA7A4F8331B45C7B0D3158B4994D0CA02" PreviousValue="false"/>
</file>

<file path=customXml/item2.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Prudential standard</TermName>
          <TermId xmlns="http://schemas.microsoft.com/office/infopath/2007/PartnerControls">6ce5a155-9ab2-41e3-9b2a-5baab4b7f1d1</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UNCLASSIFIED</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MeetingDate xmlns="814d62cb-2db6-4c25-ab62-b9075facbc11" xsi:nil="true"/>
    <APRAMeetingNumber xmlns="814d62cb-2db6-4c25-ab62-b9075facbc11" xsi:nil="true"/>
    <APRADate xmlns="814d62cb-2db6-4c25-ab62-b9075facbc11">2018-04-17T14:00:00+00:00</APRADat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109</Value>
      <Value>142</Value>
      <Value>26</Value>
      <Value>24</Value>
      <Value>134</Value>
      <Value>58</Value>
      <Value>19</Value>
      <Value>93</Value>
      <Value>171</Value>
      <Value>10</Value>
      <Value>158</Value>
      <Value>83</Value>
      <Value>4</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APS 330 Public Disclosure </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PAD300</TermName>
          <TermId xmlns="http://schemas.microsoft.com/office/infopath/2007/PartnerControls">98bbdbe4-d019-48eb-87c4-aa31a7f2f98f</TermId>
        </TermInfo>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Info xmlns="http://schemas.microsoft.com/office/infopath/2007/PartnerControls">
          <TermName xmlns="http://schemas.microsoft.com/office/infopath/2007/PartnerControls">Legal - Resolution ＆ Corporate</TermName>
          <TermId xmlns="http://schemas.microsoft.com/office/infopath/2007/PartnerControls">696624b1-19f4-47b2-a07b-57868a922a96</TermId>
        </TermInfo>
      </Terms>
    </p10c80fc2da942ae8f2ea9b33b6ea0ba>
    <i08e72d8ce2b4ffa9361f9f4e0a63abc xmlns="814d62cb-2db6-4c25-ab62-b9075facbc11">
      <Terms xmlns="http://schemas.microsoft.com/office/infopath/2007/PartnerControls">
        <TermInfo xmlns="http://schemas.microsoft.com/office/infopath/2007/PartnerControls">
          <TermName xmlns="http://schemas.microsoft.com/office/infopath/2007/PartnerControls">2018</TermName>
          <TermId xmlns="http://schemas.microsoft.com/office/infopath/2007/PartnerControls">337d548e-be9a-4363-bbb3-ec2b7c3daa90</TermId>
        </TermInfo>
      </Term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5JENXJJSCC7A-445999044-8069</_dlc_DocId>
    <_dlc_DocIdUrl xmlns="814d62cb-2db6-4c25-ab62-b9075facbc11">
      <Url>https://im/teams/LEGAL/_layouts/15/DocIdRedir.aspx?ID=5JENXJJSCC7A-445999044-8069</Url>
      <Description>5JENXJJSCC7A-445999044-8069</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41" ma:contentTypeDescription="Create a new document." ma:contentTypeScope="" ma:versionID="593a7336944447a431342e13939a075b">
  <xsd:schema xmlns:xsd="http://www.w3.org/2001/XMLSchema" xmlns:xs="http://www.w3.org/2001/XMLSchema" xmlns:p="http://schemas.microsoft.com/office/2006/metadata/properties" xmlns:ns1="814d62cb-2db6-4c25-ab62-b9075facbc11" targetNamespace="http://schemas.microsoft.com/office/2006/metadata/properties" ma:root="true" ma:fieldsID="f09e4a90de645c7ef264041fb58de94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DLM: For Official Use Only" ma:hidden="true" ma:internalName="APRASecurityClassification" ma:readOnly="false">
      <xsd:simpleType>
        <xsd:restriction base="dms:Choice">
          <xsd:enumeration value="UNCLASSIFIED"/>
          <xsd:enumeration value="DLM: For Official Use Only"/>
          <xsd:enumeration value="DLM: Sensitive"/>
          <xsd:enumeration value="DLM: Sensitive: Legal"/>
          <xsd:enumeration value="DLM: Sensitive: Personal"/>
          <xsd:enumeration value="PROTECTED"/>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8952B-7695-4969-8B2F-70CC08B00F98}">
  <ds:schemaRefs>
    <ds:schemaRef ds:uri="Microsoft.SharePoint.Taxonomy.ContentTypeSync"/>
  </ds:schemaRefs>
</ds:datastoreItem>
</file>

<file path=customXml/itemProps2.xml><?xml version="1.0" encoding="utf-8"?>
<ds:datastoreItem xmlns:ds="http://schemas.openxmlformats.org/officeDocument/2006/customXml" ds:itemID="{324CA2A6-C2FD-406C-BA95-38236A1CC1F3}">
  <ds:schemaRefs>
    <ds:schemaRef ds:uri="http://purl.org/dc/elements/1.1/"/>
    <ds:schemaRef ds:uri="http://purl.org/dc/terms/"/>
    <ds:schemaRef ds:uri="http://schemas.microsoft.com/office/2006/metadata/properties"/>
    <ds:schemaRef ds:uri="http://schemas.openxmlformats.org/package/2006/metadata/core-properties"/>
    <ds:schemaRef ds:uri="814d62cb-2db6-4c25-ab62-b9075facbc11"/>
    <ds:schemaRef ds:uri="http://www.w3.org/XML/1998/namespace"/>
    <ds:schemaRef ds:uri="http://schemas.microsoft.com/office/2006/documentManagement/types"/>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36EB497C-AC6F-4A49-9584-FD8328070CCF}">
  <ds:schemaRefs>
    <ds:schemaRef ds:uri="http://schemas.microsoft.com/sharepoint/v3/contenttype/forms"/>
  </ds:schemaRefs>
</ds:datastoreItem>
</file>

<file path=customXml/itemProps4.xml><?xml version="1.0" encoding="utf-8"?>
<ds:datastoreItem xmlns:ds="http://schemas.openxmlformats.org/officeDocument/2006/customXml" ds:itemID="{66731FC6-80BD-4F35-8D32-0BD9BDAE1213}">
  <ds:schemaRefs>
    <ds:schemaRef ds:uri="http://schemas.microsoft.com/sharepoint/events"/>
  </ds:schemaRefs>
</ds:datastoreItem>
</file>

<file path=customXml/itemProps5.xml><?xml version="1.0" encoding="utf-8"?>
<ds:datastoreItem xmlns:ds="http://schemas.openxmlformats.org/officeDocument/2006/customXml" ds:itemID="{C9C04E39-C4B3-4781-B48B-76708E76C6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84A8EED3-69AC-4C58-B40D-A5C36724A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73</Pages>
  <Words>19149</Words>
  <Characters>105130</Characters>
  <Application>Microsoft Office Word</Application>
  <DocSecurity>0</DocSecurity>
  <Lines>3893</Lines>
  <Paragraphs>2180</Paragraphs>
  <ScaleCrop>false</ScaleCrop>
  <HeadingPairs>
    <vt:vector size="2" baseType="variant">
      <vt:variant>
        <vt:lpstr>Title</vt:lpstr>
      </vt:variant>
      <vt:variant>
        <vt:i4>1</vt:i4>
      </vt:variant>
    </vt:vector>
  </HeadingPairs>
  <TitlesOfParts>
    <vt:vector size="1" baseType="lpstr">
      <vt:lpstr>Final revised APS 330 Public Disclosure - 1 July 2018</vt:lpstr>
    </vt:vector>
  </TitlesOfParts>
  <LinksUpToDate>false</LinksUpToDate>
  <CharactersWithSpaces>122099</CharactersWithSpaces>
  <SharedDoc>false</SharedDoc>
  <HLinks>
    <vt:vector size="102" baseType="variant">
      <vt:variant>
        <vt:i4>1048633</vt:i4>
      </vt:variant>
      <vt:variant>
        <vt:i4>98</vt:i4>
      </vt:variant>
      <vt:variant>
        <vt:i4>0</vt:i4>
      </vt:variant>
      <vt:variant>
        <vt:i4>5</vt:i4>
      </vt:variant>
      <vt:variant>
        <vt:lpwstr/>
      </vt:variant>
      <vt:variant>
        <vt:lpwstr>_Toc179100115</vt:lpwstr>
      </vt:variant>
      <vt:variant>
        <vt:i4>1048633</vt:i4>
      </vt:variant>
      <vt:variant>
        <vt:i4>92</vt:i4>
      </vt:variant>
      <vt:variant>
        <vt:i4>0</vt:i4>
      </vt:variant>
      <vt:variant>
        <vt:i4>5</vt:i4>
      </vt:variant>
      <vt:variant>
        <vt:lpwstr/>
      </vt:variant>
      <vt:variant>
        <vt:lpwstr>_Toc179100114</vt:lpwstr>
      </vt:variant>
      <vt:variant>
        <vt:i4>1048633</vt:i4>
      </vt:variant>
      <vt:variant>
        <vt:i4>86</vt:i4>
      </vt:variant>
      <vt:variant>
        <vt:i4>0</vt:i4>
      </vt:variant>
      <vt:variant>
        <vt:i4>5</vt:i4>
      </vt:variant>
      <vt:variant>
        <vt:lpwstr/>
      </vt:variant>
      <vt:variant>
        <vt:lpwstr>_Toc179100113</vt:lpwstr>
      </vt:variant>
      <vt:variant>
        <vt:i4>1048633</vt:i4>
      </vt:variant>
      <vt:variant>
        <vt:i4>80</vt:i4>
      </vt:variant>
      <vt:variant>
        <vt:i4>0</vt:i4>
      </vt:variant>
      <vt:variant>
        <vt:i4>5</vt:i4>
      </vt:variant>
      <vt:variant>
        <vt:lpwstr/>
      </vt:variant>
      <vt:variant>
        <vt:lpwstr>_Toc179100112</vt:lpwstr>
      </vt:variant>
      <vt:variant>
        <vt:i4>1114169</vt:i4>
      </vt:variant>
      <vt:variant>
        <vt:i4>74</vt:i4>
      </vt:variant>
      <vt:variant>
        <vt:i4>0</vt:i4>
      </vt:variant>
      <vt:variant>
        <vt:i4>5</vt:i4>
      </vt:variant>
      <vt:variant>
        <vt:lpwstr/>
      </vt:variant>
      <vt:variant>
        <vt:lpwstr>_Toc179100104</vt:lpwstr>
      </vt:variant>
      <vt:variant>
        <vt:i4>1114169</vt:i4>
      </vt:variant>
      <vt:variant>
        <vt:i4>68</vt:i4>
      </vt:variant>
      <vt:variant>
        <vt:i4>0</vt:i4>
      </vt:variant>
      <vt:variant>
        <vt:i4>5</vt:i4>
      </vt:variant>
      <vt:variant>
        <vt:lpwstr/>
      </vt:variant>
      <vt:variant>
        <vt:lpwstr>_Toc179100103</vt:lpwstr>
      </vt:variant>
      <vt:variant>
        <vt:i4>1114169</vt:i4>
      </vt:variant>
      <vt:variant>
        <vt:i4>62</vt:i4>
      </vt:variant>
      <vt:variant>
        <vt:i4>0</vt:i4>
      </vt:variant>
      <vt:variant>
        <vt:i4>5</vt:i4>
      </vt:variant>
      <vt:variant>
        <vt:lpwstr/>
      </vt:variant>
      <vt:variant>
        <vt:lpwstr>_Toc179100102</vt:lpwstr>
      </vt:variant>
      <vt:variant>
        <vt:i4>1114169</vt:i4>
      </vt:variant>
      <vt:variant>
        <vt:i4>56</vt:i4>
      </vt:variant>
      <vt:variant>
        <vt:i4>0</vt:i4>
      </vt:variant>
      <vt:variant>
        <vt:i4>5</vt:i4>
      </vt:variant>
      <vt:variant>
        <vt:lpwstr/>
      </vt:variant>
      <vt:variant>
        <vt:lpwstr>_Toc179100101</vt:lpwstr>
      </vt:variant>
      <vt:variant>
        <vt:i4>1572920</vt:i4>
      </vt:variant>
      <vt:variant>
        <vt:i4>50</vt:i4>
      </vt:variant>
      <vt:variant>
        <vt:i4>0</vt:i4>
      </vt:variant>
      <vt:variant>
        <vt:i4>5</vt:i4>
      </vt:variant>
      <vt:variant>
        <vt:lpwstr/>
      </vt:variant>
      <vt:variant>
        <vt:lpwstr>_Toc179100094</vt:lpwstr>
      </vt:variant>
      <vt:variant>
        <vt:i4>1572920</vt:i4>
      </vt:variant>
      <vt:variant>
        <vt:i4>44</vt:i4>
      </vt:variant>
      <vt:variant>
        <vt:i4>0</vt:i4>
      </vt:variant>
      <vt:variant>
        <vt:i4>5</vt:i4>
      </vt:variant>
      <vt:variant>
        <vt:lpwstr/>
      </vt:variant>
      <vt:variant>
        <vt:lpwstr>_Toc179100092</vt:lpwstr>
      </vt:variant>
      <vt:variant>
        <vt:i4>1638456</vt:i4>
      </vt:variant>
      <vt:variant>
        <vt:i4>38</vt:i4>
      </vt:variant>
      <vt:variant>
        <vt:i4>0</vt:i4>
      </vt:variant>
      <vt:variant>
        <vt:i4>5</vt:i4>
      </vt:variant>
      <vt:variant>
        <vt:lpwstr/>
      </vt:variant>
      <vt:variant>
        <vt:lpwstr>_Toc179100088</vt:lpwstr>
      </vt:variant>
      <vt:variant>
        <vt:i4>1638456</vt:i4>
      </vt:variant>
      <vt:variant>
        <vt:i4>32</vt:i4>
      </vt:variant>
      <vt:variant>
        <vt:i4>0</vt:i4>
      </vt:variant>
      <vt:variant>
        <vt:i4>5</vt:i4>
      </vt:variant>
      <vt:variant>
        <vt:lpwstr/>
      </vt:variant>
      <vt:variant>
        <vt:lpwstr>_Toc179100086</vt:lpwstr>
      </vt:variant>
      <vt:variant>
        <vt:i4>1638456</vt:i4>
      </vt:variant>
      <vt:variant>
        <vt:i4>26</vt:i4>
      </vt:variant>
      <vt:variant>
        <vt:i4>0</vt:i4>
      </vt:variant>
      <vt:variant>
        <vt:i4>5</vt:i4>
      </vt:variant>
      <vt:variant>
        <vt:lpwstr/>
      </vt:variant>
      <vt:variant>
        <vt:lpwstr>_Toc179100085</vt:lpwstr>
      </vt:variant>
      <vt:variant>
        <vt:i4>1638456</vt:i4>
      </vt:variant>
      <vt:variant>
        <vt:i4>20</vt:i4>
      </vt:variant>
      <vt:variant>
        <vt:i4>0</vt:i4>
      </vt:variant>
      <vt:variant>
        <vt:i4>5</vt:i4>
      </vt:variant>
      <vt:variant>
        <vt:lpwstr/>
      </vt:variant>
      <vt:variant>
        <vt:lpwstr>_Toc179100084</vt:lpwstr>
      </vt:variant>
      <vt:variant>
        <vt:i4>1638456</vt:i4>
      </vt:variant>
      <vt:variant>
        <vt:i4>14</vt:i4>
      </vt:variant>
      <vt:variant>
        <vt:i4>0</vt:i4>
      </vt:variant>
      <vt:variant>
        <vt:i4>5</vt:i4>
      </vt:variant>
      <vt:variant>
        <vt:lpwstr/>
      </vt:variant>
      <vt:variant>
        <vt:lpwstr>_Toc179100082</vt:lpwstr>
      </vt:variant>
      <vt:variant>
        <vt:i4>1638456</vt:i4>
      </vt:variant>
      <vt:variant>
        <vt:i4>8</vt:i4>
      </vt:variant>
      <vt:variant>
        <vt:i4>0</vt:i4>
      </vt:variant>
      <vt:variant>
        <vt:i4>5</vt:i4>
      </vt:variant>
      <vt:variant>
        <vt:lpwstr/>
      </vt:variant>
      <vt:variant>
        <vt:lpwstr>_Toc179100081</vt:lpwstr>
      </vt:variant>
      <vt:variant>
        <vt:i4>1638456</vt:i4>
      </vt:variant>
      <vt:variant>
        <vt:i4>2</vt:i4>
      </vt:variant>
      <vt:variant>
        <vt:i4>0</vt:i4>
      </vt:variant>
      <vt:variant>
        <vt:i4>5</vt:i4>
      </vt:variant>
      <vt:variant>
        <vt:lpwstr/>
      </vt:variant>
      <vt:variant>
        <vt:lpwstr>_Toc179100080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 (prudential standard) determination No. 3 of 2018</dc:title>
  <dc:creator/>
  <cp:keywords>[SEC=UNCLASSIFIED]</cp:keywords>
  <cp:lastModifiedBy/>
  <cp:revision>1</cp:revision>
  <dcterms:created xsi:type="dcterms:W3CDTF">2018-04-20T03:50:00Z</dcterms:created>
  <dcterms:modified xsi:type="dcterms:W3CDTF">2018-04-20T03:50:00Z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Caveats_Count">
    <vt:lpwstr>0</vt:lpwstr>
  </property>
  <property fmtid="{D5CDD505-2E9C-101B-9397-08002B2CF9AE}" pid="3" name="PM_ProtectiveMarkingValue_Footer">
    <vt:lpwstr>UNCLASSIFIED</vt:lpwstr>
  </property>
  <property fmtid="{D5CDD505-2E9C-101B-9397-08002B2CF9AE}" pid="4" name="PM_SecurityClassification">
    <vt:lpwstr>UNCLASSIFIED</vt:lpwstr>
  </property>
  <property fmtid="{D5CDD505-2E9C-101B-9397-08002B2CF9AE}" pid="5" name="PM_DisplayValueSecClassificationWithQualifier">
    <vt:lpwstr>UNCLASSIFIED</vt:lpwstr>
  </property>
  <property fmtid="{D5CDD505-2E9C-101B-9397-08002B2CF9AE}" pid="6" name="PM_SecurityClassification_Prev">
    <vt:lpwstr>UNCLASSIFIED</vt:lpwstr>
  </property>
  <property fmtid="{D5CDD505-2E9C-101B-9397-08002B2CF9AE}" pid="7" name="PM_Qualifier">
    <vt:lpwstr/>
  </property>
  <property fmtid="{D5CDD505-2E9C-101B-9397-08002B2CF9AE}" pid="8" name="PM_InsertionValue">
    <vt:lpwstr>UNCLASSIFIED</vt:lpwstr>
  </property>
  <property fmtid="{D5CDD505-2E9C-101B-9397-08002B2CF9AE}" pid="9" name="PM_Hash_SHA1">
    <vt:lpwstr>0B1B1613DCAE234DE072515ACF7B96183D745E4E</vt:lpwstr>
  </property>
  <property fmtid="{D5CDD505-2E9C-101B-9397-08002B2CF9AE}" pid="10" name="PM_ProtectiveMarkingImage_Header">
    <vt:lpwstr>C:\Program Files (x86)\Common Files\janusNET Shared\janusSEAL\Images\DocumentSlashBlue.png</vt:lpwstr>
  </property>
  <property fmtid="{D5CDD505-2E9C-101B-9397-08002B2CF9AE}" pid="11" name="PM_ProtectiveMarkingValue_Header">
    <vt:lpwstr>UNCLASSIFIED</vt:lpwstr>
  </property>
  <property fmtid="{D5CDD505-2E9C-101B-9397-08002B2CF9AE}" pid="12" name="PM_ProtectiveMarkingImage_Footer">
    <vt:lpwstr>C:\Program Files (x86)\Common Files\janusNET Shared\janusSEAL\Images\DocumentSlashBlue.png</vt:lpwstr>
  </property>
  <property fmtid="{D5CDD505-2E9C-101B-9397-08002B2CF9AE}" pid="13" name="PM_Namespace">
    <vt:lpwstr>gov.au</vt:lpwstr>
  </property>
  <property fmtid="{D5CDD505-2E9C-101B-9397-08002B2CF9AE}" pid="14" name="PM_Version">
    <vt:lpwstr>2012.3</vt:lpwstr>
  </property>
  <property fmtid="{D5CDD505-2E9C-101B-9397-08002B2CF9AE}" pid="15" name="PM_Originating_FileId">
    <vt:lpwstr>22AD5EECA4E846E09C4D7B33DF091EC3</vt:lpwstr>
  </property>
  <property fmtid="{D5CDD505-2E9C-101B-9397-08002B2CF9AE}" pid="16" name="PM_OriginationTimeStamp">
    <vt:lpwstr>2018-03-13T00:35:06Z</vt:lpwstr>
  </property>
  <property fmtid="{D5CDD505-2E9C-101B-9397-08002B2CF9AE}" pid="17" name="PM_Hash_Version">
    <vt:lpwstr>2016.1</vt:lpwstr>
  </property>
  <property fmtid="{D5CDD505-2E9C-101B-9397-08002B2CF9AE}" pid="18" name="PM_Hash_Salt_Prev">
    <vt:lpwstr>D5088BD574039F3224F16B80E4284A0A</vt:lpwstr>
  </property>
  <property fmtid="{D5CDD505-2E9C-101B-9397-08002B2CF9AE}" pid="19" name="PM_Hash_Salt">
    <vt:lpwstr>A3968916F87FF8856BA871934FD1B6E6</vt:lpwstr>
  </property>
  <property fmtid="{D5CDD505-2E9C-101B-9397-08002B2CF9AE}" pid="20" name="PM_Qualifier_Prev">
    <vt:lpwstr/>
  </property>
  <property fmtid="{D5CDD505-2E9C-101B-9397-08002B2CF9AE}" pid="21" name="ContentTypeId">
    <vt:lpwstr>0x0101008CA7A4F8331B45C7B0D3158B4994D0CA0200577EC0F5A1FBFC498F9A8436B963F8A6</vt:lpwstr>
  </property>
  <property fmtid="{D5CDD505-2E9C-101B-9397-08002B2CF9AE}" pid="22" name="APRAPeriod">
    <vt:lpwstr/>
  </property>
  <property fmtid="{D5CDD505-2E9C-101B-9397-08002B2CF9AE}" pid="23" name="APRAYear">
    <vt:lpwstr>171;#2018|337d548e-be9a-4363-bbb3-ec2b7c3daa90</vt:lpwstr>
  </property>
  <property fmtid="{D5CDD505-2E9C-101B-9397-08002B2CF9AE}" pid="24" name="APRAIndustry">
    <vt:lpwstr/>
  </property>
  <property fmtid="{D5CDD505-2E9C-101B-9397-08002B2CF9AE}" pid="25" name="APRACategory">
    <vt:lpwstr/>
  </property>
  <property fmtid="{D5CDD505-2E9C-101B-9397-08002B2CF9AE}" pid="26" name="APRAPRSG">
    <vt:lpwstr/>
  </property>
  <property fmtid="{D5CDD505-2E9C-101B-9397-08002B2CF9AE}" pid="27" name="_dlc_DocIdItemGuid">
    <vt:lpwstr>70add46b-02fc-4eb4-8078-b2af1c6a8eb5</vt:lpwstr>
  </property>
  <property fmtid="{D5CDD505-2E9C-101B-9397-08002B2CF9AE}" pid="28" name="IsLocked">
    <vt:lpwstr>False</vt:lpwstr>
  </property>
  <property fmtid="{D5CDD505-2E9C-101B-9397-08002B2CF9AE}" pid="29" name="APRACostCentre">
    <vt:lpwstr>158;#PAD300|98bbdbe4-d019-48eb-87c4-aa31a7f2f98f;#24;#Legal - ADI|652d8d2a-ab45-47b4-ac6e-fe6ac9299b39;#26;#Legal - Insurance: General|8229dc1a-d7f2-47b2-844a-b026fed0c13d;#83;#Legal - Insurance: Life|56f18b50-6605-4f3f-97e3-cad1cb5394e0;#93;#Legal - Insurance: Health|21611e62-d688-4f0d-8807-02701cc43699;#134;#Legal - Superannuation|cce3181d-fd23-4eee-94d3-c66abc2350cf;#4;#Legal - Resolution ＆ Corporate|696624b1-19f4-47b2-a07b-57868a922a96</vt:lpwstr>
  </property>
  <property fmtid="{D5CDD505-2E9C-101B-9397-08002B2CF9AE}" pid="30" name="IT system type">
    <vt:lpwstr/>
  </property>
  <property fmtid="{D5CDD505-2E9C-101B-9397-08002B2CF9AE}" pid="31" name="APRADocumentType">
    <vt:lpwstr>142;#Prudential standard|6ce5a155-9ab2-41e3-9b2a-5baab4b7f1d1;#58;#Legal instrument|71fd6ed3-d6d6-4975-ba99-bfe45802e734</vt:lpwstr>
  </property>
  <property fmtid="{D5CDD505-2E9C-101B-9397-08002B2CF9AE}" pid="32" name="APRAStatus">
    <vt:lpwstr>19;#Final|84d6b2d0-8498-4d62-bf46-bab38babbe9e</vt:lpwstr>
  </property>
  <property fmtid="{D5CDD505-2E9C-101B-9397-08002B2CF9AE}" pid="33" name="APRAActivity">
    <vt:lpwstr>10;#Registration|390476ce-d76d-4e8d-905f-28e32d2df127;#109;#Statutory instrument|fe68928c-5a9c-4caf-bc8c-6c18cedcb17f</vt:lpwstr>
  </property>
  <property fmtid="{D5CDD505-2E9C-101B-9397-08002B2CF9AE}" pid="34" name="APRAEntityAdviceSupport">
    <vt:lpwstr/>
  </property>
  <property fmtid="{D5CDD505-2E9C-101B-9397-08002B2CF9AE}" pid="35" name="APRALegislation">
    <vt:lpwstr/>
  </property>
  <property fmtid="{D5CDD505-2E9C-101B-9397-08002B2CF9AE}" pid="36" name="APRAExternalOrganisation">
    <vt:lpwstr/>
  </property>
  <property fmtid="{D5CDD505-2E9C-101B-9397-08002B2CF9AE}" pid="37" name="APRAIRTR">
    <vt:lpwstr/>
  </property>
  <property fmtid="{D5CDD505-2E9C-101B-9397-08002B2CF9AE}" pid="38" name="RecordPoint_WorkflowType">
    <vt:lpwstr>ActiveSubmitStub</vt:lpwstr>
  </property>
  <property fmtid="{D5CDD505-2E9C-101B-9397-08002B2CF9AE}" pid="39" name="RecordPoint_ActiveItemWebId">
    <vt:lpwstr>{75a71c27-8d66-4282-ae60-1bfc22a83be1}</vt:lpwstr>
  </property>
  <property fmtid="{D5CDD505-2E9C-101B-9397-08002B2CF9AE}" pid="40" name="RecordPoint_ActiveItemSiteId">
    <vt:lpwstr>{88691c01-5bbb-4215-adc0-66cb7065b0af}</vt:lpwstr>
  </property>
  <property fmtid="{D5CDD505-2E9C-101B-9397-08002B2CF9AE}" pid="41" name="RecordPoint_ActiveItemListId">
    <vt:lpwstr>{0e59e171-09d8-4401-800a-327154450cb3}</vt:lpwstr>
  </property>
  <property fmtid="{D5CDD505-2E9C-101B-9397-08002B2CF9AE}" pid="42" name="RecordPoint_ActiveItemUniqueId">
    <vt:lpwstr>{70add46b-02fc-4eb4-8078-b2af1c6a8eb5}</vt:lpwstr>
  </property>
  <property fmtid="{D5CDD505-2E9C-101B-9397-08002B2CF9AE}" pid="43" name="RecordPoint_RecordNumberSubmitted">
    <vt:lpwstr/>
  </property>
  <property fmtid="{D5CDD505-2E9C-101B-9397-08002B2CF9AE}" pid="44" name="PM_Originator_Hash_SHA1">
    <vt:lpwstr>F9116892088A49C5D54D8C7F8432624D65DEC680</vt:lpwstr>
  </property>
  <property fmtid="{D5CDD505-2E9C-101B-9397-08002B2CF9AE}" pid="45" name="RecordPoint_SubmissionDate">
    <vt:lpwstr/>
  </property>
  <property fmtid="{D5CDD505-2E9C-101B-9397-08002B2CF9AE}" pid="46" name="RecordPoint_ActiveItemMoved">
    <vt:lpwstr/>
  </property>
  <property fmtid="{D5CDD505-2E9C-101B-9397-08002B2CF9AE}" pid="47" name="RecordPoint_RecordFormat">
    <vt:lpwstr/>
  </property>
  <property fmtid="{D5CDD505-2E9C-101B-9397-08002B2CF9AE}" pid="48" name="RecordPoint_SubmissionCompleted">
    <vt:lpwstr/>
  </property>
</Properties>
</file>