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EEA" w:rsidRPr="00514EEA" w:rsidRDefault="00514EEA" w:rsidP="00514EEA">
      <w:pPr>
        <w:rPr>
          <w:rFonts w:ascii="Times New Roman" w:eastAsia="Times New Roman" w:hAnsi="Times New Roman"/>
          <w:color w:val="000000"/>
          <w:sz w:val="20"/>
          <w:szCs w:val="20"/>
          <w:lang w:val="en-US" w:eastAsia="en-AU"/>
        </w:rPr>
      </w:pPr>
      <w:bookmarkStart w:id="0" w:name="OLE_LINK1"/>
      <w:bookmarkStart w:id="1" w:name="_Toc168113228"/>
      <w:r w:rsidRPr="00514EEA">
        <w:rPr>
          <w:rFonts w:ascii="Times New Roman" w:eastAsia="Times New Roman" w:hAnsi="Times New Roman"/>
          <w:noProof/>
          <w:color w:val="000000"/>
          <w:sz w:val="20"/>
          <w:szCs w:val="20"/>
          <w:lang w:eastAsia="en-AU"/>
        </w:rPr>
        <w:drawing>
          <wp:inline distT="0" distB="0" distL="0" distR="0" wp14:anchorId="3263DE7B" wp14:editId="4048C6CE">
            <wp:extent cx="1421765" cy="11049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EEA" w:rsidRPr="00514EEA" w:rsidRDefault="00514EEA" w:rsidP="00514EEA">
      <w:pPr>
        <w:spacing w:before="480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514EEA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Financial Sector (Collection of Data) (reporting standard) determination No. 9 of 2019 </w:t>
      </w:r>
    </w:p>
    <w:p w:rsidR="00514EEA" w:rsidRPr="00514EEA" w:rsidRDefault="00514EEA" w:rsidP="00514EEA">
      <w:pPr>
        <w:spacing w:before="48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514EE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Reporting Standard ARS 720.7 ABS/RBA Bill Acceptances and Endorsements </w:t>
      </w:r>
    </w:p>
    <w:p w:rsidR="00514EEA" w:rsidRPr="00514EEA" w:rsidRDefault="00514EEA" w:rsidP="00514EEA">
      <w:pPr>
        <w:pBdr>
          <w:bottom w:val="single" w:sz="4" w:space="3" w:color="auto"/>
        </w:pBdr>
        <w:spacing w:before="480" w:after="240"/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</w:pPr>
      <w:r w:rsidRPr="00514EEA"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  <w:t>Financial Sector (Collection of Data) Act 2001</w:t>
      </w:r>
    </w:p>
    <w:p w:rsidR="00514EEA" w:rsidRPr="00514EEA" w:rsidRDefault="00514EEA" w:rsidP="00514EEA">
      <w:pPr>
        <w:ind w:left="720" w:hanging="720"/>
        <w:rPr>
          <w:rFonts w:ascii="Times New Roman" w:eastAsia="Times New Roman" w:hAnsi="Times New Roman"/>
          <w:color w:val="000000"/>
          <w:sz w:val="24"/>
          <w:szCs w:val="20"/>
        </w:rPr>
      </w:pPr>
    </w:p>
    <w:p w:rsidR="00514EEA" w:rsidRPr="00514EEA" w:rsidRDefault="00514EEA" w:rsidP="00514EEA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14EEA">
        <w:rPr>
          <w:rFonts w:ascii="Times New Roman" w:eastAsia="Times New Roman" w:hAnsi="Times New Roman"/>
          <w:sz w:val="24"/>
          <w:szCs w:val="24"/>
        </w:rPr>
        <w:t xml:space="preserve">I, Alison Bliss, delegate of APRA, </w:t>
      </w:r>
      <w:r w:rsidRPr="00514EEA">
        <w:rPr>
          <w:rFonts w:ascii="Times New Roman" w:eastAsia="Times New Roman" w:hAnsi="Times New Roman"/>
          <w:color w:val="000000"/>
          <w:sz w:val="24"/>
          <w:szCs w:val="24"/>
        </w:rPr>
        <w:t xml:space="preserve">under paragraph 13(1)(a) of the </w:t>
      </w:r>
      <w:r w:rsidRPr="00514EEA">
        <w:rPr>
          <w:rFonts w:ascii="Times New Roman" w:eastAsia="Times New Roman" w:hAnsi="Times New Roman"/>
          <w:i/>
          <w:color w:val="000000"/>
          <w:sz w:val="24"/>
          <w:szCs w:val="24"/>
        </w:rPr>
        <w:t>Financial Sector (Collection of Data) Act 2001</w:t>
      </w:r>
      <w:r w:rsidRPr="00514EEA">
        <w:rPr>
          <w:rFonts w:ascii="Times New Roman" w:eastAsia="Times New Roman" w:hAnsi="Times New Roman"/>
          <w:color w:val="000000"/>
          <w:sz w:val="24"/>
          <w:szCs w:val="24"/>
        </w:rPr>
        <w:t xml:space="preserve"> (the Act) DETERMINE Reporting Standard ARS 720.7 ABS/RBA Bill Acceptances and Endorsements</w:t>
      </w:r>
      <w:r w:rsidRPr="00514EEA">
        <w:rPr>
          <w:rFonts w:ascii="Times New Roman" w:eastAsia="Times New Roman" w:hAnsi="Times New Roman"/>
          <w:i/>
          <w:color w:val="000000"/>
          <w:sz w:val="24"/>
          <w:szCs w:val="24"/>
        </w:rPr>
        <w:t>,</w:t>
      </w:r>
      <w:r w:rsidRPr="00514EEA">
        <w:rPr>
          <w:rFonts w:ascii="Times New Roman" w:eastAsia="Times New Roman" w:hAnsi="Times New Roman"/>
          <w:color w:val="000000"/>
          <w:sz w:val="24"/>
          <w:szCs w:val="24"/>
        </w:rPr>
        <w:t xml:space="preserve"> in the form set out in the Schedule, which applies to the financial sector entities to the extent provided in paragraph 4 of the reporting standard. </w:t>
      </w:r>
    </w:p>
    <w:p w:rsidR="00514EEA" w:rsidRPr="00514EEA" w:rsidRDefault="00514EEA" w:rsidP="00514EEA">
      <w:pPr>
        <w:ind w:left="709" w:hanging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14EEA" w:rsidRPr="00514EEA" w:rsidRDefault="00514EEA" w:rsidP="00514EEA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514EEA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Under section 15 of the Act, I DECLARE that the reporting standard shall begin to apply to those financial sector entities on 8 February 2019. </w:t>
      </w:r>
    </w:p>
    <w:p w:rsidR="00514EEA" w:rsidRPr="00514EEA" w:rsidRDefault="00514EEA" w:rsidP="00514EEA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:rsidR="00514EEA" w:rsidRPr="00514EEA" w:rsidRDefault="00514EEA" w:rsidP="00514EEA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514EEA">
        <w:rPr>
          <w:rFonts w:ascii="Times New Roman" w:eastAsia="Times New Roman" w:hAnsi="Times New Roman"/>
          <w:sz w:val="24"/>
          <w:szCs w:val="24"/>
          <w:lang w:val="en-US" w:eastAsia="en-AU"/>
        </w:rPr>
        <w:t>This instrument commences on 8 February 2019.</w:t>
      </w:r>
    </w:p>
    <w:p w:rsidR="00514EEA" w:rsidRPr="00514EEA" w:rsidRDefault="00514EEA" w:rsidP="00514EEA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:rsidR="00514EEA" w:rsidRPr="00514EEA" w:rsidRDefault="00514EEA" w:rsidP="00514EEA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514EEA">
        <w:rPr>
          <w:rFonts w:ascii="Times New Roman" w:eastAsia="Times New Roman" w:hAnsi="Times New Roman"/>
          <w:sz w:val="24"/>
          <w:szCs w:val="24"/>
          <w:lang w:val="en-US" w:eastAsia="en-AU"/>
        </w:rPr>
        <w:t>Dated: 1 February 2019</w:t>
      </w:r>
    </w:p>
    <w:p w:rsidR="00514EEA" w:rsidRPr="00514EEA" w:rsidRDefault="00514EEA" w:rsidP="00514EEA">
      <w:pPr>
        <w:jc w:val="both"/>
        <w:rPr>
          <w:rFonts w:ascii="Times New Roman" w:eastAsia="Times New Roman" w:hAnsi="Times New Roman"/>
          <w:i/>
          <w:sz w:val="24"/>
          <w:szCs w:val="24"/>
          <w:lang w:val="en-US" w:eastAsia="en-AU"/>
        </w:rPr>
      </w:pPr>
    </w:p>
    <w:p w:rsidR="00514EEA" w:rsidRPr="00514EEA" w:rsidRDefault="00514EEA" w:rsidP="00514EEA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</w:p>
    <w:p w:rsidR="00514EEA" w:rsidRPr="00514EEA" w:rsidRDefault="00514EEA" w:rsidP="00514EEA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:rsidR="00514EEA" w:rsidRPr="00514EEA" w:rsidRDefault="00514EEA" w:rsidP="00514EEA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514EEA">
        <w:rPr>
          <w:rFonts w:ascii="Times New Roman" w:eastAsia="Times New Roman" w:hAnsi="Times New Roman"/>
          <w:sz w:val="24"/>
          <w:szCs w:val="24"/>
          <w:lang w:val="en-US" w:eastAsia="en-AU"/>
        </w:rPr>
        <w:t>Alison Bliss</w:t>
      </w:r>
    </w:p>
    <w:p w:rsidR="00514EEA" w:rsidRPr="00514EEA" w:rsidRDefault="00514EEA" w:rsidP="00514EEA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514EEA">
        <w:rPr>
          <w:rFonts w:ascii="Times New Roman" w:eastAsia="Times New Roman" w:hAnsi="Times New Roman"/>
          <w:sz w:val="24"/>
          <w:szCs w:val="24"/>
          <w:lang w:val="en-US" w:eastAsia="en-AU"/>
        </w:rPr>
        <w:t>General Manager</w:t>
      </w:r>
    </w:p>
    <w:p w:rsidR="00514EEA" w:rsidRPr="00514EEA" w:rsidRDefault="00514EEA" w:rsidP="00514EEA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514EEA">
        <w:rPr>
          <w:rFonts w:ascii="Times New Roman" w:eastAsia="Times New Roman" w:hAnsi="Times New Roman"/>
          <w:sz w:val="24"/>
          <w:szCs w:val="24"/>
          <w:lang w:val="en-US" w:eastAsia="en-AU"/>
        </w:rPr>
        <w:t>Data Analytics Division</w:t>
      </w:r>
    </w:p>
    <w:p w:rsidR="00514EEA" w:rsidRPr="00514EEA" w:rsidRDefault="00514EEA" w:rsidP="00514EEA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:rsidR="00514EEA" w:rsidRPr="00514EEA" w:rsidRDefault="00514EEA" w:rsidP="00514EEA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:rsidR="00514EEA" w:rsidRPr="00514EEA" w:rsidRDefault="00514EEA" w:rsidP="00514EEA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:rsidR="00514EEA" w:rsidRPr="00514EEA" w:rsidRDefault="00514EEA" w:rsidP="00514EEA">
      <w:pPr>
        <w:jc w:val="both"/>
        <w:rPr>
          <w:rFonts w:ascii="Times New Roman" w:eastAsia="Times New Roman" w:hAnsi="Times New Roman"/>
          <w:b/>
          <w:sz w:val="24"/>
          <w:szCs w:val="24"/>
          <w:lang w:val="en-US" w:eastAsia="en-AU"/>
        </w:rPr>
      </w:pPr>
      <w:r w:rsidRPr="00514EEA"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  <w:t>Interpretation</w:t>
      </w:r>
    </w:p>
    <w:p w:rsidR="00514EEA" w:rsidRPr="00514EEA" w:rsidRDefault="00514EEA" w:rsidP="00514EEA">
      <w:pPr>
        <w:keepNext/>
        <w:tabs>
          <w:tab w:val="right" w:pos="794"/>
        </w:tabs>
        <w:spacing w:before="240" w:line="260" w:lineRule="exact"/>
        <w:ind w:left="964" w:hanging="96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14EEA">
        <w:rPr>
          <w:rFonts w:ascii="Times New Roman" w:eastAsia="Times New Roman" w:hAnsi="Times New Roman"/>
          <w:color w:val="000000"/>
          <w:sz w:val="24"/>
          <w:szCs w:val="24"/>
        </w:rPr>
        <w:t>In this Determination:</w:t>
      </w:r>
    </w:p>
    <w:p w:rsidR="00514EEA" w:rsidRPr="00514EEA" w:rsidRDefault="00514EEA" w:rsidP="00514EEA">
      <w:pPr>
        <w:spacing w:before="1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14EEA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APRA</w:t>
      </w:r>
      <w:r w:rsidRPr="00514EEA">
        <w:rPr>
          <w:rFonts w:ascii="Times New Roman" w:eastAsia="Times New Roman" w:hAnsi="Times New Roman"/>
          <w:color w:val="000000"/>
          <w:sz w:val="24"/>
          <w:szCs w:val="24"/>
        </w:rPr>
        <w:t xml:space="preserve"> means the Australian Prudential Regulation Authority.</w:t>
      </w:r>
    </w:p>
    <w:p w:rsidR="00514EEA" w:rsidRPr="00514EEA" w:rsidRDefault="00514EEA" w:rsidP="00514EEA">
      <w:pPr>
        <w:spacing w:before="12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 w:rsidRPr="00514EEA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financial</w:t>
      </w:r>
      <w:proofErr w:type="gramEnd"/>
      <w:r w:rsidRPr="00514EEA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sector entity</w:t>
      </w:r>
      <w:r w:rsidRPr="00514EEA">
        <w:rPr>
          <w:rFonts w:ascii="Times New Roman" w:eastAsia="Times New Roman" w:hAnsi="Times New Roman"/>
          <w:color w:val="000000"/>
          <w:sz w:val="24"/>
          <w:szCs w:val="24"/>
        </w:rPr>
        <w:t xml:space="preserve"> has the meaning given by section 5 of the Act. </w:t>
      </w:r>
    </w:p>
    <w:p w:rsidR="00514EEA" w:rsidRPr="00514EEA" w:rsidRDefault="00514EEA" w:rsidP="00514EEA">
      <w:pPr>
        <w:spacing w:before="24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14EEA" w:rsidRPr="00514EEA" w:rsidRDefault="00514EEA" w:rsidP="00514EEA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sz w:val="32"/>
          <w:szCs w:val="32"/>
          <w:lang w:eastAsia="en-AU"/>
        </w:rPr>
      </w:pPr>
    </w:p>
    <w:p w:rsidR="00514EEA" w:rsidRPr="00514EEA" w:rsidRDefault="00514EEA" w:rsidP="00514EEA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sz w:val="32"/>
          <w:szCs w:val="32"/>
          <w:lang w:eastAsia="en-AU"/>
        </w:rPr>
      </w:pPr>
      <w:r w:rsidRPr="00514EEA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  <w:t xml:space="preserve">Schedule </w:t>
      </w:r>
    </w:p>
    <w:p w:rsidR="00514EEA" w:rsidRPr="00514EEA" w:rsidRDefault="00514EEA" w:rsidP="00514EEA">
      <w:pPr>
        <w:keepNext/>
        <w:autoSpaceDE w:val="0"/>
        <w:autoSpaceDN w:val="0"/>
        <w:spacing w:before="60" w:line="200" w:lineRule="exact"/>
        <w:ind w:left="2410"/>
        <w:rPr>
          <w:rFonts w:ascii="Arial" w:eastAsia="Times New Roman" w:hAnsi="Arial" w:cs="Arial"/>
          <w:sz w:val="18"/>
          <w:szCs w:val="18"/>
          <w:lang w:eastAsia="en-AU"/>
        </w:rPr>
      </w:pPr>
    </w:p>
    <w:p w:rsidR="00514EEA" w:rsidRPr="00514EEA" w:rsidRDefault="00514EEA" w:rsidP="00514EEA">
      <w:pPr>
        <w:tabs>
          <w:tab w:val="center" w:pos="4320"/>
          <w:tab w:val="right" w:pos="8640"/>
        </w:tabs>
        <w:jc w:val="both"/>
        <w:rPr>
          <w:rFonts w:ascii="Times New Roman" w:eastAsia="Times New Roman" w:hAnsi="Times New Roman"/>
          <w:bCs/>
          <w:sz w:val="24"/>
          <w:szCs w:val="24"/>
          <w:lang w:val="en-US" w:eastAsia="en-AU"/>
        </w:rPr>
      </w:pPr>
      <w:r w:rsidRPr="00514EEA">
        <w:rPr>
          <w:rFonts w:ascii="Times New Roman" w:eastAsia="Times New Roman" w:hAnsi="Times New Roman"/>
          <w:i/>
          <w:sz w:val="24"/>
          <w:szCs w:val="20"/>
          <w:lang w:val="en-US" w:eastAsia="en-AU"/>
        </w:rPr>
        <w:t xml:space="preserve">Reporting Standard ARS 720.7 ABS/RBA Bill Acceptances and Endorsements </w:t>
      </w:r>
      <w:r w:rsidRPr="00514EEA">
        <w:rPr>
          <w:rFonts w:ascii="Times New Roman" w:eastAsia="Times New Roman" w:hAnsi="Times New Roman"/>
          <w:bCs/>
          <w:sz w:val="24"/>
          <w:szCs w:val="24"/>
          <w:lang w:val="en-US" w:eastAsia="en-AU"/>
        </w:rPr>
        <w:t>comprises the document commencing on the following page.</w:t>
      </w:r>
      <w:bookmarkEnd w:id="1"/>
    </w:p>
    <w:p w:rsidR="00514EEA" w:rsidRPr="00514EEA" w:rsidRDefault="00514EEA" w:rsidP="00514EEA">
      <w:pPr>
        <w:keepNext/>
        <w:jc w:val="both"/>
        <w:outlineLvl w:val="1"/>
        <w:rPr>
          <w:rFonts w:ascii="Arial" w:eastAsia="Times New Roman" w:hAnsi="Arial"/>
          <w:b/>
          <w:sz w:val="32"/>
          <w:szCs w:val="20"/>
          <w:lang w:eastAsia="en-AU"/>
        </w:rPr>
      </w:pPr>
    </w:p>
    <w:p w:rsidR="00514EEA" w:rsidRDefault="00514EEA" w:rsidP="00162324">
      <w:pPr>
        <w:jc w:val="both"/>
        <w:rPr>
          <w:rFonts w:eastAsia="Times"/>
          <w:szCs w:val="20"/>
        </w:rPr>
        <w:sectPr w:rsidR="00514EEA" w:rsidSect="00827642">
          <w:headerReference w:type="default" r:id="rId16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bookmarkStart w:id="2" w:name="_GoBack"/>
      <w:bookmarkEnd w:id="2"/>
    </w:p>
    <w:p w:rsidR="00AF103C" w:rsidRPr="00AB4984" w:rsidRDefault="006E5827" w:rsidP="00162324">
      <w:pPr>
        <w:jc w:val="both"/>
        <w:rPr>
          <w:rFonts w:eastAsia="Times"/>
          <w:szCs w:val="20"/>
        </w:rPr>
      </w:pPr>
      <w:r w:rsidRPr="00AB4984">
        <w:rPr>
          <w:rFonts w:eastAsia="Times"/>
          <w:noProof/>
          <w:szCs w:val="20"/>
          <w:lang w:eastAsia="en-AU"/>
        </w:rPr>
        <w:drawing>
          <wp:inline distT="0" distB="0" distL="0" distR="0">
            <wp:extent cx="1421765" cy="11049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03C" w:rsidRPr="00AB4984" w:rsidRDefault="00AF103C" w:rsidP="00162324">
      <w:pPr>
        <w:jc w:val="both"/>
        <w:rPr>
          <w:rFonts w:eastAsia="Times"/>
          <w:szCs w:val="20"/>
        </w:rPr>
      </w:pPr>
    </w:p>
    <w:p w:rsidR="00AF103C" w:rsidRPr="00AB4984" w:rsidRDefault="00B90C07" w:rsidP="002A736D">
      <w:pPr>
        <w:spacing w:after="240"/>
        <w:jc w:val="both"/>
        <w:rPr>
          <w:rFonts w:ascii="Arial" w:eastAsia="Times New Roman" w:hAnsi="Arial" w:cs="Arial"/>
          <w:b/>
          <w:sz w:val="40"/>
          <w:szCs w:val="40"/>
          <w:lang w:eastAsia="en-AU"/>
        </w:rPr>
      </w:pPr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Reporting Standard </w:t>
      </w:r>
      <w:r w:rsidR="00C8047C"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>A</w:t>
      </w:r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RS </w:t>
      </w:r>
      <w:r w:rsidR="00C8047C"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>720.7</w:t>
      </w:r>
    </w:p>
    <w:p w:rsidR="00AF103C" w:rsidRPr="00AB4984" w:rsidRDefault="00C8047C" w:rsidP="002A736D">
      <w:pPr>
        <w:spacing w:after="240"/>
        <w:jc w:val="both"/>
        <w:rPr>
          <w:rFonts w:ascii="Times New Roman" w:eastAsia="Times New Roman" w:hAnsi="Times New Roman"/>
          <w:iCs/>
          <w:lang w:val="x-none"/>
        </w:rPr>
      </w:pPr>
      <w:bookmarkStart w:id="3" w:name="_Toc256519851"/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>ABS/RBA Bill Acceptances and Endorsements</w:t>
      </w:r>
    </w:p>
    <w:bookmarkEnd w:id="3"/>
    <w:p w:rsidR="00CD3512" w:rsidRPr="00CD6287" w:rsidRDefault="00CD3512" w:rsidP="002A736D">
      <w:pPr>
        <w:spacing w:after="240"/>
        <w:jc w:val="both"/>
        <w:rPr>
          <w:rFonts w:ascii="Arial" w:eastAsia="Times" w:hAnsi="Arial" w:cs="Arial"/>
          <w:b/>
          <w:sz w:val="32"/>
          <w:szCs w:val="32"/>
        </w:rPr>
      </w:pPr>
      <w:r w:rsidRPr="00CD6287">
        <w:rPr>
          <w:rFonts w:ascii="Arial" w:eastAsia="Times" w:hAnsi="Arial" w:cs="Arial"/>
          <w:b/>
          <w:sz w:val="32"/>
          <w:szCs w:val="32"/>
        </w:rPr>
        <w:t>Objective of this Reporting Standard</w:t>
      </w:r>
    </w:p>
    <w:p w:rsidR="00CD3512" w:rsidRDefault="00CD3512" w:rsidP="002A7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 w:rsidRPr="00644F17">
        <w:rPr>
          <w:rFonts w:ascii="Times New Roman" w:eastAsia="Times" w:hAnsi="Times New Roman"/>
          <w:sz w:val="24"/>
          <w:szCs w:val="24"/>
        </w:rPr>
        <w:t xml:space="preserve">This </w:t>
      </w:r>
      <w:r w:rsidR="00A15459">
        <w:rPr>
          <w:rFonts w:ascii="Times New Roman" w:eastAsia="Times" w:hAnsi="Times New Roman"/>
          <w:sz w:val="24"/>
          <w:szCs w:val="24"/>
        </w:rPr>
        <w:t>R</w:t>
      </w:r>
      <w:r w:rsidRPr="00644F17">
        <w:rPr>
          <w:rFonts w:ascii="Times New Roman" w:eastAsia="Times" w:hAnsi="Times New Roman"/>
          <w:sz w:val="24"/>
          <w:szCs w:val="24"/>
        </w:rPr>
        <w:t xml:space="preserve">eporting </w:t>
      </w:r>
      <w:r w:rsidR="00A15459">
        <w:rPr>
          <w:rFonts w:ascii="Times New Roman" w:eastAsia="Times" w:hAnsi="Times New Roman"/>
          <w:sz w:val="24"/>
          <w:szCs w:val="24"/>
        </w:rPr>
        <w:t>S</w:t>
      </w:r>
      <w:r w:rsidRPr="00644F17">
        <w:rPr>
          <w:rFonts w:ascii="Times New Roman" w:eastAsia="Times" w:hAnsi="Times New Roman"/>
          <w:sz w:val="24"/>
          <w:szCs w:val="24"/>
        </w:rPr>
        <w:t>tandard outlines the requirements for the provision of information to APRA relating to a</w:t>
      </w:r>
      <w:r w:rsidR="00450A8F">
        <w:rPr>
          <w:rFonts w:ascii="Times New Roman" w:eastAsia="Times" w:hAnsi="Times New Roman"/>
          <w:sz w:val="24"/>
          <w:szCs w:val="24"/>
        </w:rPr>
        <w:t xml:space="preserve">n authorised deposit-taking institution’s </w:t>
      </w:r>
      <w:r>
        <w:rPr>
          <w:rFonts w:ascii="Times New Roman" w:eastAsia="Times" w:hAnsi="Times New Roman"/>
          <w:sz w:val="24"/>
          <w:szCs w:val="24"/>
        </w:rPr>
        <w:t xml:space="preserve">or registered financial corporation’s </w:t>
      </w:r>
      <w:r w:rsidRPr="00CD3512">
        <w:rPr>
          <w:rFonts w:ascii="Times New Roman" w:hAnsi="Times New Roman"/>
          <w:sz w:val="24"/>
          <w:szCs w:val="24"/>
        </w:rPr>
        <w:t>bill acceptances</w:t>
      </w:r>
      <w:r w:rsidRPr="00AB4984">
        <w:rPr>
          <w:rFonts w:ascii="Times New Roman" w:hAnsi="Times New Roman"/>
          <w:sz w:val="24"/>
          <w:szCs w:val="24"/>
        </w:rPr>
        <w:t xml:space="preserve"> and </w:t>
      </w:r>
      <w:r w:rsidRPr="00CD3512">
        <w:rPr>
          <w:rFonts w:ascii="Times New Roman" w:hAnsi="Times New Roman"/>
          <w:sz w:val="24"/>
          <w:szCs w:val="24"/>
        </w:rPr>
        <w:t>endorsements</w:t>
      </w:r>
      <w:r w:rsidR="002A736D">
        <w:rPr>
          <w:rFonts w:ascii="Times New Roman" w:eastAsia="Times" w:hAnsi="Times New Roman"/>
          <w:sz w:val="24"/>
          <w:szCs w:val="24"/>
        </w:rPr>
        <w:t>.</w:t>
      </w:r>
    </w:p>
    <w:p w:rsidR="00CD3512" w:rsidRPr="002A736D" w:rsidRDefault="00CD3512" w:rsidP="002A7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>
        <w:rPr>
          <w:rFonts w:ascii="Times New Roman" w:eastAsia="Times" w:hAnsi="Times New Roman"/>
          <w:sz w:val="24"/>
          <w:szCs w:val="24"/>
        </w:rPr>
        <w:t xml:space="preserve">It includes </w:t>
      </w:r>
      <w:r w:rsidRPr="00CC57BD">
        <w:rPr>
          <w:rFonts w:ascii="Times New Roman" w:eastAsia="Times" w:hAnsi="Times New Roman"/>
          <w:i/>
          <w:sz w:val="24"/>
          <w:szCs w:val="24"/>
        </w:rPr>
        <w:t>Reporting</w:t>
      </w:r>
      <w:r>
        <w:rPr>
          <w:rFonts w:ascii="Times New Roman" w:eastAsia="Times" w:hAnsi="Times New Roman"/>
          <w:sz w:val="24"/>
          <w:szCs w:val="24"/>
        </w:rPr>
        <w:t xml:space="preserve"> </w:t>
      </w:r>
      <w:r>
        <w:rPr>
          <w:rFonts w:ascii="Times New Roman" w:eastAsia="Times" w:hAnsi="Times New Roman"/>
          <w:i/>
          <w:sz w:val="24"/>
          <w:szCs w:val="24"/>
        </w:rPr>
        <w:t xml:space="preserve">Form ARF 720.7 ABS/RBA Bill Acceptances and Endorsements </w:t>
      </w:r>
      <w:r>
        <w:rPr>
          <w:rFonts w:ascii="Times New Roman" w:eastAsia="Times" w:hAnsi="Times New Roman"/>
          <w:sz w:val="24"/>
          <w:szCs w:val="24"/>
        </w:rPr>
        <w:t>and the as</w:t>
      </w:r>
      <w:r w:rsidR="002A736D">
        <w:rPr>
          <w:rFonts w:ascii="Times New Roman" w:eastAsia="Times" w:hAnsi="Times New Roman"/>
          <w:sz w:val="24"/>
          <w:szCs w:val="24"/>
        </w:rPr>
        <w:t>sociated specific instructions.</w:t>
      </w:r>
      <w:bookmarkStart w:id="4" w:name="_Toc256519850"/>
    </w:p>
    <w:p w:rsidR="00CD3512" w:rsidRPr="00CD6287" w:rsidRDefault="00CD3512" w:rsidP="002A736D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sz w:val="24"/>
          <w:szCs w:val="24"/>
          <w:lang w:val="x-none"/>
        </w:rPr>
        <w:t>Authority</w:t>
      </w:r>
      <w:bookmarkEnd w:id="4"/>
    </w:p>
    <w:p w:rsidR="00CD3512" w:rsidRPr="00CD6287" w:rsidRDefault="00CD3512" w:rsidP="002A736D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5" w:name="_Ref42506849"/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Reporting Standard is made under section 13 of the </w:t>
      </w:r>
      <w:r w:rsidRPr="00CD6287">
        <w:rPr>
          <w:rFonts w:ascii="Times New Roman" w:eastAsia="Times New Roman" w:hAnsi="Times New Roman"/>
          <w:i/>
          <w:iCs/>
          <w:sz w:val="24"/>
          <w:szCs w:val="24"/>
          <w:lang w:val="x-none"/>
        </w:rPr>
        <w:t>Financial Sector (Collection of Data) Act 2001</w:t>
      </w: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  <w:bookmarkEnd w:id="5"/>
    </w:p>
    <w:p w:rsidR="00CD3512" w:rsidRPr="00CD6287" w:rsidRDefault="00CD3512" w:rsidP="002A736D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lastRenderedPageBreak/>
        <w:t>Purpose</w:t>
      </w:r>
    </w:p>
    <w:p w:rsidR="00CD3512" w:rsidRPr="007A3241" w:rsidRDefault="00CD3512" w:rsidP="002A736D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Information collected </w:t>
      </w:r>
      <w:r>
        <w:rPr>
          <w:rFonts w:ascii="Times New Roman"/>
          <w:sz w:val="24"/>
        </w:rPr>
        <w:t xml:space="preserve">by </w:t>
      </w:r>
      <w:r>
        <w:rPr>
          <w:rFonts w:ascii="Times New Roman"/>
          <w:i/>
          <w:sz w:val="24"/>
        </w:rPr>
        <w:t xml:space="preserve">Reporting Form ARF </w:t>
      </w:r>
      <w:r w:rsidR="00E52250">
        <w:rPr>
          <w:rFonts w:ascii="Times New Roman"/>
          <w:i/>
          <w:sz w:val="24"/>
        </w:rPr>
        <w:t>720.7</w:t>
      </w:r>
      <w:r>
        <w:rPr>
          <w:rFonts w:ascii="Times New Roman"/>
          <w:i/>
          <w:sz w:val="24"/>
        </w:rPr>
        <w:t xml:space="preserve"> </w:t>
      </w:r>
      <w:r w:rsidR="002840E9">
        <w:rPr>
          <w:rFonts w:ascii="Times New Roman"/>
          <w:i/>
          <w:sz w:val="24"/>
        </w:rPr>
        <w:t xml:space="preserve">ABS/RBA </w:t>
      </w:r>
      <w:r w:rsidR="00E52250">
        <w:rPr>
          <w:rFonts w:ascii="Times New Roman"/>
          <w:i/>
          <w:sz w:val="24"/>
        </w:rPr>
        <w:t xml:space="preserve">Bill Acceptances and Endorsements </w:t>
      </w:r>
      <w:r>
        <w:rPr>
          <w:rFonts w:ascii="Times New Roman"/>
          <w:sz w:val="24"/>
        </w:rPr>
        <w:t xml:space="preserve">(ARF </w:t>
      </w:r>
      <w:r w:rsidR="00E52250">
        <w:rPr>
          <w:rFonts w:ascii="Times New Roman"/>
          <w:sz w:val="24"/>
        </w:rPr>
        <w:t>720.7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18"/>
          <w:sz w:val="24"/>
        </w:rPr>
        <w:t xml:space="preserve"> </w:t>
      </w: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is used by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the </w:t>
      </w:r>
      <w:r w:rsidRPr="00C82285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and </w:t>
      </w:r>
      <w:r w:rsidRPr="00C82285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>for various purposes, including the compilation of Australia’s National Accounts and the calculation of the monetary and credit aggregates</w:t>
      </w:r>
      <w:r>
        <w:rPr>
          <w:rFonts w:ascii="Times New Roman" w:eastAsia="Times New Roman" w:hAnsi="Times New Roman"/>
          <w:iCs/>
          <w:sz w:val="24"/>
          <w:szCs w:val="24"/>
        </w:rPr>
        <w:t>.</w:t>
      </w:r>
      <w:r w:rsidR="00070B9B">
        <w:rPr>
          <w:rFonts w:ascii="Times New Roman" w:eastAsia="Times New Roman" w:hAnsi="Times New Roman"/>
          <w:iCs/>
          <w:sz w:val="24"/>
          <w:szCs w:val="24"/>
        </w:rPr>
        <w:t xml:space="preserve"> This information may also be used</w:t>
      </w:r>
      <w:r w:rsidR="00002829">
        <w:rPr>
          <w:rFonts w:ascii="Times New Roman" w:eastAsia="Times New Roman" w:hAnsi="Times New Roman"/>
          <w:iCs/>
          <w:sz w:val="24"/>
          <w:szCs w:val="24"/>
        </w:rPr>
        <w:t xml:space="preserve"> by </w:t>
      </w:r>
      <w:r w:rsidR="00002829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 w:rsidR="00002829">
        <w:rPr>
          <w:rFonts w:ascii="Times New Roman" w:eastAsia="Times New Roman" w:hAnsi="Times New Roman"/>
          <w:iCs/>
          <w:sz w:val="24"/>
          <w:szCs w:val="24"/>
        </w:rPr>
        <w:t xml:space="preserve"> for prudential and publication purposes.</w:t>
      </w:r>
    </w:p>
    <w:p w:rsidR="00380116" w:rsidRPr="00380116" w:rsidRDefault="00380116" w:rsidP="002A736D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This Reporting Standard is an Economic and Financial Statistics (EFS) Reporting Standard for the purposes of </w:t>
      </w:r>
      <w:r>
        <w:rPr>
          <w:rFonts w:ascii="Times New Roman" w:eastAsia="Times New Roman" w:hAnsi="Times New Roman"/>
          <w:i/>
          <w:iCs/>
          <w:sz w:val="24"/>
          <w:szCs w:val="24"/>
        </w:rPr>
        <w:t>Reporting Standard ARS 701.0 ABS/RBA Definitions</w:t>
      </w:r>
      <w:r w:rsidR="007B02D1">
        <w:rPr>
          <w:rFonts w:ascii="Times New Roman" w:eastAsia="Times New Roman" w:hAnsi="Times New Roman"/>
          <w:i/>
          <w:iCs/>
          <w:sz w:val="24"/>
          <w:szCs w:val="24"/>
        </w:rPr>
        <w:t xml:space="preserve"> for the EFS Collection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>(ARS 701.0)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.  </w:t>
      </w:r>
    </w:p>
    <w:p w:rsidR="00CD3512" w:rsidRPr="00CD6287" w:rsidRDefault="00CD3512" w:rsidP="002A736D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Application and commencement</w:t>
      </w:r>
    </w:p>
    <w:p w:rsidR="00CD3512" w:rsidRPr="00CD52C5" w:rsidRDefault="004F690B" w:rsidP="002A736D">
      <w:pPr>
        <w:numPr>
          <w:ilvl w:val="0"/>
          <w:numId w:val="9"/>
        </w:numPr>
        <w:spacing w:after="240"/>
        <w:jc w:val="both"/>
        <w:rPr>
          <w:rFonts w:ascii="Arial" w:eastAsia="Times New Roman" w:hAnsi="Arial"/>
          <w:b/>
          <w:b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>This R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eporting </w:t>
      </w:r>
      <w:r>
        <w:rPr>
          <w:rFonts w:ascii="Times New Roman" w:eastAsia="Times New Roman" w:hAnsi="Times New Roman"/>
          <w:iCs/>
          <w:sz w:val="24"/>
          <w:szCs w:val="24"/>
        </w:rPr>
        <w:t>S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tandard applies to an </w:t>
      </w:r>
      <w:r w:rsidRPr="0051387C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authorised deposit-taking institution 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>(</w:t>
      </w:r>
      <w:r w:rsidRPr="0051387C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>)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>r</w:t>
      </w:r>
      <w:r w:rsidRPr="00C82285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egistered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>f</w:t>
      </w:r>
      <w:r w:rsidRPr="00C82285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inancial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>c</w:t>
      </w:r>
      <w:r w:rsidRPr="00C82285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orporation </w:t>
      </w:r>
      <w:r w:rsidRPr="00E8347F">
        <w:rPr>
          <w:rFonts w:ascii="Times New Roman" w:eastAsia="Times New Roman" w:hAnsi="Times New Roman"/>
          <w:iCs/>
          <w:sz w:val="24"/>
          <w:szCs w:val="24"/>
        </w:rPr>
        <w:t>(</w:t>
      </w:r>
      <w:r w:rsidRPr="00C82285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E8347F">
        <w:rPr>
          <w:rFonts w:ascii="Times New Roman" w:eastAsia="Times New Roman" w:hAnsi="Times New Roman"/>
          <w:iCs/>
          <w:sz w:val="24"/>
          <w:szCs w:val="24"/>
        </w:rPr>
        <w:t>)</w:t>
      </w:r>
      <w:r w:rsidRPr="00C82285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>as set out in the table below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, where ‘total assets’ are measured by the value reported in item 13 (column 1) on </w:t>
      </w:r>
      <w:r w:rsidRPr="0051387C">
        <w:rPr>
          <w:rFonts w:ascii="Times New Roman" w:eastAsia="Times New Roman" w:hAnsi="Times New Roman"/>
          <w:i/>
          <w:iCs/>
          <w:sz w:val="24"/>
          <w:szCs w:val="24"/>
        </w:rPr>
        <w:t>Reporting Form ARF 720.0A ABS/RBA Statement of Financial Position (</w:t>
      </w:r>
      <w:r>
        <w:rPr>
          <w:rFonts w:ascii="Times New Roman" w:eastAsia="Times New Roman" w:hAnsi="Times New Roman"/>
          <w:i/>
          <w:iCs/>
          <w:sz w:val="24"/>
          <w:szCs w:val="24"/>
        </w:rPr>
        <w:t>Standard</w:t>
      </w:r>
      <w:r w:rsidRPr="0051387C">
        <w:rPr>
          <w:rFonts w:ascii="Times New Roman" w:eastAsia="Times New Roman" w:hAnsi="Times New Roman"/>
          <w:i/>
          <w:iCs/>
          <w:sz w:val="24"/>
          <w:szCs w:val="24"/>
        </w:rPr>
        <w:t xml:space="preserve">) </w:t>
      </w:r>
      <w:r>
        <w:rPr>
          <w:rFonts w:ascii="Times New Roman" w:eastAsia="Times New Roman" w:hAnsi="Times New Roman"/>
          <w:iCs/>
          <w:sz w:val="24"/>
          <w:szCs w:val="24"/>
        </w:rPr>
        <w:t>(ARF 720.0A).</w:t>
      </w:r>
    </w:p>
    <w:p w:rsidR="005705DE" w:rsidRDefault="005705DE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43"/>
        <w:gridCol w:w="2973"/>
      </w:tblGrid>
      <w:tr w:rsidR="00CD3512" w:rsidRPr="00D77B51" w:rsidTr="003A3EC5">
        <w:tc>
          <w:tcPr>
            <w:tcW w:w="3351" w:type="pct"/>
            <w:shd w:val="clear" w:color="auto" w:fill="BFBFBF"/>
          </w:tcPr>
          <w:p w:rsidR="00CD3512" w:rsidRPr="00D77B51" w:rsidRDefault="007C65BC" w:rsidP="00E8347F">
            <w:p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Class of financial institution</w:t>
            </w:r>
          </w:p>
        </w:tc>
        <w:tc>
          <w:tcPr>
            <w:tcW w:w="1649" w:type="pct"/>
            <w:shd w:val="clear" w:color="auto" w:fill="BFBFBF"/>
          </w:tcPr>
          <w:p w:rsidR="00CD3512" w:rsidRPr="00D77B51" w:rsidRDefault="00CD3512" w:rsidP="00E8347F">
            <w:pPr>
              <w:spacing w:after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7B51">
              <w:rPr>
                <w:rFonts w:ascii="Times New Roman" w:hAnsi="Times New Roman"/>
                <w:b/>
                <w:sz w:val="24"/>
                <w:szCs w:val="24"/>
              </w:rPr>
              <w:t>Applicable</w:t>
            </w:r>
          </w:p>
        </w:tc>
      </w:tr>
      <w:tr w:rsidR="00CD3512" w:rsidRPr="00D77B51" w:rsidTr="003A3EC5">
        <w:tc>
          <w:tcPr>
            <w:tcW w:w="3351" w:type="pct"/>
            <w:shd w:val="clear" w:color="auto" w:fill="auto"/>
          </w:tcPr>
          <w:p w:rsidR="00CD3512" w:rsidRPr="0029366F" w:rsidRDefault="00806811" w:rsidP="00B2282D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ADI Reporting Category A</w:t>
            </w:r>
          </w:p>
        </w:tc>
        <w:tc>
          <w:tcPr>
            <w:tcW w:w="1649" w:type="pct"/>
            <w:shd w:val="clear" w:color="auto" w:fill="auto"/>
          </w:tcPr>
          <w:p w:rsidR="00CD3512" w:rsidRPr="00D77B51" w:rsidRDefault="000E3857" w:rsidP="00B2282D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CD3512" w:rsidRPr="00D77B51" w:rsidTr="003A3EC5">
        <w:tc>
          <w:tcPr>
            <w:tcW w:w="3351" w:type="pct"/>
            <w:shd w:val="clear" w:color="auto" w:fill="auto"/>
          </w:tcPr>
          <w:p w:rsidR="00CD3512" w:rsidRPr="00D77B51" w:rsidRDefault="00806811" w:rsidP="00B2282D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ADI Reporting Category B</w:t>
            </w:r>
          </w:p>
        </w:tc>
        <w:tc>
          <w:tcPr>
            <w:tcW w:w="1649" w:type="pct"/>
            <w:shd w:val="clear" w:color="auto" w:fill="auto"/>
          </w:tcPr>
          <w:p w:rsidR="00CD3512" w:rsidRPr="00D77B51" w:rsidRDefault="000E3857" w:rsidP="00FB5B46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CD3512" w:rsidRPr="00D77B51" w:rsidTr="003A3EC5">
        <w:tc>
          <w:tcPr>
            <w:tcW w:w="3351" w:type="pct"/>
            <w:shd w:val="clear" w:color="auto" w:fill="auto"/>
          </w:tcPr>
          <w:p w:rsidR="00CD3512" w:rsidRPr="00FB69AA" w:rsidRDefault="00CD3512" w:rsidP="00B2282D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B69AA">
              <w:rPr>
                <w:rFonts w:ascii="Times New Roman" w:hAnsi="Times New Roman"/>
                <w:b/>
                <w:i/>
                <w:sz w:val="24"/>
                <w:szCs w:val="24"/>
              </w:rPr>
              <w:t>RFCs</w:t>
            </w:r>
          </w:p>
        </w:tc>
        <w:tc>
          <w:tcPr>
            <w:tcW w:w="1649" w:type="pct"/>
            <w:shd w:val="clear" w:color="auto" w:fill="auto"/>
          </w:tcPr>
          <w:p w:rsidR="00CD3512" w:rsidRDefault="00CD3512" w:rsidP="00B2282D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  <w:r w:rsidR="00380116">
              <w:rPr>
                <w:rFonts w:ascii="Times New Roman" w:hAnsi="Times New Roman"/>
                <w:sz w:val="24"/>
                <w:szCs w:val="24"/>
              </w:rPr>
              <w:t xml:space="preserve"> if total assets ≥ $500m</w:t>
            </w:r>
          </w:p>
        </w:tc>
      </w:tr>
    </w:tbl>
    <w:p w:rsidR="008C2F50" w:rsidRDefault="008C2F50" w:rsidP="008C2F50">
      <w:pPr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APRA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may from time to time determine that a </w:t>
      </w:r>
      <w:r w:rsidR="00002829">
        <w:rPr>
          <w:rFonts w:ascii="Times New Roman" w:eastAsia="Times New Roman" w:hAnsi="Times New Roman"/>
          <w:iCs/>
          <w:sz w:val="24"/>
          <w:szCs w:val="24"/>
        </w:rPr>
        <w:t xml:space="preserve">threshold, or a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higher threshold </w:t>
      </w:r>
      <w:r w:rsidR="00002829">
        <w:rPr>
          <w:rFonts w:ascii="Times New Roman" w:eastAsia="Times New Roman" w:hAnsi="Times New Roman"/>
          <w:iCs/>
          <w:sz w:val="24"/>
          <w:szCs w:val="24"/>
        </w:rPr>
        <w:t>than that specified in paragraph 4 of this Reporting Standard</w:t>
      </w:r>
      <w:r w:rsidR="000C222A">
        <w:rPr>
          <w:rFonts w:ascii="Times New Roman" w:eastAsia="Times New Roman" w:hAnsi="Times New Roman"/>
          <w:iCs/>
          <w:sz w:val="24"/>
          <w:szCs w:val="24"/>
        </w:rPr>
        <w:t>,</w:t>
      </w:r>
      <w:r w:rsidR="00002829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will apply to a particular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0C222A">
        <w:rPr>
          <w:rFonts w:ascii="Times New Roman" w:eastAsia="Times New Roman" w:hAnsi="Times New Roman"/>
          <w:iCs/>
          <w:sz w:val="24"/>
          <w:szCs w:val="24"/>
        </w:rPr>
        <w:t>.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0C222A">
        <w:rPr>
          <w:rFonts w:ascii="Times New Roman" w:eastAsia="Times New Roman" w:hAnsi="Times New Roman"/>
          <w:iCs/>
          <w:sz w:val="24"/>
          <w:szCs w:val="24"/>
        </w:rPr>
        <w:t>I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f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does so it will notify the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DF195E">
        <w:rPr>
          <w:rFonts w:ascii="Times New Roman" w:eastAsia="Times New Roman" w:hAnsi="Times New Roman"/>
          <w:iCs/>
          <w:sz w:val="24"/>
          <w:szCs w:val="24"/>
        </w:rPr>
        <w:t>concerned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in writing.  </w:t>
      </w:r>
    </w:p>
    <w:p w:rsidR="00CD3512" w:rsidRDefault="00CD3512" w:rsidP="002A736D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8817DC">
        <w:rPr>
          <w:rFonts w:ascii="Times New Roman" w:eastAsia="Times New Roman" w:hAnsi="Times New Roman"/>
          <w:iCs/>
          <w:sz w:val="24"/>
          <w:szCs w:val="24"/>
        </w:rPr>
        <w:t xml:space="preserve">This Reporting Standard applies for </w:t>
      </w:r>
      <w:r w:rsidRPr="00C82285">
        <w:rPr>
          <w:rFonts w:ascii="Times New Roman" w:eastAsia="Times New Roman" w:hAnsi="Times New Roman"/>
          <w:b/>
          <w:i/>
          <w:iCs/>
          <w:sz w:val="24"/>
          <w:szCs w:val="24"/>
        </w:rPr>
        <w:t>reporting periods</w:t>
      </w:r>
      <w:r w:rsidRPr="008817DC">
        <w:rPr>
          <w:rFonts w:ascii="Times New Roman" w:eastAsia="Times New Roman" w:hAnsi="Times New Roman"/>
          <w:iCs/>
          <w:sz w:val="24"/>
          <w:szCs w:val="24"/>
        </w:rPr>
        <w:t xml:space="preserve"> ending on or </w:t>
      </w:r>
      <w:r w:rsidRPr="00CE4340">
        <w:rPr>
          <w:rFonts w:ascii="Times New Roman" w:eastAsia="Times New Roman" w:hAnsi="Times New Roman"/>
          <w:iCs/>
          <w:sz w:val="24"/>
          <w:szCs w:val="24"/>
        </w:rPr>
        <w:t xml:space="preserve">after </w:t>
      </w:r>
      <w:r w:rsidR="00BE1090">
        <w:rPr>
          <w:rFonts w:ascii="Times New Roman" w:eastAsia="Times New Roman" w:hAnsi="Times New Roman"/>
          <w:iCs/>
          <w:sz w:val="24"/>
          <w:szCs w:val="24"/>
        </w:rPr>
        <w:t>31 </w:t>
      </w:r>
      <w:r w:rsidR="004C03A4">
        <w:rPr>
          <w:rFonts w:ascii="Times New Roman" w:eastAsia="Times New Roman" w:hAnsi="Times New Roman"/>
          <w:iCs/>
          <w:sz w:val="24"/>
          <w:szCs w:val="24"/>
        </w:rPr>
        <w:t>March </w:t>
      </w:r>
      <w:r w:rsidR="00BE1090">
        <w:rPr>
          <w:rFonts w:ascii="Times New Roman" w:eastAsia="Times New Roman" w:hAnsi="Times New Roman"/>
          <w:iCs/>
          <w:sz w:val="24"/>
          <w:szCs w:val="24"/>
        </w:rPr>
        <w:t>201</w:t>
      </w:r>
      <w:r w:rsidR="004C03A4">
        <w:rPr>
          <w:rFonts w:ascii="Times New Roman" w:eastAsia="Times New Roman" w:hAnsi="Times New Roman"/>
          <w:iCs/>
          <w:sz w:val="24"/>
          <w:szCs w:val="24"/>
        </w:rPr>
        <w:t>9</w:t>
      </w:r>
      <w:r w:rsidRPr="00CE4340">
        <w:rPr>
          <w:rFonts w:ascii="Times New Roman" w:eastAsia="Times New Roman" w:hAnsi="Times New Roman"/>
          <w:iCs/>
          <w:sz w:val="24"/>
          <w:szCs w:val="24"/>
        </w:rPr>
        <w:t>.</w:t>
      </w:r>
    </w:p>
    <w:p w:rsidR="00CD3512" w:rsidRPr="00CD6287" w:rsidRDefault="00CD3512" w:rsidP="002A736D">
      <w:pPr>
        <w:spacing w:after="240"/>
        <w:jc w:val="both"/>
        <w:rPr>
          <w:rFonts w:ascii="Arial" w:eastAsia="Times New Roman" w:hAnsi="Arial"/>
          <w:b/>
          <w:bCs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sz w:val="24"/>
          <w:szCs w:val="24"/>
          <w:lang w:val="x-none"/>
        </w:rPr>
        <w:t>Information required</w:t>
      </w:r>
    </w:p>
    <w:p w:rsidR="00CD3512" w:rsidRDefault="00CD3512" w:rsidP="002A736D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2E20AA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</w:t>
      </w:r>
      <w:r w:rsidRPr="00C82285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450A8F" w:rsidRPr="00450A8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450A8F" w:rsidRPr="00C82285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2E20AA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4C03A4"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must provide </w:t>
      </w:r>
      <w:r w:rsidRPr="00C82285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with the information required by </w:t>
      </w:r>
      <w:r w:rsidR="004C03A4">
        <w:rPr>
          <w:rFonts w:ascii="Times New Roman" w:eastAsia="Times New Roman" w:hAnsi="Times New Roman"/>
          <w:iCs/>
          <w:sz w:val="24"/>
          <w:szCs w:val="24"/>
        </w:rPr>
        <w:t>this Reporting Standard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for each </w:t>
      </w:r>
      <w:r w:rsidRPr="00C82285">
        <w:rPr>
          <w:rFonts w:ascii="Times New Roman" w:eastAsia="Times New Roman" w:hAnsi="Times New Roman"/>
          <w:b/>
          <w:i/>
          <w:iCs/>
          <w:sz w:val="24"/>
          <w:szCs w:val="24"/>
        </w:rPr>
        <w:t>reporting period</w:t>
      </w:r>
      <w:r w:rsidR="00450A8F" w:rsidRPr="00450A8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C01493">
        <w:rPr>
          <w:rFonts w:ascii="Times New Roman" w:eastAsia="Times New Roman" w:hAnsi="Times New Roman"/>
          <w:iCs/>
          <w:sz w:val="24"/>
          <w:szCs w:val="24"/>
        </w:rPr>
        <w:t>on</w:t>
      </w:r>
      <w:r w:rsidR="00450A8F" w:rsidRPr="005975B8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a </w:t>
      </w:r>
      <w:r w:rsidR="00A15459">
        <w:rPr>
          <w:rFonts w:ascii="Times New Roman" w:eastAsia="Times New Roman" w:hAnsi="Times New Roman"/>
          <w:b/>
          <w:i/>
          <w:iCs/>
          <w:sz w:val="24"/>
          <w:szCs w:val="24"/>
        </w:rPr>
        <w:t>d</w:t>
      </w:r>
      <w:r w:rsidR="00450A8F" w:rsidRPr="00C82285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omestic </w:t>
      </w:r>
      <w:r w:rsidR="00A15459">
        <w:rPr>
          <w:rFonts w:ascii="Times New Roman" w:eastAsia="Times New Roman" w:hAnsi="Times New Roman"/>
          <w:b/>
          <w:i/>
          <w:iCs/>
          <w:sz w:val="24"/>
          <w:szCs w:val="24"/>
        </w:rPr>
        <w:t>b</w:t>
      </w:r>
      <w:r w:rsidR="00450A8F" w:rsidRPr="00C82285">
        <w:rPr>
          <w:rFonts w:ascii="Times New Roman" w:eastAsia="Times New Roman" w:hAnsi="Times New Roman"/>
          <w:b/>
          <w:i/>
          <w:iCs/>
          <w:sz w:val="24"/>
          <w:szCs w:val="24"/>
        </w:rPr>
        <w:t>ooks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 consolidation</w:t>
      </w:r>
      <w:r>
        <w:rPr>
          <w:rFonts w:ascii="Times New Roman" w:eastAsia="Times New Roman" w:hAnsi="Times New Roman"/>
          <w:iCs/>
          <w:sz w:val="24"/>
          <w:szCs w:val="24"/>
        </w:rPr>
        <w:t>.</w:t>
      </w:r>
    </w:p>
    <w:p w:rsidR="00CD3512" w:rsidRPr="00CD6287" w:rsidRDefault="00CD3512" w:rsidP="002A736D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>
        <w:rPr>
          <w:rFonts w:ascii="Arial" w:eastAsia="Times New Roman" w:hAnsi="Arial"/>
          <w:b/>
          <w:bCs/>
          <w:color w:val="000000"/>
          <w:sz w:val="24"/>
          <w:szCs w:val="24"/>
        </w:rPr>
        <w:t>Method</w:t>
      </w: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 of submission</w:t>
      </w:r>
    </w:p>
    <w:p w:rsidR="00380116" w:rsidRDefault="00380116" w:rsidP="002A736D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given to </w:t>
      </w:r>
      <w:r w:rsidRPr="00805365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in electronic </w:t>
      </w:r>
      <w:r w:rsidR="003B00FD"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format, using the ‘Direct to APRA’ application or by a method (i.e. a web-based solution) notified by </w:t>
      </w:r>
      <w:r w:rsidR="003B00FD"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="003B00FD"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in writing, prior to submission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.  </w:t>
      </w:r>
    </w:p>
    <w:p w:rsidR="00CD3512" w:rsidRPr="00DC4E62" w:rsidRDefault="00CD3512" w:rsidP="002A736D">
      <w:pPr>
        <w:pStyle w:val="IntroTo"/>
        <w:spacing w:after="240"/>
        <w:ind w:left="567" w:firstLine="0"/>
        <w:jc w:val="both"/>
        <w:rPr>
          <w:sz w:val="20"/>
        </w:rPr>
      </w:pPr>
      <w:r w:rsidRPr="008D6B62">
        <w:rPr>
          <w:i/>
          <w:sz w:val="20"/>
        </w:rPr>
        <w:lastRenderedPageBreak/>
        <w:t>Note</w:t>
      </w:r>
      <w:r w:rsidRPr="007B3049">
        <w:rPr>
          <w:sz w:val="20"/>
        </w:rPr>
        <w:t xml:space="preserve">: </w:t>
      </w:r>
      <w:r w:rsidR="003B00FD" w:rsidRPr="00CA26F5">
        <w:rPr>
          <w:iCs/>
          <w:sz w:val="20"/>
          <w:lang w:val="x-none"/>
        </w:rPr>
        <w:t xml:space="preserve">the Direct to APRA application software (also known as D2A) may be obtained from </w:t>
      </w:r>
      <w:r w:rsidR="003B00FD" w:rsidRPr="00CA26F5">
        <w:rPr>
          <w:b/>
          <w:i/>
          <w:iCs/>
          <w:sz w:val="20"/>
          <w:lang w:val="x-none"/>
        </w:rPr>
        <w:t>APRA</w:t>
      </w:r>
      <w:r w:rsidRPr="007B3049">
        <w:rPr>
          <w:sz w:val="20"/>
        </w:rPr>
        <w:t>.</w:t>
      </w:r>
      <w:r>
        <w:rPr>
          <w:sz w:val="20"/>
        </w:rPr>
        <w:t xml:space="preserve"> </w:t>
      </w:r>
    </w:p>
    <w:p w:rsidR="00CD3512" w:rsidRPr="00135A22" w:rsidRDefault="00CD3512" w:rsidP="002A736D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Reporting periods and due dates</w:t>
      </w:r>
    </w:p>
    <w:p w:rsidR="00380116" w:rsidRPr="00EF230F" w:rsidRDefault="00380116" w:rsidP="002A736D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6" w:name="_Ref349587044"/>
      <w:bookmarkStart w:id="7" w:name="_Ref351559533"/>
      <w:bookmarkStart w:id="8" w:name="_Ref391456739"/>
      <w:bookmarkStart w:id="9" w:name="_Ref188416538"/>
      <w:r>
        <w:rPr>
          <w:rFonts w:ascii="Times New Roman" w:eastAsia="Times New Roman" w:hAnsi="Times New Roman"/>
          <w:iCs/>
          <w:sz w:val="24"/>
          <w:szCs w:val="24"/>
        </w:rPr>
        <w:t xml:space="preserve">The information required by this Reporting Standard must be provided by an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under paragraphs 4 </w:t>
      </w:r>
      <w:r w:rsidR="004F690B">
        <w:rPr>
          <w:rFonts w:ascii="Times New Roman" w:eastAsia="Times New Roman" w:hAnsi="Times New Roman"/>
          <w:iCs/>
          <w:sz w:val="24"/>
          <w:szCs w:val="24"/>
        </w:rPr>
        <w:t>or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5: </w:t>
      </w:r>
    </w:p>
    <w:p w:rsidR="00380116" w:rsidRPr="00EF230F" w:rsidRDefault="00380116" w:rsidP="002A736D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>in respect of each calendar month by a</w:t>
      </w:r>
      <w:r w:rsidR="00FB69AA">
        <w:rPr>
          <w:rFonts w:ascii="Times New Roman" w:eastAsia="Times New Roman" w:hAnsi="Times New Roman"/>
          <w:iCs/>
          <w:sz w:val="24"/>
          <w:szCs w:val="24"/>
        </w:rPr>
        <w:t>n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FB69AA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; and </w:t>
      </w:r>
    </w:p>
    <w:p w:rsidR="00380116" w:rsidRPr="00737C5C" w:rsidRDefault="00380116" w:rsidP="002A736D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proofErr w:type="gramStart"/>
      <w:r>
        <w:rPr>
          <w:rFonts w:ascii="Times New Roman" w:eastAsia="Times New Roman" w:hAnsi="Times New Roman"/>
          <w:iCs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/>
          <w:iCs/>
          <w:sz w:val="24"/>
          <w:szCs w:val="24"/>
        </w:rPr>
        <w:t xml:space="preserve"> respect of each quarter ended 31 March, 30 June, 30 September and 31</w:t>
      </w:r>
      <w:r w:rsidR="004C03A4">
        <w:rPr>
          <w:rFonts w:ascii="Times New Roman" w:eastAsia="Times New Roman" w:hAnsi="Times New Roman"/>
          <w:iCs/>
          <w:sz w:val="24"/>
          <w:szCs w:val="24"/>
        </w:rPr>
        <w:t> 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December by an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>
        <w:rPr>
          <w:rFonts w:ascii="Times New Roman" w:eastAsia="Times New Roman" w:hAnsi="Times New Roman"/>
          <w:iCs/>
          <w:sz w:val="24"/>
          <w:szCs w:val="24"/>
        </w:rPr>
        <w:t>.</w:t>
      </w:r>
    </w:p>
    <w:p w:rsidR="00380116" w:rsidRPr="007A3241" w:rsidRDefault="00CD3512" w:rsidP="002A736D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provided to </w:t>
      </w:r>
      <w:r w:rsidRPr="00C82285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within</w:t>
      </w:r>
      <w:r w:rsidR="00380116">
        <w:rPr>
          <w:rFonts w:ascii="Times New Roman" w:eastAsia="Times New Roman" w:hAnsi="Times New Roman"/>
          <w:iCs/>
          <w:sz w:val="24"/>
          <w:szCs w:val="24"/>
        </w:rPr>
        <w:t>:</w:t>
      </w:r>
    </w:p>
    <w:p w:rsidR="00380116" w:rsidRPr="00EF230F" w:rsidRDefault="00776004" w:rsidP="002A736D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>10 business</w:t>
      </w:r>
      <w:r w:rsidR="00CD3512"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days after the end of the </w:t>
      </w:r>
      <w:r w:rsidR="00CD3512" w:rsidRPr="00C82285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</w:t>
      </w:r>
      <w:r w:rsidR="00CD3512"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which the information relates</w:t>
      </w:r>
      <w:r w:rsidR="00380116" w:rsidRPr="00380116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380116">
        <w:rPr>
          <w:rFonts w:ascii="Times New Roman" w:eastAsia="Times New Roman" w:hAnsi="Times New Roman"/>
          <w:iCs/>
          <w:sz w:val="24"/>
          <w:szCs w:val="24"/>
        </w:rPr>
        <w:t xml:space="preserve">for </w:t>
      </w:r>
      <w:r w:rsidR="00FB69AA">
        <w:rPr>
          <w:rFonts w:ascii="Times New Roman" w:eastAsia="Times New Roman" w:hAnsi="Times New Roman"/>
          <w:b/>
          <w:i/>
          <w:iCs/>
          <w:sz w:val="24"/>
          <w:szCs w:val="24"/>
        </w:rPr>
        <w:t>ADIs</w:t>
      </w:r>
      <w:r w:rsidR="00380116">
        <w:rPr>
          <w:rFonts w:ascii="Times New Roman" w:eastAsia="Times New Roman" w:hAnsi="Times New Roman"/>
          <w:iCs/>
          <w:sz w:val="24"/>
          <w:szCs w:val="24"/>
        </w:rPr>
        <w:t>; and</w:t>
      </w:r>
    </w:p>
    <w:p w:rsidR="00CD3512" w:rsidRPr="00D65D94" w:rsidRDefault="00380116" w:rsidP="002A736D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28 calendar days after the end of the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reporting period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to which the information relates for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>RFCs</w:t>
      </w:r>
      <w:r w:rsidRPr="0051387C">
        <w:rPr>
          <w:rFonts w:ascii="Times New Roman" w:eastAsia="Times New Roman" w:hAnsi="Times New Roman"/>
          <w:iCs/>
          <w:sz w:val="24"/>
          <w:szCs w:val="24"/>
        </w:rPr>
        <w:t>.</w:t>
      </w:r>
      <w:r w:rsidR="00CD3512" w:rsidRPr="00D65D94">
        <w:rPr>
          <w:rFonts w:ascii="Times New Roman" w:eastAsia="Times New Roman" w:hAnsi="Times New Roman"/>
          <w:iCs/>
          <w:szCs w:val="24"/>
          <w:vertAlign w:val="superscript"/>
          <w:lang w:val="x-none"/>
        </w:rPr>
        <w:footnoteReference w:id="1"/>
      </w:r>
      <w:bookmarkEnd w:id="9"/>
    </w:p>
    <w:p w:rsidR="00CD3512" w:rsidRPr="00135A22" w:rsidRDefault="00CD3512" w:rsidP="002A736D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C82285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may, by notice in writing, change the </w:t>
      </w:r>
      <w:r w:rsidRPr="00C82285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periods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or specified </w:t>
      </w:r>
      <w:r w:rsidRPr="00C82285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C82285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periods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for a particular </w:t>
      </w:r>
      <w:r w:rsidRPr="00C82285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19029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C82285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to require it to provide the information 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lastRenderedPageBreak/>
        <w:t>required by this Reporting Standard more frequently, or less frequently, having regard to:</w:t>
      </w:r>
      <w:bookmarkEnd w:id="8"/>
    </w:p>
    <w:p w:rsidR="00CD3512" w:rsidRPr="00135A22" w:rsidRDefault="00CD3512" w:rsidP="002A736D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particular circumstances of the </w:t>
      </w:r>
      <w:r w:rsidRPr="00C82285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19029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C82285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>;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and</w:t>
      </w:r>
    </w:p>
    <w:p w:rsidR="00CD3512" w:rsidRPr="00135A22" w:rsidRDefault="00CD3512" w:rsidP="002A736D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proofErr w:type="gramStart"/>
      <w:r>
        <w:rPr>
          <w:rFonts w:ascii="Times New Roman" w:eastAsia="Times New Roman" w:hAnsi="Times New Roman"/>
          <w:iCs/>
          <w:sz w:val="24"/>
          <w:szCs w:val="24"/>
        </w:rPr>
        <w:t>t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>he</w:t>
      </w:r>
      <w:proofErr w:type="gramEnd"/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extent to which the information is required for the purposes of the </w:t>
      </w:r>
      <w:r w:rsidR="00CE4340" w:rsidRPr="00C82285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 w:rsidR="00CE4340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CE4340" w:rsidRPr="00C82285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 w:rsidR="00CE4340">
        <w:rPr>
          <w:rFonts w:ascii="Times New Roman" w:eastAsia="Times New Roman" w:hAnsi="Times New Roman"/>
          <w:iCs/>
          <w:sz w:val="24"/>
          <w:szCs w:val="24"/>
        </w:rPr>
        <w:t>.</w:t>
      </w:r>
    </w:p>
    <w:p w:rsidR="00CD3512" w:rsidRPr="00135A22" w:rsidRDefault="00CD3512" w:rsidP="002A736D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C82285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 grant an </w:t>
      </w:r>
      <w:r w:rsidRPr="00C82285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C82285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19029E"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extension of a </w:t>
      </w:r>
      <w:r w:rsidRPr="00C82285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in writing, in which case the new </w:t>
      </w:r>
      <w:r w:rsidRPr="00C82285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for the provision of the information will be the date on the notice of extension.</w:t>
      </w:r>
    </w:p>
    <w:bookmarkEnd w:id="6"/>
    <w:bookmarkEnd w:id="7"/>
    <w:p w:rsidR="00CD3512" w:rsidRPr="00380116" w:rsidRDefault="00CD3512" w:rsidP="002A736D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Quality control</w:t>
      </w:r>
    </w:p>
    <w:p w:rsidR="00AB1FE0" w:rsidRPr="00552EBB" w:rsidRDefault="00AB1FE0" w:rsidP="00AB1FE0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All information provided by an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 must be the product of systems, processes and controls that have been reviewed and tested by the external auditor of the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 xml:space="preserve">RFC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as set out in </w:t>
      </w:r>
      <w:r w:rsidR="00352483">
        <w:rPr>
          <w:rFonts w:ascii="Times New Roman" w:eastAsia="Times New Roman" w:hAnsi="Times New Roman"/>
          <w:i/>
          <w:iCs/>
          <w:sz w:val="24"/>
          <w:szCs w:val="24"/>
        </w:rPr>
        <w:t xml:space="preserve">Prudential Standard </w:t>
      </w:r>
      <w:r w:rsidR="00352483" w:rsidRPr="008151D1">
        <w:rPr>
          <w:rFonts w:ascii="Times New Roman" w:eastAsia="Times New Roman" w:hAnsi="Times New Roman"/>
          <w:i/>
          <w:iCs/>
          <w:sz w:val="24"/>
          <w:szCs w:val="24"/>
        </w:rPr>
        <w:t>APS 310</w:t>
      </w:r>
      <w:r w:rsidR="00352483" w:rsidRPr="00552EBB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352483">
        <w:rPr>
          <w:rFonts w:ascii="Times New Roman" w:eastAsia="Times New Roman" w:hAnsi="Times New Roman"/>
          <w:i/>
          <w:iCs/>
          <w:sz w:val="24"/>
          <w:szCs w:val="24"/>
        </w:rPr>
        <w:t>Audit and Related Matters</w:t>
      </w:r>
      <w:r w:rsidR="00352483" w:rsidRPr="00552EBB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352483"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ADIs</w:t>
      </w:r>
      <w:r w:rsidR="00352483"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352483">
        <w:rPr>
          <w:rFonts w:ascii="Times New Roman" w:eastAsia="Times New Roman" w:hAnsi="Times New Roman"/>
          <w:i/>
          <w:iCs/>
          <w:sz w:val="24"/>
          <w:szCs w:val="24"/>
        </w:rPr>
        <w:t xml:space="preserve">Reporting Standard </w:t>
      </w:r>
      <w:r w:rsidR="00352483" w:rsidRPr="008151D1">
        <w:rPr>
          <w:rFonts w:ascii="Times New Roman" w:eastAsia="Times New Roman" w:hAnsi="Times New Roman"/>
          <w:i/>
          <w:iCs/>
          <w:sz w:val="24"/>
          <w:szCs w:val="24"/>
        </w:rPr>
        <w:t>RRS 710.0</w:t>
      </w:r>
      <w:r w:rsidR="00352483" w:rsidRPr="00552EBB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352483">
        <w:rPr>
          <w:rFonts w:ascii="Times New Roman" w:eastAsia="Times New Roman" w:hAnsi="Times New Roman"/>
          <w:i/>
          <w:iCs/>
          <w:sz w:val="24"/>
          <w:szCs w:val="24"/>
        </w:rPr>
        <w:t>ABS/RBA Audit Requirements for Registered Financial Corporations</w:t>
      </w:r>
      <w:r w:rsidR="00352483" w:rsidRPr="00552EBB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352483"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RFCs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. Relevant standards and guidance statements issued by the Auditing and Assurance Standards Board provide information on the scope and nature of the review and testing required from external auditors. 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review and testing must be done on an annual basis or more frequently if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>required by the external auditor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enable 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lastRenderedPageBreak/>
        <w:t xml:space="preserve">the external auditor to form an opinion on the accuracy and reliability of the information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provided by an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:rsidR="00AB1FE0" w:rsidRPr="00552EBB" w:rsidRDefault="00AB1FE0" w:rsidP="00AB1FE0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</w:rPr>
        <w:t xml:space="preserve">All information provided by an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under this Reporting Standard must be subject to systems, processes and controls developed by the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for the internal review and authorisation of that information. These systems, processes and controls are to assure the completeness and reliability of the information provided.</w:t>
      </w:r>
    </w:p>
    <w:p w:rsidR="00CD3512" w:rsidRPr="00A94AA1" w:rsidRDefault="00CD3512" w:rsidP="002A736D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A94AA1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Authorisation</w:t>
      </w:r>
    </w:p>
    <w:p w:rsidR="00CD3512" w:rsidRPr="008817DC" w:rsidRDefault="00CD3512" w:rsidP="002A736D">
      <w:pPr>
        <w:numPr>
          <w:ilvl w:val="0"/>
          <w:numId w:val="9"/>
        </w:numPr>
        <w:spacing w:after="240"/>
        <w:jc w:val="both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A94AA1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When an officer </w:t>
      </w:r>
      <w:r w:rsidR="00A56433">
        <w:rPr>
          <w:rFonts w:ascii="Times New Roman" w:eastAsia="Times New Roman" w:hAnsi="Times New Roman"/>
          <w:iCs/>
          <w:sz w:val="24"/>
          <w:szCs w:val="24"/>
        </w:rPr>
        <w:t xml:space="preserve">or agent </w:t>
      </w:r>
      <w:r w:rsidRPr="00A94AA1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of an </w:t>
      </w:r>
      <w:r w:rsidRPr="00C82285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 w:rsidR="0019029E" w:rsidRPr="00A94AA1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730B90" w:rsidRPr="00D67E9E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730B90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3B00FD" w:rsidRPr="0029366F">
        <w:rPr>
          <w:rFonts w:ascii="Times New Roman" w:eastAsia="Times New Roman" w:hAnsi="Times New Roman"/>
          <w:iCs/>
          <w:sz w:val="24"/>
          <w:szCs w:val="24"/>
          <w:lang w:val="x-none"/>
        </w:rPr>
        <w:t>submits</w:t>
      </w:r>
      <w:r w:rsidR="003B00FD"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information under this Reporting Standard and uses the D2A application, or other method notified by </w:t>
      </w:r>
      <w:r w:rsidR="003B00FD"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="003B00FD"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it will be necessary for the officer</w:t>
      </w:r>
      <w:r w:rsidR="00D67E9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A56433">
        <w:rPr>
          <w:rFonts w:ascii="Times New Roman" w:eastAsia="Times New Roman" w:hAnsi="Times New Roman"/>
          <w:iCs/>
          <w:sz w:val="24"/>
          <w:szCs w:val="24"/>
        </w:rPr>
        <w:t xml:space="preserve">or agent </w:t>
      </w:r>
      <w:r w:rsidR="003B00FD"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to digitally sign the relevant information using a digital certificate or other digital identity credential acceptable to </w:t>
      </w:r>
      <w:r w:rsidR="003B00FD"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5532FE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:rsidR="00CD3512" w:rsidRPr="008817DC" w:rsidRDefault="00CD3512" w:rsidP="002A736D">
      <w:pPr>
        <w:spacing w:after="240"/>
        <w:jc w:val="both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8817DC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Minor alterations to forms and instructions</w:t>
      </w:r>
    </w:p>
    <w:p w:rsidR="00CD3512" w:rsidRPr="00761D2C" w:rsidRDefault="00CD3512" w:rsidP="002A736D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C82285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 make minor variations to:</w:t>
      </w:r>
    </w:p>
    <w:p w:rsidR="00CD3512" w:rsidRPr="00761D2C" w:rsidRDefault="00CD3512" w:rsidP="002A736D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 form that is part of this </w:t>
      </w:r>
      <w:r w:rsidR="00A15459">
        <w:rPr>
          <w:rFonts w:ascii="Times New Roman" w:eastAsia="Times New Roman" w:hAnsi="Times New Roman"/>
          <w:iCs/>
          <w:sz w:val="24"/>
          <w:szCs w:val="24"/>
        </w:rPr>
        <w:t>R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eporting </w:t>
      </w:r>
      <w:r w:rsidR="00A15459">
        <w:rPr>
          <w:rFonts w:ascii="Times New Roman" w:eastAsia="Times New Roman" w:hAnsi="Times New Roman"/>
          <w:iCs/>
          <w:sz w:val="24"/>
          <w:szCs w:val="24"/>
        </w:rPr>
        <w:t>S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>tandard, and the instructions to such a form, to correct technical, programming or logical errors, inconsistencies or anomalies; or</w:t>
      </w:r>
    </w:p>
    <w:p w:rsidR="00CD3512" w:rsidRPr="00761D2C" w:rsidRDefault="00CD3512" w:rsidP="002A736D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lastRenderedPageBreak/>
        <w:t>the instructions to a form, to clarify their application to the form</w:t>
      </w:r>
    </w:p>
    <w:p w:rsidR="00CD3512" w:rsidRPr="00761D2C" w:rsidRDefault="00CD3512" w:rsidP="002A736D">
      <w:pPr>
        <w:spacing w:after="240"/>
        <w:ind w:left="567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>without changing any substantive requirement in the form or instructions.</w:t>
      </w:r>
    </w:p>
    <w:p w:rsidR="00CD3512" w:rsidRPr="00761D2C" w:rsidRDefault="00CD3512" w:rsidP="002A736D">
      <w:pPr>
        <w:numPr>
          <w:ilvl w:val="0"/>
          <w:numId w:val="9"/>
        </w:numPr>
        <w:spacing w:after="240"/>
        <w:jc w:val="both"/>
        <w:rPr>
          <w:rFonts w:ascii="Arial" w:eastAsia="Times New Roman" w:hAnsi="Arial" w:cs="Arial"/>
          <w:b/>
          <w:bCs/>
          <w:sz w:val="32"/>
          <w:szCs w:val="32"/>
          <w:lang w:eastAsia="en-AU"/>
        </w:rPr>
      </w:pP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If </w:t>
      </w:r>
      <w:r w:rsidRPr="00C82285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makes such a variation it must notify in writing each </w:t>
      </w:r>
      <w:r w:rsidRPr="00C82285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C82285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19029E"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that is required to report under this </w:t>
      </w:r>
      <w:r w:rsidR="00A15459">
        <w:rPr>
          <w:rFonts w:ascii="Times New Roman" w:eastAsia="Times New Roman" w:hAnsi="Times New Roman"/>
          <w:iCs/>
          <w:sz w:val="24"/>
          <w:szCs w:val="24"/>
        </w:rPr>
        <w:t>R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eporting </w:t>
      </w:r>
      <w:r w:rsidR="00A15459">
        <w:rPr>
          <w:rFonts w:ascii="Times New Roman" w:eastAsia="Times New Roman" w:hAnsi="Times New Roman"/>
          <w:iCs/>
          <w:sz w:val="24"/>
          <w:szCs w:val="24"/>
        </w:rPr>
        <w:t>S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>tandard.</w:t>
      </w:r>
    </w:p>
    <w:p w:rsidR="00CD3512" w:rsidRPr="00761D2C" w:rsidRDefault="00CD3512" w:rsidP="002A736D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761D2C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Interpretation </w:t>
      </w:r>
    </w:p>
    <w:p w:rsidR="00380116" w:rsidRPr="002A736D" w:rsidRDefault="004F690B" w:rsidP="002A736D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Terms that are defined in ARS 701.0 appear in bold and italics in </w:t>
      </w:r>
      <w:r w:rsidR="00380116" w:rsidRPr="002A736D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Reporting Standard.  </w:t>
      </w:r>
    </w:p>
    <w:p w:rsidR="00CD3512" w:rsidRPr="007A3241" w:rsidRDefault="00CD3512" w:rsidP="0029366F">
      <w:pPr>
        <w:keepNext/>
        <w:numPr>
          <w:ilvl w:val="0"/>
          <w:numId w:val="9"/>
        </w:numPr>
        <w:spacing w:after="240"/>
        <w:jc w:val="both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2A736D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In this </w:t>
      </w:r>
      <w:r w:rsidR="002978FF">
        <w:rPr>
          <w:rFonts w:ascii="Times New Roman" w:eastAsia="Times New Roman" w:hAnsi="Times New Roman"/>
          <w:iCs/>
          <w:sz w:val="24"/>
          <w:szCs w:val="24"/>
        </w:rPr>
        <w:t>R</w:t>
      </w:r>
      <w:proofErr w:type="spellStart"/>
      <w:r w:rsidRPr="002A736D">
        <w:rPr>
          <w:rFonts w:ascii="Times New Roman" w:eastAsia="Times New Roman" w:hAnsi="Times New Roman"/>
          <w:iCs/>
          <w:sz w:val="24"/>
          <w:szCs w:val="24"/>
          <w:lang w:val="x-none"/>
        </w:rPr>
        <w:t>eporting</w:t>
      </w:r>
      <w:proofErr w:type="spellEnd"/>
      <w:r w:rsidRPr="002A736D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2978FF">
        <w:rPr>
          <w:rFonts w:ascii="Times New Roman" w:eastAsia="Times New Roman" w:hAnsi="Times New Roman"/>
          <w:iCs/>
          <w:sz w:val="24"/>
          <w:szCs w:val="24"/>
        </w:rPr>
        <w:t>S</w:t>
      </w:r>
      <w:proofErr w:type="spellStart"/>
      <w:r w:rsidRPr="002A736D">
        <w:rPr>
          <w:rFonts w:ascii="Times New Roman" w:eastAsia="Times New Roman" w:hAnsi="Times New Roman"/>
          <w:iCs/>
          <w:sz w:val="24"/>
          <w:szCs w:val="24"/>
          <w:lang w:val="x-none"/>
        </w:rPr>
        <w:t>tandard</w:t>
      </w:r>
      <w:proofErr w:type="spellEnd"/>
      <w:r w:rsidRPr="002A736D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: </w:t>
      </w:r>
    </w:p>
    <w:p w:rsidR="00CD3512" w:rsidRPr="007A3241" w:rsidRDefault="00CD3512" w:rsidP="002A736D">
      <w:pPr>
        <w:pStyle w:val="Default"/>
        <w:spacing w:after="240"/>
        <w:ind w:left="560"/>
        <w:jc w:val="both"/>
      </w:pPr>
      <w:r w:rsidRPr="007A3241">
        <w:rPr>
          <w:b/>
          <w:bCs/>
          <w:i/>
          <w:iCs/>
        </w:rPr>
        <w:t xml:space="preserve">due date </w:t>
      </w:r>
      <w:r w:rsidRPr="007A3241">
        <w:t xml:space="preserve">means the last day of the </w:t>
      </w:r>
      <w:r w:rsidR="00745FEE">
        <w:t>10 business days</w:t>
      </w:r>
      <w:r w:rsidRPr="007A3241">
        <w:t xml:space="preserve"> </w:t>
      </w:r>
      <w:r w:rsidR="003B0889">
        <w:t xml:space="preserve">or 28 </w:t>
      </w:r>
      <w:r w:rsidRPr="007A3241">
        <w:t xml:space="preserve">calendar days provided for in paragraph </w:t>
      </w:r>
      <w:r w:rsidR="00380116">
        <w:t>10</w:t>
      </w:r>
      <w:r w:rsidR="00380116" w:rsidRPr="007A3241">
        <w:t xml:space="preserve"> </w:t>
      </w:r>
      <w:r w:rsidRPr="007A3241">
        <w:t xml:space="preserve">or, if applicable, </w:t>
      </w:r>
      <w:r w:rsidR="002978FF">
        <w:t xml:space="preserve">the date on a notice of extension given under </w:t>
      </w:r>
      <w:r w:rsidRPr="007A3241">
        <w:t xml:space="preserve">paragraph </w:t>
      </w:r>
      <w:r w:rsidR="00380116" w:rsidRPr="007A3241">
        <w:t>1</w:t>
      </w:r>
      <w:r w:rsidR="00380116">
        <w:t>2</w:t>
      </w:r>
      <w:r w:rsidRPr="007A3241">
        <w:t>.</w:t>
      </w:r>
    </w:p>
    <w:p w:rsidR="00CD3512" w:rsidRPr="002A736D" w:rsidRDefault="00CD3512" w:rsidP="002A736D">
      <w:pPr>
        <w:spacing w:after="240"/>
        <w:ind w:left="567"/>
        <w:jc w:val="both"/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</w:pPr>
      <w:r w:rsidRPr="007A3241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en-AU"/>
        </w:rPr>
        <w:t xml:space="preserve">reporting period </w:t>
      </w:r>
      <w:r w:rsidRPr="007A3241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means a month of a year </w:t>
      </w:r>
      <w:r w:rsidR="00380116" w:rsidRPr="00EF230F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or a quarter </w:t>
      </w:r>
      <w:r w:rsidR="00380116" w:rsidRPr="00E46FF7">
        <w:rPr>
          <w:rFonts w:ascii="Times New Roman" w:eastAsia="Times New Roman" w:hAnsi="Times New Roman"/>
          <w:iCs/>
          <w:sz w:val="24"/>
          <w:szCs w:val="24"/>
        </w:rPr>
        <w:t xml:space="preserve">ended </w:t>
      </w:r>
      <w:r w:rsidR="00380116" w:rsidRPr="00AD0CF1">
        <w:rPr>
          <w:rFonts w:ascii="Times New Roman" w:eastAsia="Times New Roman" w:hAnsi="Times New Roman"/>
          <w:iCs/>
          <w:sz w:val="24"/>
          <w:szCs w:val="24"/>
        </w:rPr>
        <w:t>31 March, 30 June, 30</w:t>
      </w:r>
      <w:r w:rsidR="00F73102">
        <w:rPr>
          <w:rFonts w:ascii="Times New Roman" w:eastAsia="Times New Roman" w:hAnsi="Times New Roman"/>
          <w:iCs/>
          <w:sz w:val="24"/>
          <w:szCs w:val="24"/>
        </w:rPr>
        <w:t> </w:t>
      </w:r>
      <w:r w:rsidR="00380116" w:rsidRPr="00AD0CF1">
        <w:rPr>
          <w:rFonts w:ascii="Times New Roman" w:eastAsia="Times New Roman" w:hAnsi="Times New Roman"/>
          <w:iCs/>
          <w:sz w:val="24"/>
          <w:szCs w:val="24"/>
        </w:rPr>
        <w:t xml:space="preserve">September </w:t>
      </w:r>
      <w:r w:rsidR="00380116">
        <w:rPr>
          <w:rFonts w:ascii="Times New Roman" w:eastAsia="Times New Roman" w:hAnsi="Times New Roman"/>
          <w:iCs/>
          <w:sz w:val="24"/>
          <w:szCs w:val="24"/>
        </w:rPr>
        <w:t>or</w:t>
      </w:r>
      <w:r w:rsidR="00380116" w:rsidRPr="00AD0CF1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380116" w:rsidRPr="00C02713">
        <w:rPr>
          <w:rFonts w:ascii="Times New Roman" w:eastAsia="Times New Roman" w:hAnsi="Times New Roman"/>
          <w:iCs/>
          <w:sz w:val="24"/>
          <w:szCs w:val="24"/>
        </w:rPr>
        <w:t xml:space="preserve">31 December </w:t>
      </w:r>
      <w:r w:rsidRPr="007A3241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as provided for in paragraph </w:t>
      </w:r>
      <w:r w:rsidR="00380116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9</w:t>
      </w:r>
      <w:r w:rsidR="00380116" w:rsidRPr="007A3241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 </w:t>
      </w:r>
      <w:r w:rsidRPr="007A3241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or, if applicable, </w:t>
      </w:r>
      <w:r w:rsidR="002978FF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the date on a notice given under </w:t>
      </w:r>
      <w:r w:rsidRPr="007A3241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paragraph</w:t>
      </w:r>
      <w:r w:rsidR="00380116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 11</w:t>
      </w:r>
      <w:r w:rsidR="002A736D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.</w:t>
      </w:r>
    </w:p>
    <w:p w:rsidR="009D56E7" w:rsidRPr="006F7984" w:rsidRDefault="009D56E7" w:rsidP="008D7CED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6F7984">
        <w:rPr>
          <w:rFonts w:ascii="Times New Roman" w:hAnsi="Times New Roman"/>
          <w:sz w:val="24"/>
          <w:szCs w:val="24"/>
        </w:rPr>
        <w:t xml:space="preserve">Unless the contrary intention appears, any reference to an Act, Prudential Standard, Reporting Standard, Australian </w:t>
      </w:r>
      <w:r w:rsidRPr="006F7984">
        <w:rPr>
          <w:rFonts w:ascii="Times New Roman" w:hAnsi="Times New Roman"/>
          <w:sz w:val="24"/>
          <w:szCs w:val="24"/>
        </w:rPr>
        <w:lastRenderedPageBreak/>
        <w:t xml:space="preserve">Accounting or Auditing Standard is a reference to the instrument as in force or existing from time to time. </w:t>
      </w:r>
    </w:p>
    <w:p w:rsidR="00AF103C" w:rsidRPr="00AB4984" w:rsidRDefault="00AF103C" w:rsidP="008D7CED">
      <w:pPr>
        <w:spacing w:after="240"/>
        <w:ind w:left="567"/>
        <w:jc w:val="both"/>
        <w:rPr>
          <w:rFonts w:ascii="Times New Roman" w:eastAsia="Times New Roman" w:hAnsi="Times New Roman"/>
          <w:iCs/>
          <w:sz w:val="20"/>
          <w:szCs w:val="20"/>
          <w:lang w:val="x-none"/>
        </w:rPr>
      </w:pPr>
    </w:p>
    <w:p w:rsidR="00AF103C" w:rsidRPr="00AB4984" w:rsidRDefault="00AF103C" w:rsidP="008D7CED">
      <w:pPr>
        <w:jc w:val="both"/>
        <w:rPr>
          <w:rFonts w:ascii="Arial" w:eastAsia="Times New Roman" w:hAnsi="Arial" w:cs="Arial"/>
          <w:b/>
          <w:bCs/>
          <w:sz w:val="32"/>
          <w:szCs w:val="32"/>
          <w:lang w:eastAsia="en-AU"/>
        </w:rPr>
        <w:sectPr w:rsidR="00AF103C" w:rsidRPr="00AB4984" w:rsidSect="00827642">
          <w:headerReference w:type="default" r:id="rId17"/>
          <w:footerReference w:type="default" r:id="rId18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tbl>
      <w:tblPr>
        <w:tblW w:w="8806" w:type="dxa"/>
        <w:tblInd w:w="108" w:type="dxa"/>
        <w:tblLook w:val="0400" w:firstRow="0" w:lastRow="0" w:firstColumn="0" w:lastColumn="0" w:noHBand="0" w:noVBand="1"/>
      </w:tblPr>
      <w:tblGrid>
        <w:gridCol w:w="8806"/>
      </w:tblGrid>
      <w:tr w:rsidR="00A245CD" w:rsidRPr="00A245CD" w:rsidTr="000C0E5A">
        <w:trPr>
          <w:trHeight w:val="300"/>
        </w:trPr>
        <w:tc>
          <w:tcPr>
            <w:tcW w:w="8806" w:type="dxa"/>
            <w:shd w:val="clear" w:color="auto" w:fill="auto"/>
            <w:noWrap/>
            <w:vAlign w:val="bottom"/>
            <w:hideMark/>
          </w:tcPr>
          <w:bookmarkEnd w:id="0"/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  <w:lang w:eastAsia="en-AU"/>
              </w:rPr>
            </w:pPr>
            <w:r w:rsidRPr="00A245CD">
              <w:rPr>
                <w:rFonts w:ascii="Arial" w:eastAsia="Times New Roman" w:hAnsi="Arial" w:cs="Arial"/>
                <w:b/>
                <w:sz w:val="32"/>
                <w:szCs w:val="32"/>
                <w:lang w:eastAsia="en-AU"/>
              </w:rPr>
              <w:lastRenderedPageBreak/>
              <w:t>ARF_720_7: ABS/RBA Bill Acceptances and Endorsements</w:t>
            </w:r>
          </w:p>
        </w:tc>
      </w:tr>
    </w:tbl>
    <w:p w:rsidR="00A245CD" w:rsidRPr="00A245CD" w:rsidRDefault="00A245CD" w:rsidP="00A245CD">
      <w:pPr>
        <w:rPr>
          <w:rFonts w:ascii="Arial" w:eastAsia="Times New Roman" w:hAnsi="Arial" w:cs="Arial"/>
          <w:lang w:eastAsia="en-AU"/>
        </w:rPr>
      </w:pPr>
    </w:p>
    <w:tbl>
      <w:tblPr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4"/>
        <w:gridCol w:w="4395"/>
      </w:tblGrid>
      <w:tr w:rsidR="00A245CD" w:rsidRPr="00A245CD" w:rsidTr="000C0E5A">
        <w:trPr>
          <w:trHeight w:val="317"/>
        </w:trPr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245CD" w:rsidRPr="00A245CD" w:rsidRDefault="00A245CD" w:rsidP="00A245CD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A245CD">
              <w:rPr>
                <w:rFonts w:ascii="Arial" w:eastAsia="Times New Roman" w:hAnsi="Arial" w:cs="Arial"/>
                <w:b/>
                <w:lang w:eastAsia="en-AU"/>
              </w:rPr>
              <w:t>Australian Business Number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245CD" w:rsidRPr="00A245CD" w:rsidRDefault="00A245CD" w:rsidP="00A245CD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A245CD">
              <w:rPr>
                <w:rFonts w:ascii="Arial" w:eastAsia="Times New Roman" w:hAnsi="Arial" w:cs="Arial"/>
                <w:b/>
                <w:lang w:eastAsia="en-AU"/>
              </w:rPr>
              <w:t>Institution Name</w:t>
            </w:r>
          </w:p>
        </w:tc>
      </w:tr>
      <w:tr w:rsidR="00A245CD" w:rsidRPr="00A245CD" w:rsidTr="000C0E5A">
        <w:trPr>
          <w:trHeight w:val="317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245CD" w:rsidRPr="00A245CD" w:rsidRDefault="00A245CD" w:rsidP="00A245CD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245CD" w:rsidRPr="00A245CD" w:rsidRDefault="00A245CD" w:rsidP="00A245CD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A245CD" w:rsidRPr="00A245CD" w:rsidTr="000C0E5A">
        <w:trPr>
          <w:trHeight w:val="317"/>
        </w:trPr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245CD" w:rsidRPr="00A245CD" w:rsidRDefault="00A245CD" w:rsidP="00A245CD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A245CD">
              <w:rPr>
                <w:rFonts w:ascii="Arial" w:eastAsia="Times New Roman" w:hAnsi="Arial" w:cs="Arial"/>
                <w:b/>
                <w:lang w:eastAsia="en-AU"/>
              </w:rPr>
              <w:t>Reporting Period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245CD" w:rsidRPr="00A245CD" w:rsidRDefault="00A245CD" w:rsidP="00A245CD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A245CD">
              <w:rPr>
                <w:rFonts w:ascii="Arial" w:eastAsia="Times New Roman" w:hAnsi="Arial" w:cs="Arial"/>
                <w:b/>
                <w:lang w:eastAsia="en-AU"/>
              </w:rPr>
              <w:t xml:space="preserve">Scale Factor </w:t>
            </w:r>
          </w:p>
        </w:tc>
      </w:tr>
      <w:tr w:rsidR="00A245CD" w:rsidRPr="00A245CD" w:rsidTr="000C0E5A">
        <w:trPr>
          <w:trHeight w:val="317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245CD" w:rsidRPr="00A245CD" w:rsidRDefault="002A006C" w:rsidP="002A006C">
            <w:pPr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M</w:t>
            </w:r>
            <w:r w:rsidR="00A245CD" w:rsidRPr="00A245CD">
              <w:rPr>
                <w:rFonts w:ascii="Arial" w:eastAsia="Times New Roman" w:hAnsi="Arial" w:cs="Arial"/>
                <w:lang w:eastAsia="en-AU"/>
              </w:rPr>
              <w:t>onthly</w:t>
            </w:r>
            <w:r>
              <w:rPr>
                <w:rFonts w:ascii="Arial" w:eastAsia="Times New Roman" w:hAnsi="Arial" w:cs="Arial"/>
                <w:lang w:eastAsia="en-AU"/>
              </w:rPr>
              <w:t>/</w:t>
            </w:r>
            <w:r w:rsidR="00A245CD" w:rsidRPr="00A245CD">
              <w:rPr>
                <w:rFonts w:ascii="Arial" w:eastAsia="Times New Roman" w:hAnsi="Arial" w:cs="Arial"/>
                <w:lang w:eastAsia="en-AU"/>
              </w:rPr>
              <w:t>quarterly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245CD" w:rsidRPr="00A245CD" w:rsidRDefault="00A245CD" w:rsidP="00A245CD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A245CD" w:rsidRPr="00A245CD" w:rsidTr="000C0E5A">
        <w:trPr>
          <w:trHeight w:val="317"/>
        </w:trPr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A245CD" w:rsidRPr="00A245CD" w:rsidRDefault="00A245CD" w:rsidP="00A245CD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A245CD">
              <w:rPr>
                <w:rFonts w:ascii="Arial" w:eastAsia="Times New Roman" w:hAnsi="Arial" w:cs="Arial"/>
                <w:b/>
                <w:lang w:eastAsia="en-AU"/>
              </w:rPr>
              <w:t>Reporting Consolidation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noWrap/>
            <w:vAlign w:val="bottom"/>
          </w:tcPr>
          <w:p w:rsidR="00A245CD" w:rsidRPr="00A245CD" w:rsidRDefault="00A245CD" w:rsidP="00A245CD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A245CD" w:rsidRPr="00A245CD" w:rsidTr="000C0E5A">
        <w:trPr>
          <w:trHeight w:val="317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245CD" w:rsidRPr="00A245CD" w:rsidRDefault="00A245CD" w:rsidP="00FF51E9">
            <w:pPr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 xml:space="preserve">Domestic </w:t>
            </w:r>
          </w:p>
        </w:tc>
        <w:tc>
          <w:tcPr>
            <w:tcW w:w="4395" w:type="dxa"/>
            <w:tcBorders>
              <w:left w:val="single" w:sz="4" w:space="0" w:color="auto"/>
            </w:tcBorders>
            <w:noWrap/>
            <w:vAlign w:val="bottom"/>
          </w:tcPr>
          <w:p w:rsidR="00A245CD" w:rsidRPr="00A245CD" w:rsidRDefault="00A245CD" w:rsidP="00A245CD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</w:tbl>
    <w:p w:rsidR="00A245CD" w:rsidRPr="00A245CD" w:rsidRDefault="00A245CD" w:rsidP="00A245CD">
      <w:pPr>
        <w:rPr>
          <w:rFonts w:ascii="Arial" w:eastAsia="Times New Roman" w:hAnsi="Arial" w:cs="Arial"/>
          <w:lang w:eastAsia="en-AU"/>
        </w:rPr>
      </w:pPr>
    </w:p>
    <w:tbl>
      <w:tblPr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45"/>
        <w:gridCol w:w="1772"/>
        <w:gridCol w:w="1772"/>
      </w:tblGrid>
      <w:tr w:rsidR="00A245CD" w:rsidRPr="00A245CD" w:rsidTr="000C0E5A">
        <w:trPr>
          <w:trHeight w:val="28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5CD" w:rsidRPr="00A245CD" w:rsidRDefault="00A245CD" w:rsidP="00A245CD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A245CD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Accepted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A245CD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Endorsed</w:t>
            </w: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5CD" w:rsidRPr="00A245CD" w:rsidRDefault="00A245CD" w:rsidP="00A245CD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A245CD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A245CD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5CD" w:rsidRPr="00A245CD" w:rsidRDefault="002358FB" w:rsidP="002358FB">
            <w:pPr>
              <w:rPr>
                <w:rFonts w:ascii="Arial" w:eastAsia="Times New Roman" w:hAnsi="Arial" w:cs="Arial"/>
                <w:b/>
                <w:lang w:eastAsia="en-AU"/>
              </w:rPr>
            </w:pPr>
            <w:r>
              <w:rPr>
                <w:rFonts w:ascii="Arial" w:eastAsia="Times New Roman" w:hAnsi="Arial" w:cs="Arial"/>
                <w:b/>
                <w:lang w:eastAsia="en-AU"/>
              </w:rPr>
              <w:t xml:space="preserve">1. </w:t>
            </w:r>
            <w:r w:rsidR="00A245CD" w:rsidRPr="00A245CD">
              <w:rPr>
                <w:rFonts w:ascii="Arial" w:eastAsia="Times New Roman" w:hAnsi="Arial" w:cs="Arial"/>
                <w:b/>
                <w:lang w:eastAsia="en-AU"/>
              </w:rPr>
              <w:t>Total bill acceptances and endorsements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1"/>
                <w:numId w:val="28"/>
              </w:numPr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i/>
                <w:lang w:eastAsia="en-AU"/>
              </w:rPr>
              <w:t xml:space="preserve">of which: </w:t>
            </w:r>
            <w:r w:rsidRPr="00A245CD">
              <w:rPr>
                <w:rFonts w:ascii="Arial" w:eastAsia="Times New Roman" w:hAnsi="Arial" w:cs="Arial"/>
                <w:lang w:eastAsia="en-AU"/>
              </w:rPr>
              <w:t>Related parties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1"/>
                <w:numId w:val="28"/>
              </w:numPr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>Residents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2"/>
                <w:numId w:val="28"/>
              </w:numPr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>Households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2"/>
                <w:numId w:val="28"/>
              </w:numPr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>Community service organisations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5CD" w:rsidRPr="00A245CD" w:rsidRDefault="00A245CD" w:rsidP="002358FB">
            <w:pPr>
              <w:numPr>
                <w:ilvl w:val="2"/>
                <w:numId w:val="28"/>
              </w:numPr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>Non-financial businesses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3"/>
                <w:numId w:val="28"/>
              </w:numPr>
              <w:ind w:left="1735" w:hanging="883"/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>Private non-financial investment funds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3"/>
                <w:numId w:val="28"/>
              </w:numPr>
              <w:ind w:left="1735" w:hanging="883"/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>Other private non-financial corporations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3"/>
                <w:numId w:val="28"/>
              </w:numPr>
              <w:ind w:left="1735" w:hanging="883"/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>Private unincorporated businesses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3"/>
                <w:numId w:val="28"/>
              </w:numPr>
              <w:ind w:left="1735" w:hanging="883"/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>State, territory and local government non-financial corporations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3"/>
                <w:numId w:val="28"/>
              </w:numPr>
              <w:ind w:left="1735" w:hanging="883"/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>Commonwealth Government non-financial corporations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2"/>
                <w:numId w:val="28"/>
              </w:numPr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>General government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3"/>
                <w:numId w:val="28"/>
              </w:numPr>
              <w:ind w:left="1735" w:hanging="883"/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>State, territory and local general government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3"/>
                <w:numId w:val="28"/>
              </w:numPr>
              <w:ind w:left="1735" w:hanging="883"/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>Commonwealth general government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2"/>
                <w:numId w:val="28"/>
              </w:numPr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>Financial institutions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2A006C" w:rsidP="002358FB">
            <w:pPr>
              <w:numPr>
                <w:ilvl w:val="3"/>
                <w:numId w:val="28"/>
              </w:numPr>
              <w:ind w:left="1824" w:hanging="972"/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ADIs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3"/>
                <w:numId w:val="28"/>
              </w:numPr>
              <w:ind w:left="1824" w:hanging="972"/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>Registered financial corporations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3"/>
                <w:numId w:val="28"/>
              </w:numPr>
              <w:ind w:left="1824" w:hanging="972"/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>Central borrowing authorities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3"/>
                <w:numId w:val="28"/>
              </w:numPr>
              <w:ind w:left="1824" w:hanging="972"/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>Life insurance corporations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3"/>
                <w:numId w:val="28"/>
              </w:numPr>
              <w:ind w:left="1824" w:hanging="972"/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>Other insurance corporations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3"/>
                <w:numId w:val="28"/>
              </w:numPr>
              <w:ind w:left="1824" w:hanging="972"/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lastRenderedPageBreak/>
              <w:t>Self-managed superannuation funds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3"/>
                <w:numId w:val="28"/>
              </w:numPr>
              <w:ind w:left="1824" w:hanging="972"/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>Other superannuation funds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3"/>
                <w:numId w:val="28"/>
              </w:numPr>
              <w:ind w:left="1824" w:hanging="972"/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>Financial auxiliaries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3"/>
                <w:numId w:val="28"/>
              </w:numPr>
              <w:ind w:left="1824" w:hanging="972"/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>Securitisers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3"/>
                <w:numId w:val="28"/>
              </w:numPr>
              <w:ind w:left="1824" w:hanging="972"/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>Money-market investment funds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3"/>
                <w:numId w:val="28"/>
              </w:numPr>
              <w:ind w:left="1824" w:hanging="972"/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>Non-money-market financial investment funds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3"/>
                <w:numId w:val="28"/>
              </w:numPr>
              <w:ind w:left="1824" w:hanging="972"/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>Financial institutions n.e.c.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  <w:tr w:rsidR="00A245CD" w:rsidRPr="00A245CD" w:rsidTr="000C0E5A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2358FB">
            <w:pPr>
              <w:numPr>
                <w:ilvl w:val="1"/>
                <w:numId w:val="28"/>
              </w:numPr>
              <w:rPr>
                <w:rFonts w:ascii="Arial" w:eastAsia="Times New Roman" w:hAnsi="Arial" w:cs="Arial"/>
                <w:lang w:eastAsia="en-AU"/>
              </w:rPr>
            </w:pPr>
            <w:r w:rsidRPr="00A245CD">
              <w:rPr>
                <w:rFonts w:ascii="Arial" w:eastAsia="Times New Roman" w:hAnsi="Arial" w:cs="Arial"/>
                <w:lang w:eastAsia="en-AU"/>
              </w:rPr>
              <w:t>Non-residents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177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245CD" w:rsidRPr="00A245CD" w:rsidRDefault="00A245CD" w:rsidP="00A245C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</w:p>
        </w:tc>
      </w:tr>
    </w:tbl>
    <w:p w:rsidR="00A245CD" w:rsidRPr="00A245CD" w:rsidRDefault="00A245CD" w:rsidP="00A245CD">
      <w:pPr>
        <w:rPr>
          <w:rFonts w:ascii="Arial" w:hAnsi="Arial" w:cs="Arial"/>
        </w:rPr>
      </w:pPr>
    </w:p>
    <w:p w:rsidR="00994ABA" w:rsidRPr="00AB4984" w:rsidRDefault="00994ABA" w:rsidP="00767B62">
      <w:pPr>
        <w:pStyle w:val="D2Aform"/>
      </w:pPr>
    </w:p>
    <w:p w:rsidR="00F3081F" w:rsidRPr="00AB4984" w:rsidRDefault="00F3081F" w:rsidP="00767B62">
      <w:pPr>
        <w:pStyle w:val="D2Aform"/>
        <w:rPr>
          <w:b/>
          <w:sz w:val="40"/>
          <w:szCs w:val="40"/>
        </w:rPr>
      </w:pPr>
    </w:p>
    <w:p w:rsidR="00C8047C" w:rsidRPr="00AB4984" w:rsidRDefault="00C8047C" w:rsidP="00162324">
      <w:pPr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  <w:sectPr w:rsidR="00C8047C" w:rsidRPr="00AB4984" w:rsidSect="00A245CD">
          <w:footerReference w:type="default" r:id="rId19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:rsidR="00B04B20" w:rsidRPr="00AB4984" w:rsidRDefault="00054C93" w:rsidP="002A736D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lastRenderedPageBreak/>
        <w:t xml:space="preserve">Reporting </w:t>
      </w:r>
      <w:r w:rsidR="00B315E6" w:rsidRPr="00AB4984">
        <w:rPr>
          <w:rFonts w:ascii="Arial" w:hAnsi="Arial" w:cs="Arial"/>
          <w:b/>
          <w:sz w:val="40"/>
          <w:szCs w:val="40"/>
        </w:rPr>
        <w:t>F</w:t>
      </w:r>
      <w:r w:rsidR="00041673" w:rsidRPr="00AB4984">
        <w:rPr>
          <w:rFonts w:ascii="Arial" w:hAnsi="Arial" w:cs="Arial"/>
          <w:b/>
          <w:sz w:val="40"/>
          <w:szCs w:val="40"/>
        </w:rPr>
        <w:t xml:space="preserve">orm </w:t>
      </w:r>
      <w:r w:rsidR="00C8047C" w:rsidRPr="00AB4984">
        <w:rPr>
          <w:rFonts w:ascii="Arial" w:hAnsi="Arial" w:cs="Arial"/>
          <w:b/>
          <w:sz w:val="40"/>
          <w:szCs w:val="40"/>
        </w:rPr>
        <w:t>A</w:t>
      </w:r>
      <w:r w:rsidRPr="00AB4984">
        <w:rPr>
          <w:rFonts w:ascii="Arial" w:hAnsi="Arial" w:cs="Arial"/>
          <w:b/>
          <w:sz w:val="40"/>
          <w:szCs w:val="40"/>
        </w:rPr>
        <w:t xml:space="preserve">RF </w:t>
      </w:r>
      <w:r w:rsidR="00C8047C" w:rsidRPr="00AB4984">
        <w:rPr>
          <w:rFonts w:ascii="Arial" w:hAnsi="Arial" w:cs="Arial"/>
          <w:b/>
          <w:sz w:val="40"/>
          <w:szCs w:val="40"/>
        </w:rPr>
        <w:t>720.7</w:t>
      </w:r>
    </w:p>
    <w:p w:rsidR="00054C93" w:rsidRPr="00AB4984" w:rsidRDefault="00C8047C" w:rsidP="002A736D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t>ABS/RBA Bill Acceptances and Endorsements</w:t>
      </w:r>
    </w:p>
    <w:p w:rsidR="00054C93" w:rsidRPr="002A736D" w:rsidRDefault="00054C93" w:rsidP="002A736D">
      <w:pPr>
        <w:keepNext/>
        <w:spacing w:after="240"/>
        <w:jc w:val="both"/>
        <w:outlineLvl w:val="0"/>
        <w:rPr>
          <w:rFonts w:ascii="Arial" w:hAnsi="Arial" w:cs="Arial"/>
          <w:b/>
          <w:sz w:val="32"/>
          <w:szCs w:val="40"/>
        </w:rPr>
      </w:pPr>
      <w:r w:rsidRPr="002A736D">
        <w:rPr>
          <w:rFonts w:ascii="Arial" w:hAnsi="Arial" w:cs="Arial"/>
          <w:b/>
          <w:sz w:val="32"/>
          <w:szCs w:val="40"/>
        </w:rPr>
        <w:t>Instruction</w:t>
      </w:r>
      <w:r w:rsidR="002A0B6A" w:rsidRPr="002A736D">
        <w:rPr>
          <w:rFonts w:ascii="Arial" w:hAnsi="Arial" w:cs="Arial"/>
          <w:b/>
          <w:sz w:val="32"/>
          <w:szCs w:val="40"/>
        </w:rPr>
        <w:t>s</w:t>
      </w:r>
    </w:p>
    <w:p w:rsidR="00C8047C" w:rsidRPr="00AB4984" w:rsidRDefault="00C53458" w:rsidP="002A736D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</w:t>
      </w:r>
      <w:r w:rsidR="00054C93" w:rsidRPr="00AB4984">
        <w:rPr>
          <w:rFonts w:ascii="Times New Roman" w:hAnsi="Times New Roman"/>
          <w:sz w:val="24"/>
          <w:szCs w:val="24"/>
        </w:rPr>
        <w:t xml:space="preserve">assist completion of </w:t>
      </w:r>
      <w:r w:rsidR="00B95FF0" w:rsidRPr="00AB4984">
        <w:rPr>
          <w:rFonts w:ascii="Times New Roman" w:hAnsi="Times New Roman"/>
          <w:i/>
          <w:sz w:val="24"/>
          <w:szCs w:val="24"/>
        </w:rPr>
        <w:t xml:space="preserve">Reporting Form </w:t>
      </w:r>
      <w:r w:rsidR="00C8047C" w:rsidRPr="00AB4984">
        <w:rPr>
          <w:rFonts w:ascii="Times New Roman" w:hAnsi="Times New Roman"/>
          <w:i/>
          <w:sz w:val="24"/>
          <w:szCs w:val="24"/>
        </w:rPr>
        <w:t>A</w:t>
      </w:r>
      <w:r w:rsidR="00054C93" w:rsidRPr="00AB4984">
        <w:rPr>
          <w:rFonts w:ascii="Times New Roman" w:hAnsi="Times New Roman"/>
          <w:i/>
          <w:sz w:val="24"/>
          <w:szCs w:val="24"/>
        </w:rPr>
        <w:t xml:space="preserve">RF </w:t>
      </w:r>
      <w:r w:rsidR="00C8047C" w:rsidRPr="00AB4984">
        <w:rPr>
          <w:rFonts w:ascii="Times New Roman" w:hAnsi="Times New Roman"/>
          <w:i/>
          <w:sz w:val="24"/>
          <w:szCs w:val="24"/>
        </w:rPr>
        <w:t>720.7 ABS/RBA Bill Acceptances and Endorsements</w:t>
      </w:r>
      <w:r w:rsidR="00B95FF0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D477FC" w:rsidRPr="00AB4984">
        <w:rPr>
          <w:rFonts w:ascii="Times New Roman" w:hAnsi="Times New Roman"/>
          <w:sz w:val="24"/>
          <w:szCs w:val="24"/>
        </w:rPr>
        <w:t>(</w:t>
      </w:r>
      <w:r w:rsidR="00C8047C" w:rsidRPr="00AB4984">
        <w:rPr>
          <w:rFonts w:ascii="Times New Roman" w:hAnsi="Times New Roman"/>
          <w:sz w:val="24"/>
          <w:szCs w:val="24"/>
        </w:rPr>
        <w:t>A</w:t>
      </w:r>
      <w:r w:rsidR="00041673" w:rsidRPr="00AB4984">
        <w:rPr>
          <w:rFonts w:ascii="Times New Roman" w:hAnsi="Times New Roman"/>
          <w:sz w:val="24"/>
          <w:szCs w:val="24"/>
        </w:rPr>
        <w:t xml:space="preserve">RF </w:t>
      </w:r>
      <w:r w:rsidR="00C8047C" w:rsidRPr="00AB4984">
        <w:rPr>
          <w:rFonts w:ascii="Times New Roman" w:hAnsi="Times New Roman"/>
          <w:sz w:val="24"/>
          <w:szCs w:val="24"/>
        </w:rPr>
        <w:t>720.7</w:t>
      </w:r>
      <w:r w:rsidR="00D477FC" w:rsidRPr="00AB4984">
        <w:rPr>
          <w:rFonts w:ascii="Times New Roman" w:hAnsi="Times New Roman"/>
          <w:sz w:val="24"/>
          <w:szCs w:val="24"/>
        </w:rPr>
        <w:t>)</w:t>
      </w:r>
      <w:r w:rsidRPr="00AB4984">
        <w:rPr>
          <w:rFonts w:ascii="Times New Roman" w:hAnsi="Times New Roman"/>
          <w:sz w:val="24"/>
          <w:szCs w:val="24"/>
        </w:rPr>
        <w:t>.</w:t>
      </w:r>
      <w:r w:rsidR="00D477FC" w:rsidRPr="00AB4984">
        <w:rPr>
          <w:rFonts w:ascii="Times New Roman" w:hAnsi="Times New Roman"/>
          <w:sz w:val="24"/>
          <w:szCs w:val="24"/>
        </w:rPr>
        <w:t xml:space="preserve"> </w:t>
      </w:r>
      <w:r w:rsidR="00C8047C" w:rsidRPr="00C82285">
        <w:rPr>
          <w:rFonts w:ascii="Times New Roman" w:hAnsi="Times New Roman"/>
          <w:sz w:val="24"/>
          <w:szCs w:val="24"/>
        </w:rPr>
        <w:t>A</w:t>
      </w:r>
      <w:r w:rsidR="00BB17AE" w:rsidRPr="00C82285">
        <w:rPr>
          <w:rFonts w:ascii="Times New Roman" w:hAnsi="Times New Roman"/>
          <w:sz w:val="24"/>
          <w:szCs w:val="24"/>
        </w:rPr>
        <w:t xml:space="preserve">RF </w:t>
      </w:r>
      <w:r w:rsidR="00C8047C" w:rsidRPr="00C82285">
        <w:rPr>
          <w:rFonts w:ascii="Times New Roman" w:hAnsi="Times New Roman"/>
          <w:sz w:val="24"/>
          <w:szCs w:val="24"/>
        </w:rPr>
        <w:t>720.7</w:t>
      </w:r>
      <w:r w:rsidR="00BB17AE" w:rsidRPr="00AB4984">
        <w:rPr>
          <w:rFonts w:ascii="Arial" w:hAnsi="Arial" w:cs="Arial"/>
          <w:b/>
          <w:i/>
          <w:sz w:val="40"/>
          <w:szCs w:val="40"/>
        </w:rPr>
        <w:t xml:space="preserve"> </w:t>
      </w:r>
      <w:r w:rsidR="004072D6" w:rsidRPr="00AB4984">
        <w:rPr>
          <w:rFonts w:ascii="Times New Roman" w:hAnsi="Times New Roman"/>
          <w:sz w:val="24"/>
          <w:szCs w:val="24"/>
        </w:rPr>
        <w:t xml:space="preserve">collects information relating </w:t>
      </w:r>
      <w:r w:rsidR="00414401" w:rsidRPr="00AB4984">
        <w:rPr>
          <w:rFonts w:ascii="Times New Roman" w:hAnsi="Times New Roman"/>
          <w:sz w:val="24"/>
          <w:szCs w:val="24"/>
        </w:rPr>
        <w:t>to</w:t>
      </w:r>
      <w:r w:rsidR="006B13E0" w:rsidRPr="00AB4984">
        <w:rPr>
          <w:rFonts w:ascii="Times New Roman" w:hAnsi="Times New Roman"/>
          <w:sz w:val="24"/>
          <w:szCs w:val="24"/>
        </w:rPr>
        <w:t xml:space="preserve"> 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>bill</w:t>
      </w:r>
      <w:r w:rsidR="00C8047C" w:rsidRPr="00AB4984">
        <w:rPr>
          <w:rFonts w:ascii="Times New Roman" w:hAnsi="Times New Roman"/>
          <w:sz w:val="24"/>
          <w:szCs w:val="24"/>
        </w:rPr>
        <w:t xml:space="preserve"> 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>acceptances</w:t>
      </w:r>
      <w:r w:rsidR="00C8047C" w:rsidRPr="00AB4984">
        <w:rPr>
          <w:rFonts w:ascii="Times New Roman" w:hAnsi="Times New Roman"/>
          <w:sz w:val="24"/>
          <w:szCs w:val="24"/>
        </w:rPr>
        <w:t xml:space="preserve"> and 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>endorsements</w:t>
      </w:r>
      <w:r w:rsidR="00C8047C" w:rsidRPr="00AB4984">
        <w:rPr>
          <w:rFonts w:ascii="Times New Roman" w:hAnsi="Times New Roman"/>
          <w:sz w:val="24"/>
          <w:szCs w:val="24"/>
        </w:rPr>
        <w:t xml:space="preserve"> by </w:t>
      </w:r>
      <w:r w:rsidR="00450A8F">
        <w:rPr>
          <w:rFonts w:ascii="Times New Roman" w:hAnsi="Times New Roman"/>
          <w:b/>
          <w:i/>
          <w:sz w:val="24"/>
          <w:szCs w:val="24"/>
        </w:rPr>
        <w:t>ADIs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8047C" w:rsidRPr="00AB4984">
        <w:rPr>
          <w:rFonts w:ascii="Times New Roman" w:hAnsi="Times New Roman"/>
          <w:sz w:val="24"/>
          <w:szCs w:val="24"/>
        </w:rPr>
        <w:t xml:space="preserve">and </w:t>
      </w:r>
      <w:r w:rsidR="00450A8F">
        <w:rPr>
          <w:rFonts w:ascii="Times New Roman" w:hAnsi="Times New Roman"/>
          <w:b/>
          <w:i/>
          <w:sz w:val="24"/>
          <w:szCs w:val="24"/>
        </w:rPr>
        <w:t>RFCs</w:t>
      </w:r>
      <w:r w:rsidR="00C8047C" w:rsidRPr="0051387C">
        <w:rPr>
          <w:rFonts w:ascii="Times New Roman" w:hAnsi="Times New Roman"/>
          <w:sz w:val="24"/>
          <w:szCs w:val="24"/>
        </w:rPr>
        <w:t>.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4072D6" w:rsidRPr="00AB4984" w:rsidRDefault="004072D6" w:rsidP="002A73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Information reported in </w:t>
      </w:r>
      <w:r w:rsidR="00C8047C" w:rsidRPr="00C82285">
        <w:rPr>
          <w:rFonts w:ascii="Times New Roman" w:hAnsi="Times New Roman"/>
          <w:sz w:val="24"/>
          <w:szCs w:val="24"/>
        </w:rPr>
        <w:t>A</w:t>
      </w:r>
      <w:r w:rsidR="009E4BEE" w:rsidRPr="00C82285">
        <w:rPr>
          <w:rFonts w:ascii="Times New Roman" w:hAnsi="Times New Roman"/>
          <w:sz w:val="24"/>
          <w:szCs w:val="24"/>
        </w:rPr>
        <w:t xml:space="preserve">RF </w:t>
      </w:r>
      <w:r w:rsidR="00C8047C" w:rsidRPr="00C82285">
        <w:rPr>
          <w:rFonts w:ascii="Times New Roman" w:hAnsi="Times New Roman"/>
          <w:sz w:val="24"/>
          <w:szCs w:val="24"/>
        </w:rPr>
        <w:t>720.7</w:t>
      </w:r>
      <w:r w:rsidR="009E4BEE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is required </w:t>
      </w:r>
      <w:r w:rsidR="00BF37AB" w:rsidRPr="00AB4984">
        <w:rPr>
          <w:rFonts w:ascii="Times New Roman" w:hAnsi="Times New Roman"/>
          <w:sz w:val="24"/>
          <w:szCs w:val="24"/>
        </w:rPr>
        <w:t xml:space="preserve">primarily </w:t>
      </w:r>
      <w:r w:rsidR="00F551D9" w:rsidRPr="00AB4984">
        <w:rPr>
          <w:rFonts w:ascii="Times New Roman" w:hAnsi="Times New Roman"/>
          <w:sz w:val="24"/>
          <w:szCs w:val="24"/>
        </w:rPr>
        <w:t>for</w:t>
      </w:r>
      <w:r w:rsidR="00F3081F" w:rsidRPr="00AB4984">
        <w:rPr>
          <w:rFonts w:ascii="Times New Roman" w:hAnsi="Times New Roman"/>
          <w:sz w:val="24"/>
          <w:szCs w:val="24"/>
        </w:rPr>
        <w:t xml:space="preserve"> </w:t>
      </w:r>
      <w:r w:rsidR="00C8047C" w:rsidRPr="00AB4984">
        <w:rPr>
          <w:rFonts w:ascii="Times New Roman" w:hAnsi="Times New Roman"/>
          <w:sz w:val="24"/>
          <w:szCs w:val="24"/>
        </w:rPr>
        <w:t xml:space="preserve">purposes of the </w:t>
      </w:r>
      <w:r w:rsidR="00C8047C" w:rsidRPr="00C82285">
        <w:rPr>
          <w:rFonts w:ascii="Times New Roman" w:hAnsi="Times New Roman"/>
          <w:b/>
          <w:i/>
          <w:sz w:val="24"/>
          <w:szCs w:val="24"/>
        </w:rPr>
        <w:t>ABS</w:t>
      </w:r>
      <w:r w:rsidR="00C8047C" w:rsidRPr="00AB4984">
        <w:rPr>
          <w:rFonts w:ascii="Times New Roman" w:hAnsi="Times New Roman"/>
          <w:sz w:val="24"/>
          <w:szCs w:val="24"/>
        </w:rPr>
        <w:t xml:space="preserve"> and the 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>RBA</w:t>
      </w:r>
      <w:r w:rsidR="00A15459" w:rsidRPr="00C77882">
        <w:rPr>
          <w:rFonts w:ascii="Times New Roman" w:hAnsi="Times New Roman"/>
          <w:sz w:val="24"/>
          <w:szCs w:val="24"/>
        </w:rPr>
        <w:t>.</w:t>
      </w:r>
      <w:r w:rsidR="00A15459">
        <w:rPr>
          <w:rFonts w:ascii="Times New Roman" w:hAnsi="Times New Roman"/>
          <w:b/>
          <w:i/>
          <w:sz w:val="24"/>
          <w:szCs w:val="24"/>
        </w:rPr>
        <w:t xml:space="preserve">  </w:t>
      </w:r>
      <w:r w:rsidR="00A15459" w:rsidRPr="00AB4984">
        <w:rPr>
          <w:rFonts w:ascii="Times New Roman" w:hAnsi="Times New Roman"/>
          <w:sz w:val="24"/>
          <w:szCs w:val="24"/>
        </w:rPr>
        <w:t xml:space="preserve">Items on </w:t>
      </w:r>
      <w:r w:rsidR="00A15459" w:rsidRPr="00C82285">
        <w:rPr>
          <w:rFonts w:ascii="Times New Roman" w:hAnsi="Times New Roman"/>
          <w:sz w:val="24"/>
          <w:szCs w:val="24"/>
        </w:rPr>
        <w:t>ARF 720.7</w:t>
      </w:r>
      <w:r w:rsidR="00A15459" w:rsidRPr="00AB4984">
        <w:rPr>
          <w:rFonts w:ascii="Times New Roman" w:hAnsi="Times New Roman"/>
          <w:sz w:val="24"/>
          <w:szCs w:val="24"/>
        </w:rPr>
        <w:t xml:space="preserve"> are required for various purposes, including the compilation of Australia’s National Accounts and the calculation of the monetary and credit aggregates. </w:t>
      </w:r>
      <w:r w:rsidR="00A15459">
        <w:rPr>
          <w:rFonts w:ascii="Times New Roman" w:hAnsi="Times New Roman"/>
          <w:sz w:val="24"/>
          <w:szCs w:val="24"/>
        </w:rPr>
        <w:t>Information reported in ARF 720.7</w:t>
      </w:r>
      <w:r w:rsidR="00A15459" w:rsidRPr="00AB4984">
        <w:rPr>
          <w:rFonts w:ascii="Times New Roman" w:hAnsi="Times New Roman"/>
          <w:sz w:val="24"/>
          <w:szCs w:val="24"/>
        </w:rPr>
        <w:t xml:space="preserve"> </w:t>
      </w:r>
      <w:r w:rsidR="00C8047C" w:rsidRPr="00AB4984">
        <w:rPr>
          <w:rFonts w:ascii="Times New Roman" w:hAnsi="Times New Roman"/>
          <w:sz w:val="24"/>
          <w:szCs w:val="24"/>
        </w:rPr>
        <w:t>may</w:t>
      </w:r>
      <w:r w:rsidR="00A15459">
        <w:rPr>
          <w:rFonts w:ascii="Times New Roman" w:hAnsi="Times New Roman"/>
          <w:sz w:val="24"/>
          <w:szCs w:val="24"/>
        </w:rPr>
        <w:t xml:space="preserve"> also</w:t>
      </w:r>
      <w:r w:rsidR="00C8047C" w:rsidRPr="00AB4984">
        <w:rPr>
          <w:rFonts w:ascii="Times New Roman" w:hAnsi="Times New Roman"/>
          <w:sz w:val="24"/>
          <w:szCs w:val="24"/>
        </w:rPr>
        <w:t xml:space="preserve"> be used by </w:t>
      </w:r>
      <w:r w:rsidR="00C8047C" w:rsidRPr="0051387C">
        <w:rPr>
          <w:rFonts w:ascii="Times New Roman" w:hAnsi="Times New Roman"/>
          <w:b/>
          <w:i/>
          <w:sz w:val="24"/>
          <w:szCs w:val="24"/>
        </w:rPr>
        <w:t>APRA</w:t>
      </w:r>
      <w:r w:rsidR="00C8047C" w:rsidRPr="00AB4984">
        <w:rPr>
          <w:rFonts w:ascii="Times New Roman" w:hAnsi="Times New Roman"/>
          <w:sz w:val="24"/>
          <w:szCs w:val="24"/>
        </w:rPr>
        <w:t xml:space="preserve"> for prudential and publication purposes. </w:t>
      </w:r>
    </w:p>
    <w:p w:rsidR="00135C27" w:rsidRPr="002A736D" w:rsidRDefault="00135C27" w:rsidP="002A736D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2A736D">
        <w:rPr>
          <w:rFonts w:ascii="Arial" w:hAnsi="Arial" w:cs="Arial"/>
          <w:b/>
          <w:sz w:val="24"/>
          <w:szCs w:val="32"/>
        </w:rPr>
        <w:t xml:space="preserve">Reporting level </w:t>
      </w:r>
    </w:p>
    <w:p w:rsidR="004072D6" w:rsidRPr="00F73102" w:rsidRDefault="00C8047C" w:rsidP="002A736D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C82285">
        <w:rPr>
          <w:rFonts w:ascii="Times New Roman" w:hAnsi="Times New Roman"/>
          <w:sz w:val="24"/>
          <w:szCs w:val="24"/>
        </w:rPr>
        <w:t>A</w:t>
      </w:r>
      <w:r w:rsidR="009E4BEE" w:rsidRPr="00C82285">
        <w:rPr>
          <w:rFonts w:ascii="Times New Roman" w:hAnsi="Times New Roman"/>
          <w:sz w:val="24"/>
          <w:szCs w:val="24"/>
        </w:rPr>
        <w:t xml:space="preserve">RF </w:t>
      </w:r>
      <w:r w:rsidRPr="00C82285">
        <w:rPr>
          <w:rFonts w:ascii="Times New Roman" w:hAnsi="Times New Roman"/>
          <w:sz w:val="24"/>
          <w:szCs w:val="24"/>
        </w:rPr>
        <w:t>720.7</w:t>
      </w:r>
      <w:r w:rsidR="009E4BEE" w:rsidRPr="00C82285">
        <w:rPr>
          <w:rFonts w:ascii="Times New Roman" w:hAnsi="Times New Roman"/>
          <w:sz w:val="24"/>
          <w:szCs w:val="24"/>
        </w:rPr>
        <w:t xml:space="preserve"> </w:t>
      </w:r>
      <w:r w:rsidR="00135C27" w:rsidRPr="00AB4984">
        <w:rPr>
          <w:rFonts w:ascii="Times New Roman" w:hAnsi="Times New Roman"/>
          <w:sz w:val="24"/>
          <w:szCs w:val="24"/>
        </w:rPr>
        <w:t xml:space="preserve">must be completed for </w:t>
      </w:r>
      <w:r w:rsidR="000C0116" w:rsidRPr="00AB4984">
        <w:rPr>
          <w:rFonts w:ascii="Times New Roman" w:hAnsi="Times New Roman"/>
          <w:sz w:val="24"/>
          <w:szCs w:val="24"/>
        </w:rPr>
        <w:t xml:space="preserve">each </w:t>
      </w:r>
      <w:r w:rsidR="007F4E77">
        <w:rPr>
          <w:rFonts w:ascii="Times New Roman" w:hAnsi="Times New Roman"/>
          <w:b/>
          <w:i/>
          <w:sz w:val="24"/>
          <w:szCs w:val="24"/>
        </w:rPr>
        <w:t>ADI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b/>
          <w:i/>
          <w:sz w:val="24"/>
          <w:szCs w:val="24"/>
        </w:rPr>
        <w:t>RFC</w:t>
      </w:r>
      <w:r w:rsidR="00BE1090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BE1090">
        <w:rPr>
          <w:rFonts w:ascii="Times New Roman" w:hAnsi="Times New Roman"/>
          <w:sz w:val="24"/>
          <w:szCs w:val="24"/>
        </w:rPr>
        <w:t xml:space="preserve">to which this Reporting Standard applies under paragraphs 4 </w:t>
      </w:r>
      <w:r w:rsidR="00E54A8E">
        <w:rPr>
          <w:rFonts w:ascii="Times New Roman" w:hAnsi="Times New Roman"/>
          <w:sz w:val="24"/>
          <w:szCs w:val="24"/>
        </w:rPr>
        <w:t>or</w:t>
      </w:r>
      <w:r w:rsidR="00BE1090">
        <w:rPr>
          <w:rFonts w:ascii="Times New Roman" w:hAnsi="Times New Roman"/>
          <w:sz w:val="24"/>
          <w:szCs w:val="24"/>
        </w:rPr>
        <w:t xml:space="preserve"> 5</w:t>
      </w:r>
      <w:r w:rsidRPr="00E8347F">
        <w:rPr>
          <w:rFonts w:ascii="Times New Roman" w:hAnsi="Times New Roman"/>
          <w:sz w:val="24"/>
          <w:szCs w:val="24"/>
        </w:rPr>
        <w:t xml:space="preserve">.  </w:t>
      </w:r>
    </w:p>
    <w:p w:rsidR="00B42206" w:rsidRPr="002A736D" w:rsidRDefault="00B42206" w:rsidP="002A736D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2A736D">
        <w:rPr>
          <w:rFonts w:ascii="Arial" w:hAnsi="Arial" w:cs="Arial"/>
          <w:b/>
          <w:sz w:val="24"/>
          <w:szCs w:val="32"/>
        </w:rPr>
        <w:lastRenderedPageBreak/>
        <w:t xml:space="preserve">Reporting basis and </w:t>
      </w:r>
      <w:r w:rsidR="000952DD" w:rsidRPr="002A736D">
        <w:rPr>
          <w:rFonts w:ascii="Arial" w:hAnsi="Arial" w:cs="Arial"/>
          <w:b/>
          <w:sz w:val="24"/>
          <w:szCs w:val="32"/>
        </w:rPr>
        <w:t>unit of measurement</w:t>
      </w:r>
    </w:p>
    <w:p w:rsidR="00C04603" w:rsidRDefault="00C04603" w:rsidP="002A736D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These instructions specify the reporting basis and unit of measurement that applies to each item.  </w:t>
      </w:r>
    </w:p>
    <w:p w:rsidR="00FC65B3" w:rsidRDefault="00FC65B3" w:rsidP="002A736D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Items on </w:t>
      </w:r>
      <w:r w:rsidRPr="002A767A">
        <w:rPr>
          <w:rFonts w:ascii="Times New Roman" w:hAnsi="Times New Roman"/>
          <w:sz w:val="24"/>
          <w:szCs w:val="24"/>
        </w:rPr>
        <w:t>ARF 720.7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must be reported as at the end of the </w:t>
      </w:r>
      <w:r w:rsidRPr="00C82285">
        <w:rPr>
          <w:rFonts w:ascii="Times New Roman" w:hAnsi="Times New Roman"/>
          <w:b/>
          <w:i/>
          <w:sz w:val="24"/>
          <w:szCs w:val="24"/>
        </w:rPr>
        <w:t>reporting period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BE1090" w:rsidRDefault="00FC65B3" w:rsidP="002A73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1B33A2">
        <w:rPr>
          <w:rFonts w:ascii="Times New Roman" w:hAnsi="Times New Roman"/>
          <w:sz w:val="24"/>
          <w:szCs w:val="24"/>
        </w:rPr>
        <w:t xml:space="preserve">For reporting purposes, unless specified otherwise, </w:t>
      </w:r>
      <w:r w:rsidR="00273035">
        <w:rPr>
          <w:rFonts w:ascii="Times New Roman" w:hAnsi="Times New Roman"/>
          <w:sz w:val="24"/>
          <w:szCs w:val="24"/>
        </w:rPr>
        <w:t xml:space="preserve">enter </w:t>
      </w:r>
      <w:r w:rsidRPr="001B33A2">
        <w:rPr>
          <w:rFonts w:ascii="Times New Roman" w:hAnsi="Times New Roman"/>
          <w:sz w:val="24"/>
          <w:szCs w:val="24"/>
        </w:rPr>
        <w:t xml:space="preserve">data as a positive number. </w:t>
      </w:r>
    </w:p>
    <w:p w:rsidR="003152D4" w:rsidRPr="002A736D" w:rsidRDefault="003152D4" w:rsidP="002A736D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2A736D">
        <w:rPr>
          <w:rFonts w:ascii="Arial" w:hAnsi="Arial" w:cs="Arial"/>
          <w:b/>
          <w:sz w:val="24"/>
          <w:szCs w:val="32"/>
        </w:rPr>
        <w:t xml:space="preserve">Counterparties </w:t>
      </w:r>
    </w:p>
    <w:p w:rsidR="00BE1090" w:rsidRPr="007F4E77" w:rsidRDefault="00BE1090" w:rsidP="002A736D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Include </w:t>
      </w:r>
      <w:r w:rsidRPr="003152D4">
        <w:rPr>
          <w:rFonts w:ascii="Times New Roman" w:hAnsi="Times New Roman"/>
          <w:b/>
          <w:i/>
          <w:sz w:val="24"/>
          <w:szCs w:val="24"/>
        </w:rPr>
        <w:t>bills of exchange</w:t>
      </w:r>
      <w:r w:rsidRPr="007F4E77">
        <w:rPr>
          <w:rFonts w:ascii="Times New Roman" w:hAnsi="Times New Roman"/>
          <w:sz w:val="24"/>
          <w:szCs w:val="24"/>
        </w:rPr>
        <w:t xml:space="preserve"> issued by </w:t>
      </w:r>
      <w:r w:rsidRPr="003152D4">
        <w:rPr>
          <w:rFonts w:ascii="Times New Roman" w:hAnsi="Times New Roman"/>
          <w:b/>
          <w:i/>
          <w:sz w:val="24"/>
          <w:szCs w:val="24"/>
        </w:rPr>
        <w:t>related parties</w:t>
      </w:r>
      <w:r w:rsidRPr="007F4E77">
        <w:rPr>
          <w:rFonts w:ascii="Times New Roman" w:hAnsi="Times New Roman"/>
          <w:sz w:val="24"/>
          <w:szCs w:val="24"/>
        </w:rPr>
        <w:t xml:space="preserve"> and </w:t>
      </w:r>
      <w:r w:rsidRPr="003152D4">
        <w:rPr>
          <w:rFonts w:ascii="Times New Roman" w:hAnsi="Times New Roman"/>
          <w:b/>
          <w:i/>
          <w:sz w:val="24"/>
          <w:szCs w:val="24"/>
        </w:rPr>
        <w:t>non-related parties</w:t>
      </w:r>
      <w:r w:rsidRPr="007F4E77">
        <w:rPr>
          <w:rFonts w:ascii="Times New Roman" w:hAnsi="Times New Roman"/>
          <w:sz w:val="24"/>
          <w:szCs w:val="24"/>
        </w:rPr>
        <w:t xml:space="preserve">.  Note that this treatment differs from </w:t>
      </w:r>
      <w:r w:rsidR="00F73102">
        <w:rPr>
          <w:rFonts w:ascii="Times New Roman" w:hAnsi="Times New Roman"/>
          <w:i/>
          <w:sz w:val="24"/>
          <w:szCs w:val="24"/>
        </w:rPr>
        <w:t xml:space="preserve">Reporting Form </w:t>
      </w:r>
      <w:r w:rsidR="00F73102" w:rsidRPr="007B555A">
        <w:rPr>
          <w:rFonts w:ascii="Times New Roman" w:hAnsi="Times New Roman"/>
          <w:i/>
          <w:sz w:val="24"/>
          <w:szCs w:val="24"/>
        </w:rPr>
        <w:t>ARF 720.0</w:t>
      </w:r>
      <w:r w:rsidR="00F73102">
        <w:rPr>
          <w:rFonts w:ascii="Times New Roman" w:hAnsi="Times New Roman"/>
          <w:i/>
          <w:sz w:val="24"/>
          <w:szCs w:val="24"/>
        </w:rPr>
        <w:t>A</w:t>
      </w:r>
      <w:r w:rsidR="00F73102" w:rsidRPr="007F4E77">
        <w:rPr>
          <w:rFonts w:ascii="Times New Roman" w:hAnsi="Times New Roman"/>
          <w:sz w:val="24"/>
          <w:szCs w:val="24"/>
        </w:rPr>
        <w:t xml:space="preserve"> </w:t>
      </w:r>
      <w:r w:rsidR="00F73102" w:rsidRPr="0051387C">
        <w:rPr>
          <w:rFonts w:ascii="Times New Roman" w:hAnsi="Times New Roman"/>
          <w:i/>
          <w:sz w:val="24"/>
          <w:szCs w:val="24"/>
        </w:rPr>
        <w:t>ABS/RBA</w:t>
      </w:r>
      <w:r w:rsidR="00F73102">
        <w:rPr>
          <w:rFonts w:ascii="Times New Roman" w:hAnsi="Times New Roman"/>
          <w:sz w:val="24"/>
          <w:szCs w:val="24"/>
        </w:rPr>
        <w:t xml:space="preserve"> </w:t>
      </w:r>
      <w:r w:rsidR="00F73102">
        <w:rPr>
          <w:rFonts w:ascii="Times New Roman" w:hAnsi="Times New Roman"/>
          <w:i/>
          <w:sz w:val="24"/>
          <w:szCs w:val="24"/>
        </w:rPr>
        <w:t>Statement of Financial Position (</w:t>
      </w:r>
      <w:r w:rsidR="002A006C">
        <w:rPr>
          <w:rFonts w:ascii="Times New Roman" w:hAnsi="Times New Roman"/>
          <w:i/>
          <w:sz w:val="24"/>
          <w:szCs w:val="24"/>
        </w:rPr>
        <w:t>Standard</w:t>
      </w:r>
      <w:r w:rsidR="00F73102">
        <w:rPr>
          <w:rFonts w:ascii="Times New Roman" w:hAnsi="Times New Roman"/>
          <w:i/>
          <w:sz w:val="24"/>
          <w:szCs w:val="24"/>
        </w:rPr>
        <w:t xml:space="preserve">) </w:t>
      </w:r>
      <w:r w:rsidR="00F73102">
        <w:rPr>
          <w:rFonts w:ascii="Times New Roman" w:hAnsi="Times New Roman"/>
          <w:sz w:val="24"/>
          <w:szCs w:val="24"/>
        </w:rPr>
        <w:t xml:space="preserve">(ARF 720.0A) </w:t>
      </w:r>
      <w:r w:rsidRPr="007F4E77">
        <w:rPr>
          <w:rFonts w:ascii="Times New Roman" w:hAnsi="Times New Roman"/>
          <w:sz w:val="24"/>
          <w:szCs w:val="24"/>
        </w:rPr>
        <w:t xml:space="preserve">where </w:t>
      </w:r>
      <w:r w:rsidRPr="003152D4">
        <w:rPr>
          <w:rFonts w:ascii="Times New Roman" w:hAnsi="Times New Roman"/>
          <w:b/>
          <w:i/>
          <w:sz w:val="24"/>
          <w:szCs w:val="24"/>
        </w:rPr>
        <w:t>bills of exchange</w:t>
      </w:r>
      <w:r w:rsidRPr="007F4E77">
        <w:rPr>
          <w:rFonts w:ascii="Times New Roman" w:hAnsi="Times New Roman"/>
          <w:sz w:val="24"/>
          <w:szCs w:val="24"/>
        </w:rPr>
        <w:t xml:space="preserve"> issued by </w:t>
      </w:r>
      <w:r w:rsidRPr="003152D4">
        <w:rPr>
          <w:rFonts w:ascii="Times New Roman" w:hAnsi="Times New Roman"/>
          <w:b/>
          <w:i/>
          <w:sz w:val="24"/>
          <w:szCs w:val="24"/>
        </w:rPr>
        <w:t>related parties</w:t>
      </w:r>
      <w:r w:rsidRPr="007F4E77">
        <w:rPr>
          <w:rFonts w:ascii="Times New Roman" w:hAnsi="Times New Roman"/>
          <w:sz w:val="24"/>
          <w:szCs w:val="24"/>
        </w:rPr>
        <w:t xml:space="preserve"> are reported separately. </w:t>
      </w:r>
    </w:p>
    <w:p w:rsidR="003152D4" w:rsidRPr="007F4E77" w:rsidRDefault="003152D4" w:rsidP="002A736D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Data for </w:t>
      </w:r>
      <w:r w:rsidRPr="003152D4">
        <w:rPr>
          <w:rFonts w:ascii="Times New Roman" w:hAnsi="Times New Roman"/>
          <w:b/>
          <w:i/>
          <w:sz w:val="24"/>
          <w:szCs w:val="24"/>
        </w:rPr>
        <w:t>resident</w:t>
      </w:r>
      <w:r w:rsidRPr="007F4E77">
        <w:rPr>
          <w:rFonts w:ascii="Times New Roman" w:hAnsi="Times New Roman"/>
          <w:sz w:val="24"/>
          <w:szCs w:val="24"/>
        </w:rPr>
        <w:t xml:space="preserve"> and </w:t>
      </w:r>
      <w:r w:rsidRPr="003152D4">
        <w:rPr>
          <w:rFonts w:ascii="Times New Roman" w:hAnsi="Times New Roman"/>
          <w:b/>
          <w:i/>
          <w:sz w:val="24"/>
          <w:szCs w:val="24"/>
        </w:rPr>
        <w:t>non-resident</w:t>
      </w:r>
      <w:r w:rsidRPr="007F4E77">
        <w:rPr>
          <w:rFonts w:ascii="Times New Roman" w:hAnsi="Times New Roman"/>
          <w:sz w:val="24"/>
          <w:szCs w:val="24"/>
        </w:rPr>
        <w:t xml:space="preserve"> drawers are collected separately. Note that this treatment differs from </w:t>
      </w:r>
      <w:r w:rsidR="00F73102" w:rsidRPr="00C82285">
        <w:rPr>
          <w:rFonts w:ascii="Times New Roman" w:hAnsi="Times New Roman"/>
          <w:sz w:val="24"/>
          <w:szCs w:val="24"/>
        </w:rPr>
        <w:t>ARF 720.0</w:t>
      </w:r>
      <w:r w:rsidR="00F73102">
        <w:rPr>
          <w:rFonts w:ascii="Times New Roman" w:hAnsi="Times New Roman"/>
          <w:sz w:val="24"/>
          <w:szCs w:val="24"/>
        </w:rPr>
        <w:t>A</w:t>
      </w:r>
      <w:r w:rsidR="00F73102" w:rsidRPr="007F4E77"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sz w:val="24"/>
          <w:szCs w:val="24"/>
        </w:rPr>
        <w:t xml:space="preserve">where </w:t>
      </w:r>
      <w:r w:rsidR="00BE1090">
        <w:rPr>
          <w:rFonts w:ascii="Times New Roman" w:hAnsi="Times New Roman"/>
          <w:b/>
          <w:i/>
          <w:sz w:val="24"/>
          <w:szCs w:val="24"/>
        </w:rPr>
        <w:t>bills of exchange</w:t>
      </w:r>
      <w:r w:rsidRPr="007F4E77">
        <w:rPr>
          <w:rFonts w:ascii="Times New Roman" w:hAnsi="Times New Roman"/>
          <w:sz w:val="24"/>
          <w:szCs w:val="24"/>
        </w:rPr>
        <w:t xml:space="preserve"> issued by </w:t>
      </w:r>
      <w:r w:rsidRPr="003152D4">
        <w:rPr>
          <w:rFonts w:ascii="Times New Roman" w:hAnsi="Times New Roman"/>
          <w:b/>
          <w:i/>
          <w:sz w:val="24"/>
          <w:szCs w:val="24"/>
        </w:rPr>
        <w:t>non-residents</w:t>
      </w:r>
      <w:r w:rsidRPr="007F4E77">
        <w:rPr>
          <w:rFonts w:ascii="Times New Roman" w:hAnsi="Times New Roman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 xml:space="preserve">re not separately identified.  </w:t>
      </w:r>
    </w:p>
    <w:p w:rsidR="003152D4" w:rsidRPr="002A736D" w:rsidRDefault="003152D4" w:rsidP="002A736D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2A736D">
        <w:rPr>
          <w:rFonts w:ascii="Arial" w:hAnsi="Arial" w:cs="Arial"/>
          <w:b/>
          <w:sz w:val="24"/>
          <w:szCs w:val="32"/>
        </w:rPr>
        <w:t xml:space="preserve">Bills of Exchange </w:t>
      </w:r>
    </w:p>
    <w:p w:rsidR="003152D4" w:rsidRPr="007F4E77" w:rsidRDefault="003152D4" w:rsidP="002A736D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Include all </w:t>
      </w:r>
      <w:r w:rsidRPr="003152D4">
        <w:rPr>
          <w:rFonts w:ascii="Times New Roman" w:hAnsi="Times New Roman"/>
          <w:b/>
          <w:i/>
          <w:sz w:val="24"/>
          <w:szCs w:val="24"/>
        </w:rPr>
        <w:t>bills of exchange</w:t>
      </w:r>
      <w:r w:rsidRPr="007B555A"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sz w:val="24"/>
          <w:szCs w:val="24"/>
        </w:rPr>
        <w:t xml:space="preserve">that have been </w:t>
      </w:r>
      <w:r w:rsidRPr="003152D4">
        <w:rPr>
          <w:rFonts w:ascii="Times New Roman" w:hAnsi="Times New Roman"/>
          <w:b/>
          <w:i/>
          <w:sz w:val="24"/>
          <w:szCs w:val="24"/>
        </w:rPr>
        <w:t>accepted</w:t>
      </w:r>
      <w:r w:rsidRPr="007B555A"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sz w:val="24"/>
          <w:szCs w:val="24"/>
        </w:rPr>
        <w:t xml:space="preserve">regardless of whether or not the </w:t>
      </w:r>
      <w:r w:rsidRPr="003152D4">
        <w:rPr>
          <w:rFonts w:ascii="Times New Roman" w:hAnsi="Times New Roman"/>
          <w:b/>
          <w:i/>
          <w:sz w:val="24"/>
          <w:szCs w:val="24"/>
        </w:rPr>
        <w:t>bills of exchange</w:t>
      </w:r>
      <w:r w:rsidRPr="007B555A"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sz w:val="24"/>
          <w:szCs w:val="24"/>
        </w:rPr>
        <w:t>are held by the</w:t>
      </w:r>
      <w:r w:rsidRPr="007B555A">
        <w:rPr>
          <w:rFonts w:ascii="Times New Roman" w:hAnsi="Times New Roman"/>
          <w:sz w:val="24"/>
          <w:szCs w:val="24"/>
        </w:rPr>
        <w:t xml:space="preserve"> </w:t>
      </w:r>
      <w:r w:rsidRPr="003152D4">
        <w:rPr>
          <w:rFonts w:ascii="Times New Roman" w:hAnsi="Times New Roman"/>
          <w:b/>
          <w:i/>
          <w:sz w:val="24"/>
          <w:szCs w:val="24"/>
        </w:rPr>
        <w:t>ADI</w:t>
      </w:r>
      <w:r w:rsidRPr="007B555A"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sz w:val="24"/>
          <w:szCs w:val="24"/>
        </w:rPr>
        <w:t xml:space="preserve">or </w:t>
      </w:r>
      <w:r w:rsidRPr="003152D4">
        <w:rPr>
          <w:rFonts w:ascii="Times New Roman" w:hAnsi="Times New Roman"/>
          <w:b/>
          <w:i/>
          <w:sz w:val="24"/>
          <w:szCs w:val="24"/>
        </w:rPr>
        <w:t>RFC</w:t>
      </w:r>
      <w:r w:rsidRPr="007B555A">
        <w:rPr>
          <w:rFonts w:ascii="Times New Roman" w:hAnsi="Times New Roman"/>
          <w:sz w:val="24"/>
          <w:szCs w:val="24"/>
        </w:rPr>
        <w:t xml:space="preserve">.  </w:t>
      </w:r>
    </w:p>
    <w:p w:rsidR="003152D4" w:rsidRPr="00162324" w:rsidRDefault="003152D4" w:rsidP="002A736D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lastRenderedPageBreak/>
        <w:t xml:space="preserve">Only include </w:t>
      </w:r>
      <w:r w:rsidRPr="003152D4">
        <w:rPr>
          <w:rFonts w:ascii="Times New Roman" w:hAnsi="Times New Roman"/>
          <w:b/>
          <w:i/>
          <w:sz w:val="24"/>
          <w:szCs w:val="24"/>
        </w:rPr>
        <w:t>endorsed</w:t>
      </w:r>
      <w:r w:rsidRPr="007F4E77">
        <w:rPr>
          <w:rFonts w:ascii="Times New Roman" w:hAnsi="Times New Roman"/>
          <w:sz w:val="24"/>
          <w:szCs w:val="24"/>
        </w:rPr>
        <w:t xml:space="preserve"> </w:t>
      </w:r>
      <w:r w:rsidRPr="007B555A">
        <w:rPr>
          <w:rFonts w:ascii="Times New Roman" w:hAnsi="Times New Roman"/>
          <w:b/>
          <w:i/>
          <w:sz w:val="24"/>
          <w:szCs w:val="24"/>
        </w:rPr>
        <w:t>bills of exchange</w:t>
      </w:r>
      <w:r w:rsidRPr="007F4E77">
        <w:rPr>
          <w:rFonts w:ascii="Times New Roman" w:hAnsi="Times New Roman"/>
          <w:sz w:val="24"/>
          <w:szCs w:val="24"/>
        </w:rPr>
        <w:t xml:space="preserve"> where the </w:t>
      </w:r>
      <w:r w:rsidRPr="003152D4">
        <w:rPr>
          <w:rFonts w:ascii="Times New Roman" w:hAnsi="Times New Roman"/>
          <w:b/>
          <w:i/>
          <w:sz w:val="24"/>
          <w:szCs w:val="24"/>
        </w:rPr>
        <w:t>ADI</w:t>
      </w:r>
      <w:r w:rsidRPr="007F4E77">
        <w:rPr>
          <w:rFonts w:ascii="Times New Roman" w:hAnsi="Times New Roman"/>
          <w:sz w:val="24"/>
          <w:szCs w:val="24"/>
        </w:rPr>
        <w:t xml:space="preserve"> </w:t>
      </w:r>
      <w:r w:rsidR="00BE1090">
        <w:rPr>
          <w:rFonts w:ascii="Times New Roman" w:hAnsi="Times New Roman"/>
          <w:sz w:val="24"/>
          <w:szCs w:val="24"/>
        </w:rPr>
        <w:t xml:space="preserve">or </w:t>
      </w:r>
      <w:r w:rsidR="00BE1090">
        <w:rPr>
          <w:rFonts w:ascii="Times New Roman" w:hAnsi="Times New Roman"/>
          <w:b/>
          <w:i/>
          <w:sz w:val="24"/>
          <w:szCs w:val="24"/>
        </w:rPr>
        <w:t xml:space="preserve">RFC </w:t>
      </w:r>
      <w:r w:rsidRPr="007F4E77">
        <w:rPr>
          <w:rFonts w:ascii="Times New Roman" w:hAnsi="Times New Roman"/>
          <w:sz w:val="24"/>
          <w:szCs w:val="24"/>
        </w:rPr>
        <w:t xml:space="preserve">is the first endorser of a </w:t>
      </w:r>
      <w:r w:rsidRPr="003152D4">
        <w:rPr>
          <w:rFonts w:ascii="Times New Roman" w:hAnsi="Times New Roman"/>
          <w:b/>
          <w:i/>
          <w:sz w:val="24"/>
          <w:szCs w:val="24"/>
        </w:rPr>
        <w:t>bill of exchange</w:t>
      </w:r>
      <w:r w:rsidR="00BE1090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BE1090">
        <w:rPr>
          <w:rFonts w:ascii="Times New Roman" w:hAnsi="Times New Roman"/>
          <w:sz w:val="24"/>
          <w:szCs w:val="24"/>
        </w:rPr>
        <w:t xml:space="preserve">that has not been accepted by any </w:t>
      </w:r>
      <w:r w:rsidR="00BE1090">
        <w:rPr>
          <w:rFonts w:ascii="Times New Roman" w:hAnsi="Times New Roman"/>
          <w:b/>
          <w:i/>
          <w:sz w:val="24"/>
          <w:szCs w:val="24"/>
        </w:rPr>
        <w:t xml:space="preserve">ADI </w:t>
      </w:r>
      <w:r w:rsidR="00BE1090">
        <w:rPr>
          <w:rFonts w:ascii="Times New Roman" w:hAnsi="Times New Roman"/>
          <w:sz w:val="24"/>
          <w:szCs w:val="24"/>
        </w:rPr>
        <w:t xml:space="preserve">or </w:t>
      </w:r>
      <w:r w:rsidR="00BE1090">
        <w:rPr>
          <w:rFonts w:ascii="Times New Roman" w:hAnsi="Times New Roman"/>
          <w:b/>
          <w:i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>.</w:t>
      </w:r>
    </w:p>
    <w:p w:rsidR="003152D4" w:rsidRPr="002A736D" w:rsidRDefault="003152D4" w:rsidP="002A736D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2A736D">
        <w:rPr>
          <w:rFonts w:ascii="Arial" w:hAnsi="Arial" w:cs="Arial"/>
          <w:b/>
          <w:sz w:val="24"/>
          <w:szCs w:val="32"/>
        </w:rPr>
        <w:t>Values</w:t>
      </w:r>
    </w:p>
    <w:p w:rsidR="003D2EFF" w:rsidRPr="00AB4984" w:rsidRDefault="009A1CE4" w:rsidP="002A736D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c</w:t>
      </w:r>
      <w:r w:rsidR="00450A8F" w:rsidRPr="00450A8F">
        <w:rPr>
          <w:rFonts w:ascii="Times New Roman" w:hAnsi="Times New Roman"/>
          <w:sz w:val="24"/>
          <w:szCs w:val="24"/>
        </w:rPr>
        <w:t xml:space="preserve">losing balances at </w:t>
      </w:r>
      <w:r w:rsidR="00450A8F" w:rsidRPr="001974BA">
        <w:rPr>
          <w:rFonts w:ascii="Times New Roman" w:hAnsi="Times New Roman"/>
          <w:b/>
          <w:i/>
          <w:sz w:val="24"/>
          <w:szCs w:val="24"/>
        </w:rPr>
        <w:t xml:space="preserve">market price </w:t>
      </w:r>
      <w:r w:rsidR="00450A8F" w:rsidRPr="00450A8F">
        <w:rPr>
          <w:rFonts w:ascii="Times New Roman" w:hAnsi="Times New Roman"/>
          <w:sz w:val="24"/>
          <w:szCs w:val="24"/>
        </w:rPr>
        <w:t xml:space="preserve">effective at the reference date. Where denominated in foreign currency, </w:t>
      </w:r>
      <w:r>
        <w:rPr>
          <w:rFonts w:ascii="Times New Roman" w:hAnsi="Times New Roman"/>
          <w:sz w:val="24"/>
          <w:szCs w:val="24"/>
        </w:rPr>
        <w:t xml:space="preserve">convert </w:t>
      </w:r>
      <w:r w:rsidR="00450A8F" w:rsidRPr="001974BA">
        <w:rPr>
          <w:rFonts w:ascii="Times New Roman" w:hAnsi="Times New Roman"/>
          <w:b/>
          <w:i/>
          <w:sz w:val="24"/>
          <w:szCs w:val="24"/>
        </w:rPr>
        <w:t xml:space="preserve">market values </w:t>
      </w:r>
      <w:r w:rsidR="00450A8F" w:rsidRPr="00450A8F">
        <w:rPr>
          <w:rFonts w:ascii="Times New Roman" w:hAnsi="Times New Roman"/>
          <w:sz w:val="24"/>
          <w:szCs w:val="24"/>
        </w:rPr>
        <w:t xml:space="preserve">in foreign currency to AUD at the spot rate effective as at the reference date. </w:t>
      </w:r>
      <w:r w:rsidR="003D2EFF" w:rsidRPr="00450A8F">
        <w:rPr>
          <w:rFonts w:ascii="Times New Roman" w:hAnsi="Times New Roman"/>
          <w:sz w:val="24"/>
          <w:szCs w:val="24"/>
        </w:rPr>
        <w:t>Th</w:t>
      </w:r>
      <w:r w:rsidR="00450A8F" w:rsidRPr="00450A8F">
        <w:rPr>
          <w:rFonts w:ascii="Times New Roman" w:hAnsi="Times New Roman"/>
          <w:sz w:val="24"/>
          <w:szCs w:val="24"/>
        </w:rPr>
        <w:t>is</w:t>
      </w:r>
      <w:r w:rsidR="003D2EFF" w:rsidRPr="00450A8F">
        <w:rPr>
          <w:rFonts w:ascii="Times New Roman" w:hAnsi="Times New Roman"/>
          <w:sz w:val="24"/>
          <w:szCs w:val="24"/>
        </w:rPr>
        <w:t xml:space="preserve"> valuation </w:t>
      </w:r>
      <w:r w:rsidR="00450A8F" w:rsidRPr="00450A8F">
        <w:rPr>
          <w:rFonts w:ascii="Times New Roman" w:hAnsi="Times New Roman"/>
          <w:sz w:val="24"/>
          <w:szCs w:val="24"/>
        </w:rPr>
        <w:t xml:space="preserve">approach </w:t>
      </w:r>
      <w:r w:rsidR="003D2EFF" w:rsidRPr="00450A8F">
        <w:rPr>
          <w:rFonts w:ascii="Times New Roman" w:hAnsi="Times New Roman"/>
          <w:sz w:val="24"/>
          <w:szCs w:val="24"/>
        </w:rPr>
        <w:t xml:space="preserve">for </w:t>
      </w:r>
      <w:r w:rsidR="003D2EFF" w:rsidRPr="007F4E77">
        <w:rPr>
          <w:rFonts w:ascii="Times New Roman" w:hAnsi="Times New Roman"/>
          <w:b/>
          <w:i/>
          <w:sz w:val="24"/>
          <w:szCs w:val="24"/>
        </w:rPr>
        <w:t xml:space="preserve">bills of exchange </w:t>
      </w:r>
      <w:r w:rsidR="002840E9">
        <w:rPr>
          <w:rFonts w:ascii="Times New Roman" w:hAnsi="Times New Roman"/>
          <w:sz w:val="24"/>
          <w:szCs w:val="24"/>
        </w:rPr>
        <w:t>on the ARF 720.7</w:t>
      </w:r>
      <w:r w:rsidR="003D2EFF" w:rsidRPr="00450A8F">
        <w:rPr>
          <w:rFonts w:ascii="Times New Roman" w:hAnsi="Times New Roman"/>
          <w:sz w:val="24"/>
          <w:szCs w:val="24"/>
        </w:rPr>
        <w:t xml:space="preserve"> may differ from the </w:t>
      </w:r>
      <w:r w:rsidR="000C7924">
        <w:rPr>
          <w:rFonts w:ascii="Times New Roman" w:hAnsi="Times New Roman"/>
          <w:sz w:val="24"/>
          <w:szCs w:val="24"/>
        </w:rPr>
        <w:t>Australian A</w:t>
      </w:r>
      <w:r w:rsidR="003D2EFF" w:rsidRPr="00450A8F">
        <w:rPr>
          <w:rFonts w:ascii="Times New Roman" w:hAnsi="Times New Roman"/>
          <w:sz w:val="24"/>
          <w:szCs w:val="24"/>
        </w:rPr>
        <w:t xml:space="preserve">ccounting </w:t>
      </w:r>
      <w:r w:rsidR="000C7924">
        <w:rPr>
          <w:rFonts w:ascii="Times New Roman" w:hAnsi="Times New Roman"/>
          <w:sz w:val="24"/>
          <w:szCs w:val="24"/>
        </w:rPr>
        <w:t>S</w:t>
      </w:r>
      <w:r w:rsidR="003D2EFF" w:rsidRPr="00450A8F">
        <w:rPr>
          <w:rFonts w:ascii="Times New Roman" w:hAnsi="Times New Roman"/>
          <w:sz w:val="24"/>
          <w:szCs w:val="24"/>
        </w:rPr>
        <w:t xml:space="preserve">tandards and </w:t>
      </w:r>
      <w:r w:rsidR="00766866" w:rsidRPr="00450A8F">
        <w:rPr>
          <w:rFonts w:ascii="Times New Roman" w:hAnsi="Times New Roman"/>
          <w:sz w:val="24"/>
          <w:szCs w:val="24"/>
        </w:rPr>
        <w:t>ARF</w:t>
      </w:r>
      <w:r w:rsidR="00F73102">
        <w:rPr>
          <w:rFonts w:ascii="Times New Roman" w:hAnsi="Times New Roman"/>
          <w:sz w:val="24"/>
          <w:szCs w:val="24"/>
        </w:rPr>
        <w:t> </w:t>
      </w:r>
      <w:r w:rsidR="00766866" w:rsidRPr="00450A8F">
        <w:rPr>
          <w:rFonts w:ascii="Times New Roman" w:hAnsi="Times New Roman"/>
          <w:sz w:val="24"/>
          <w:szCs w:val="24"/>
        </w:rPr>
        <w:t>720.0</w:t>
      </w:r>
      <w:r w:rsidR="008E38AD">
        <w:rPr>
          <w:rFonts w:ascii="Times New Roman" w:hAnsi="Times New Roman"/>
          <w:sz w:val="24"/>
          <w:szCs w:val="24"/>
        </w:rPr>
        <w:t>A</w:t>
      </w:r>
      <w:r w:rsidR="003D2EFF" w:rsidRPr="00450A8F">
        <w:rPr>
          <w:rFonts w:ascii="Times New Roman" w:hAnsi="Times New Roman"/>
          <w:sz w:val="24"/>
          <w:szCs w:val="24"/>
        </w:rPr>
        <w:t xml:space="preserve"> depending on the classification of these </w:t>
      </w:r>
      <w:r w:rsidR="00BE1090">
        <w:rPr>
          <w:rFonts w:ascii="Times New Roman" w:hAnsi="Times New Roman"/>
          <w:sz w:val="24"/>
          <w:szCs w:val="24"/>
        </w:rPr>
        <w:t>items</w:t>
      </w:r>
      <w:r w:rsidR="00BE1090" w:rsidRPr="00450A8F">
        <w:rPr>
          <w:rFonts w:ascii="Times New Roman" w:hAnsi="Times New Roman"/>
          <w:sz w:val="24"/>
          <w:szCs w:val="24"/>
        </w:rPr>
        <w:t xml:space="preserve"> </w:t>
      </w:r>
      <w:r w:rsidR="003D2EFF" w:rsidRPr="00450A8F">
        <w:rPr>
          <w:rFonts w:ascii="Times New Roman" w:hAnsi="Times New Roman"/>
          <w:sz w:val="24"/>
          <w:szCs w:val="24"/>
        </w:rPr>
        <w:t xml:space="preserve">in your statutory accounts.  </w:t>
      </w:r>
    </w:p>
    <w:p w:rsidR="00B42206" w:rsidRPr="00AB4984" w:rsidRDefault="009A1CE4" w:rsidP="002A736D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i</w:t>
      </w:r>
      <w:r w:rsidR="00B42206" w:rsidRPr="00AB4984">
        <w:rPr>
          <w:rFonts w:ascii="Times New Roman" w:hAnsi="Times New Roman"/>
          <w:sz w:val="24"/>
          <w:szCs w:val="24"/>
        </w:rPr>
        <w:t xml:space="preserve">tems on </w:t>
      </w:r>
      <w:r w:rsidR="00033032" w:rsidRPr="00C82285">
        <w:rPr>
          <w:rFonts w:ascii="Times New Roman" w:hAnsi="Times New Roman"/>
          <w:sz w:val="24"/>
          <w:szCs w:val="24"/>
        </w:rPr>
        <w:t>AR</w:t>
      </w:r>
      <w:r w:rsidR="009E4BEE" w:rsidRPr="00C82285">
        <w:rPr>
          <w:rFonts w:ascii="Times New Roman" w:hAnsi="Times New Roman"/>
          <w:sz w:val="24"/>
          <w:szCs w:val="24"/>
        </w:rPr>
        <w:t xml:space="preserve">F </w:t>
      </w:r>
      <w:r w:rsidR="00033032" w:rsidRPr="00C82285">
        <w:rPr>
          <w:rFonts w:ascii="Times New Roman" w:hAnsi="Times New Roman"/>
          <w:sz w:val="24"/>
          <w:szCs w:val="24"/>
        </w:rPr>
        <w:t>720.7</w:t>
      </w:r>
      <w:r w:rsidR="00647986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B42206" w:rsidRPr="00AB4984">
        <w:rPr>
          <w:rFonts w:ascii="Times New Roman" w:hAnsi="Times New Roman"/>
          <w:sz w:val="24"/>
          <w:szCs w:val="24"/>
        </w:rPr>
        <w:t xml:space="preserve">as </w:t>
      </w:r>
      <w:r w:rsidR="00FB69AA">
        <w:rPr>
          <w:rFonts w:ascii="Times New Roman" w:hAnsi="Times New Roman"/>
          <w:sz w:val="24"/>
          <w:szCs w:val="24"/>
        </w:rPr>
        <w:t>whole dollars</w:t>
      </w:r>
      <w:r w:rsidR="00B42206" w:rsidRPr="00AB4984">
        <w:rPr>
          <w:rFonts w:ascii="Times New Roman" w:hAnsi="Times New Roman"/>
          <w:sz w:val="24"/>
          <w:szCs w:val="24"/>
        </w:rPr>
        <w:t xml:space="preserve">. </w:t>
      </w:r>
    </w:p>
    <w:p w:rsidR="00FC65B3" w:rsidRPr="002A736D" w:rsidRDefault="00FC65B3" w:rsidP="002A736D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2A736D">
        <w:rPr>
          <w:rFonts w:ascii="Arial" w:hAnsi="Arial" w:cs="Arial"/>
          <w:b/>
          <w:sz w:val="24"/>
          <w:szCs w:val="32"/>
        </w:rPr>
        <w:t>Standard Business Reporting (SBR)</w:t>
      </w:r>
    </w:p>
    <w:p w:rsidR="00FC65B3" w:rsidRPr="00C82285" w:rsidRDefault="00FC65B3" w:rsidP="002A736D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 items on ARF 720.7 with accounting type of </w:t>
      </w:r>
      <w:r w:rsidR="00467438">
        <w:rPr>
          <w:rFonts w:ascii="Times New Roman" w:hAnsi="Times New Roman"/>
          <w:sz w:val="24"/>
          <w:szCs w:val="24"/>
        </w:rPr>
        <w:t>credit</w:t>
      </w:r>
      <w:r>
        <w:rPr>
          <w:rFonts w:ascii="Times New Roman" w:hAnsi="Times New Roman"/>
          <w:sz w:val="24"/>
          <w:szCs w:val="24"/>
        </w:rPr>
        <w:t xml:space="preserve"> (</w:t>
      </w:r>
      <w:r w:rsidR="00467438">
        <w:rPr>
          <w:rFonts w:ascii="Times New Roman" w:hAnsi="Times New Roman"/>
          <w:sz w:val="24"/>
          <w:szCs w:val="24"/>
        </w:rPr>
        <w:t>liabilities</w:t>
      </w:r>
      <w:r>
        <w:rPr>
          <w:rFonts w:ascii="Times New Roman" w:hAnsi="Times New Roman"/>
          <w:sz w:val="24"/>
          <w:szCs w:val="24"/>
        </w:rPr>
        <w:t xml:space="preserve">).  The accounting type (i.e. credit or debit) applies to all monetary items and represents the natural accounting treatment of the item collected.  </w:t>
      </w:r>
    </w:p>
    <w:p w:rsidR="00401EFB" w:rsidRPr="00AB4984" w:rsidRDefault="00B95FF0" w:rsidP="002A736D">
      <w:pPr>
        <w:keepNext/>
        <w:spacing w:after="240"/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AB4984">
        <w:rPr>
          <w:rFonts w:ascii="Arial" w:hAnsi="Arial" w:cs="Arial"/>
          <w:b/>
          <w:sz w:val="32"/>
          <w:szCs w:val="32"/>
        </w:rPr>
        <w:t>Specific instructions</w:t>
      </w:r>
    </w:p>
    <w:p w:rsidR="00827675" w:rsidRPr="00162324" w:rsidRDefault="000952DD" w:rsidP="002A736D">
      <w:pPr>
        <w:spacing w:after="240"/>
        <w:jc w:val="both"/>
        <w:outlineLvl w:val="0"/>
        <w:rPr>
          <w:rFonts w:ascii="Times New Roman" w:hAnsi="Times New Roman"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Terms highlighted in </w:t>
      </w:r>
      <w:r w:rsidRPr="00AB4984">
        <w:rPr>
          <w:rFonts w:ascii="Times New Roman" w:hAnsi="Times New Roman"/>
          <w:b/>
          <w:i/>
          <w:sz w:val="24"/>
          <w:szCs w:val="24"/>
        </w:rPr>
        <w:t>bold italics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="00FD7DC7">
        <w:rPr>
          <w:rFonts w:ascii="Times New Roman" w:hAnsi="Times New Roman"/>
          <w:sz w:val="24"/>
          <w:szCs w:val="24"/>
        </w:rPr>
        <w:t>are defined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="00033032" w:rsidRPr="00AB4984">
        <w:rPr>
          <w:rFonts w:ascii="Times New Roman" w:hAnsi="Times New Roman"/>
          <w:sz w:val="24"/>
          <w:szCs w:val="24"/>
        </w:rPr>
        <w:t xml:space="preserve">in ARS </w:t>
      </w:r>
      <w:r w:rsidR="00C04603">
        <w:rPr>
          <w:rFonts w:ascii="Times New Roman" w:hAnsi="Times New Roman"/>
          <w:sz w:val="24"/>
          <w:szCs w:val="24"/>
        </w:rPr>
        <w:t>7</w:t>
      </w:r>
      <w:r w:rsidR="00033032" w:rsidRPr="00AB4984">
        <w:rPr>
          <w:rFonts w:ascii="Times New Roman" w:hAnsi="Times New Roman"/>
          <w:sz w:val="24"/>
          <w:szCs w:val="24"/>
        </w:rPr>
        <w:t>01</w:t>
      </w:r>
      <w:r w:rsidR="002A46F0">
        <w:rPr>
          <w:rFonts w:ascii="Times New Roman" w:hAnsi="Times New Roman"/>
          <w:sz w:val="24"/>
          <w:szCs w:val="24"/>
        </w:rPr>
        <w:t>.0</w:t>
      </w:r>
      <w:r w:rsidRPr="00AB4984">
        <w:rPr>
          <w:rFonts w:ascii="Times New Roman" w:hAnsi="Times New Roman"/>
          <w:sz w:val="24"/>
          <w:szCs w:val="24"/>
        </w:rPr>
        <w:t>.</w:t>
      </w:r>
    </w:p>
    <w:p w:rsidR="000952DD" w:rsidRPr="00AB4984" w:rsidRDefault="00827675" w:rsidP="002A736D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lastRenderedPageBreak/>
        <w:t>All derived fields in the form are</w:t>
      </w:r>
      <w:r w:rsidR="0088018D" w:rsidRPr="00AB4984">
        <w:rPr>
          <w:rFonts w:ascii="Times New Roman" w:hAnsi="Times New Roman"/>
          <w:sz w:val="24"/>
          <w:szCs w:val="24"/>
        </w:rPr>
        <w:t xml:space="preserve"> shaded in grey </w:t>
      </w:r>
      <w:r w:rsidR="008E38AD">
        <w:rPr>
          <w:rFonts w:ascii="Times New Roman" w:hAnsi="Times New Roman"/>
          <w:sz w:val="24"/>
          <w:szCs w:val="24"/>
        </w:rPr>
        <w:t xml:space="preserve">and </w:t>
      </w:r>
      <w:r w:rsidR="0088018D" w:rsidRPr="00AB4984">
        <w:rPr>
          <w:rFonts w:ascii="Times New Roman" w:hAnsi="Times New Roman"/>
          <w:sz w:val="24"/>
          <w:szCs w:val="24"/>
        </w:rPr>
        <w:t xml:space="preserve">are </w:t>
      </w:r>
      <w:r w:rsidRPr="00AB4984">
        <w:rPr>
          <w:rFonts w:ascii="Times New Roman" w:hAnsi="Times New Roman"/>
          <w:sz w:val="24"/>
          <w:szCs w:val="24"/>
        </w:rPr>
        <w:t xml:space="preserve">explained </w:t>
      </w:r>
      <w:r w:rsidR="00BB17AE" w:rsidRPr="00AB4984">
        <w:rPr>
          <w:rFonts w:ascii="Times New Roman" w:hAnsi="Times New Roman"/>
          <w:sz w:val="24"/>
          <w:szCs w:val="24"/>
        </w:rPr>
        <w:t xml:space="preserve">in </w:t>
      </w:r>
      <w:r w:rsidRPr="00AB4984">
        <w:rPr>
          <w:rFonts w:ascii="Times New Roman" w:hAnsi="Times New Roman"/>
          <w:sz w:val="24"/>
          <w:szCs w:val="24"/>
        </w:rPr>
        <w:t xml:space="preserve">words </w:t>
      </w:r>
      <w:r w:rsidR="00BB17AE" w:rsidRPr="00AB4984">
        <w:rPr>
          <w:rFonts w:ascii="Times New Roman" w:hAnsi="Times New Roman"/>
          <w:sz w:val="24"/>
          <w:szCs w:val="24"/>
        </w:rPr>
        <w:t>as a</w:t>
      </w:r>
      <w:r w:rsidRPr="00AB4984">
        <w:rPr>
          <w:rFonts w:ascii="Times New Roman" w:hAnsi="Times New Roman"/>
          <w:sz w:val="24"/>
          <w:szCs w:val="24"/>
        </w:rPr>
        <w:t xml:space="preserve"> mathematical</w:t>
      </w:r>
      <w:r w:rsidR="00BB17AE" w:rsidRPr="00AB4984">
        <w:rPr>
          <w:rFonts w:ascii="Times New Roman" w:hAnsi="Times New Roman"/>
          <w:sz w:val="24"/>
          <w:szCs w:val="24"/>
        </w:rPr>
        <w:t xml:space="preserve"> expression </w:t>
      </w:r>
      <w:r w:rsidRPr="00AB4984">
        <w:rPr>
          <w:rFonts w:ascii="Times New Roman" w:hAnsi="Times New Roman"/>
          <w:sz w:val="24"/>
          <w:szCs w:val="24"/>
        </w:rPr>
        <w:t>in the</w:t>
      </w:r>
      <w:r w:rsidR="00BB17AE" w:rsidRPr="00AB4984">
        <w:rPr>
          <w:rFonts w:ascii="Times New Roman" w:hAnsi="Times New Roman"/>
          <w:sz w:val="24"/>
          <w:szCs w:val="24"/>
        </w:rPr>
        <w:t>se</w:t>
      </w:r>
      <w:r w:rsidRPr="00AB4984">
        <w:rPr>
          <w:rFonts w:ascii="Times New Roman" w:hAnsi="Times New Roman"/>
          <w:sz w:val="24"/>
          <w:szCs w:val="24"/>
        </w:rPr>
        <w:t xml:space="preserve"> instructions.</w:t>
      </w:r>
      <w:r w:rsidR="000952DD" w:rsidRPr="00AB4984">
        <w:rPr>
          <w:rFonts w:ascii="Times New Roman" w:hAnsi="Times New Roman"/>
          <w:sz w:val="24"/>
          <w:szCs w:val="24"/>
        </w:rPr>
        <w:t xml:space="preserve">  </w:t>
      </w:r>
    </w:p>
    <w:p w:rsidR="003D2EFF" w:rsidRPr="00AB4984" w:rsidRDefault="003D2EFF" w:rsidP="002A736D">
      <w:pPr>
        <w:spacing w:after="240"/>
        <w:jc w:val="both"/>
        <w:rPr>
          <w:rFonts w:ascii="Times New Roman" w:hAnsi="Times New Roman"/>
          <w:i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Examples included under ‘Include’ and ‘Exclude’ </w:t>
      </w:r>
      <w:r w:rsidR="006730BB">
        <w:rPr>
          <w:rFonts w:ascii="Times New Roman" w:hAnsi="Times New Roman"/>
          <w:sz w:val="24"/>
          <w:szCs w:val="24"/>
        </w:rPr>
        <w:t>must</w:t>
      </w:r>
      <w:r w:rsidR="006730BB" w:rsidRPr="007F4E77"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sz w:val="24"/>
          <w:szCs w:val="24"/>
        </w:rPr>
        <w:t xml:space="preserve">not be taken as an exhaustive list of items to be included or excluded.  </w:t>
      </w:r>
      <w:r w:rsidRPr="00AB4984">
        <w:rPr>
          <w:rFonts w:ascii="Times New Roman" w:hAnsi="Times New Roman"/>
          <w:i/>
          <w:sz w:val="24"/>
          <w:szCs w:val="24"/>
        </w:rPr>
        <w:t xml:space="preserve">  </w:t>
      </w:r>
    </w:p>
    <w:p w:rsidR="006806F8" w:rsidRPr="00AB4984" w:rsidRDefault="00BE1090" w:rsidP="002A736D">
      <w:pPr>
        <w:numPr>
          <w:ilvl w:val="0"/>
          <w:numId w:val="20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b</w:t>
      </w:r>
      <w:r w:rsidR="00033032" w:rsidRPr="00AB4984">
        <w:rPr>
          <w:rFonts w:ascii="Arial" w:hAnsi="Arial" w:cs="Arial"/>
          <w:b/>
          <w:sz w:val="24"/>
          <w:szCs w:val="24"/>
        </w:rPr>
        <w:t>ill acceptances and endorsements</w:t>
      </w:r>
    </w:p>
    <w:p w:rsidR="00766866" w:rsidRPr="002A736D" w:rsidRDefault="007D3260" w:rsidP="002A736D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 w:rsidR="00B95FF0" w:rsidRPr="00AB4984">
        <w:rPr>
          <w:rFonts w:ascii="Times New Roman" w:hAnsi="Times New Roman"/>
          <w:sz w:val="24"/>
          <w:szCs w:val="24"/>
        </w:rPr>
        <w:t>tem 1 collect</w:t>
      </w:r>
      <w:r w:rsidRPr="00AB4984">
        <w:rPr>
          <w:rFonts w:ascii="Times New Roman" w:hAnsi="Times New Roman"/>
          <w:sz w:val="24"/>
          <w:szCs w:val="24"/>
        </w:rPr>
        <w:t>s</w:t>
      </w:r>
      <w:r w:rsidR="00B95FF0" w:rsidRPr="00AB4984">
        <w:rPr>
          <w:rFonts w:ascii="Times New Roman" w:hAnsi="Times New Roman"/>
          <w:sz w:val="24"/>
          <w:szCs w:val="24"/>
        </w:rPr>
        <w:t xml:space="preserve"> information </w:t>
      </w:r>
      <w:r w:rsidR="00033032" w:rsidRPr="00AB4984">
        <w:rPr>
          <w:rFonts w:ascii="Times New Roman" w:hAnsi="Times New Roman"/>
          <w:sz w:val="24"/>
          <w:szCs w:val="24"/>
        </w:rPr>
        <w:t xml:space="preserve">on the value of </w:t>
      </w:r>
      <w:r w:rsidR="00033032" w:rsidRPr="00AB4984">
        <w:rPr>
          <w:rFonts w:ascii="Times New Roman" w:hAnsi="Times New Roman"/>
          <w:b/>
          <w:i/>
          <w:sz w:val="24"/>
          <w:szCs w:val="24"/>
        </w:rPr>
        <w:t xml:space="preserve">bills of exchange </w:t>
      </w:r>
      <w:r w:rsidR="00033032" w:rsidRPr="00AB4984">
        <w:rPr>
          <w:rFonts w:ascii="Times New Roman" w:hAnsi="Times New Roman"/>
          <w:sz w:val="24"/>
          <w:szCs w:val="24"/>
        </w:rPr>
        <w:t xml:space="preserve">that have been </w:t>
      </w:r>
      <w:r w:rsidR="00033032" w:rsidRPr="00AB4984">
        <w:rPr>
          <w:rFonts w:ascii="Times New Roman" w:hAnsi="Times New Roman"/>
          <w:b/>
          <w:i/>
          <w:sz w:val="24"/>
          <w:szCs w:val="24"/>
        </w:rPr>
        <w:t xml:space="preserve">accepted </w:t>
      </w:r>
      <w:r w:rsidR="00033032" w:rsidRPr="00AB4984">
        <w:rPr>
          <w:rFonts w:ascii="Times New Roman" w:hAnsi="Times New Roman"/>
          <w:sz w:val="24"/>
          <w:szCs w:val="24"/>
        </w:rPr>
        <w:t xml:space="preserve">and/or </w:t>
      </w:r>
      <w:r w:rsidR="00033032" w:rsidRPr="00AB4984">
        <w:rPr>
          <w:rFonts w:ascii="Times New Roman" w:hAnsi="Times New Roman"/>
          <w:b/>
          <w:i/>
          <w:sz w:val="24"/>
          <w:szCs w:val="24"/>
        </w:rPr>
        <w:t xml:space="preserve">endorsed </w:t>
      </w:r>
      <w:r w:rsidR="00033032" w:rsidRPr="00AB4984">
        <w:rPr>
          <w:rFonts w:ascii="Times New Roman" w:hAnsi="Times New Roman"/>
          <w:sz w:val="24"/>
          <w:szCs w:val="24"/>
        </w:rPr>
        <w:t xml:space="preserve">by the </w:t>
      </w:r>
      <w:r w:rsidR="00033032" w:rsidRPr="00AB4984">
        <w:rPr>
          <w:rFonts w:ascii="Times New Roman" w:hAnsi="Times New Roman"/>
          <w:b/>
          <w:i/>
          <w:sz w:val="24"/>
          <w:szCs w:val="24"/>
        </w:rPr>
        <w:t xml:space="preserve">ADI </w:t>
      </w:r>
      <w:r w:rsidR="00033032" w:rsidRPr="00AB4984">
        <w:rPr>
          <w:rFonts w:ascii="Times New Roman" w:hAnsi="Times New Roman"/>
          <w:sz w:val="24"/>
          <w:szCs w:val="24"/>
        </w:rPr>
        <w:t xml:space="preserve">or </w:t>
      </w:r>
      <w:r w:rsidR="00033032" w:rsidRPr="00AB4984">
        <w:rPr>
          <w:rFonts w:ascii="Times New Roman" w:hAnsi="Times New Roman"/>
          <w:b/>
          <w:i/>
          <w:sz w:val="24"/>
          <w:szCs w:val="24"/>
        </w:rPr>
        <w:t>RFC</w:t>
      </w:r>
      <w:r w:rsidR="00033032" w:rsidRPr="00AB4984">
        <w:rPr>
          <w:rFonts w:ascii="Times New Roman" w:hAnsi="Times New Roman"/>
          <w:sz w:val="24"/>
          <w:szCs w:val="24"/>
        </w:rPr>
        <w:t>,</w:t>
      </w:r>
      <w:r w:rsidR="00033032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033032" w:rsidRPr="00AB4984">
        <w:rPr>
          <w:rFonts w:ascii="Times New Roman" w:hAnsi="Times New Roman"/>
          <w:sz w:val="24"/>
          <w:szCs w:val="24"/>
        </w:rPr>
        <w:t>by the counterparty of the drawer</w:t>
      </w:r>
      <w:r w:rsidR="00033032" w:rsidRPr="0051387C">
        <w:rPr>
          <w:rFonts w:ascii="Times New Roman" w:hAnsi="Times New Roman"/>
          <w:sz w:val="24"/>
          <w:szCs w:val="24"/>
        </w:rPr>
        <w:t>.</w:t>
      </w:r>
      <w:r w:rsidR="00033032" w:rsidRPr="00AB4984">
        <w:rPr>
          <w:rFonts w:ascii="Times New Roman" w:hAnsi="Times New Roman"/>
          <w:b/>
          <w:i/>
          <w:sz w:val="24"/>
          <w:szCs w:val="24"/>
        </w:rPr>
        <w:t xml:space="preserve"> 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AB4984" w:rsidRPr="00AB4984" w:rsidTr="00766866">
        <w:tc>
          <w:tcPr>
            <w:tcW w:w="1701" w:type="dxa"/>
            <w:shd w:val="clear" w:color="auto" w:fill="auto"/>
          </w:tcPr>
          <w:p w:rsidR="00766866" w:rsidRPr="00AB4984" w:rsidRDefault="00766866" w:rsidP="002A736D">
            <w:p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:rsidR="00766866" w:rsidRPr="002A736D" w:rsidRDefault="00766866" w:rsidP="00B2282D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C8228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value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of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bills of exchange 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that have been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accepted 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by the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or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RFC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766866" w:rsidRPr="00AB4984" w:rsidTr="00E603BA"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766866" w:rsidRPr="00AB4984" w:rsidRDefault="00766866" w:rsidP="002A736D">
            <w:p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tcBorders>
              <w:bottom w:val="single" w:sz="4" w:space="0" w:color="auto"/>
            </w:tcBorders>
            <w:shd w:val="clear" w:color="auto" w:fill="auto"/>
          </w:tcPr>
          <w:p w:rsidR="00766866" w:rsidRPr="00AB4984" w:rsidRDefault="00766866" w:rsidP="00B2282D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C8228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value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of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bills of exchange 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that have been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endorsed 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by the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</w:t>
            </w:r>
            <w:r w:rsidR="002A736D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</w:tbl>
    <w:p w:rsidR="000952DD" w:rsidRPr="00AB4984" w:rsidRDefault="000952DD" w:rsidP="002A736D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AB4984" w:rsidRPr="00AB4984" w:rsidTr="00AB4984">
        <w:tc>
          <w:tcPr>
            <w:tcW w:w="1701" w:type="dxa"/>
            <w:shd w:val="clear" w:color="auto" w:fill="auto"/>
          </w:tcPr>
          <w:p w:rsidR="00EC46FD" w:rsidRPr="00AB4984" w:rsidRDefault="00EC46FD" w:rsidP="002A736D">
            <w:pPr>
              <w:numPr>
                <w:ilvl w:val="0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3F38D8" w:rsidRPr="00AB4984" w:rsidRDefault="003F38D8" w:rsidP="00B2282D">
            <w:pPr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51387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:rsidR="003F38D8" w:rsidRPr="00AB4984" w:rsidRDefault="003F38D8" w:rsidP="00B2282D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4984">
              <w:rPr>
                <w:rFonts w:ascii="Times New Roman" w:hAnsi="Times New Roman"/>
                <w:sz w:val="24"/>
                <w:szCs w:val="24"/>
              </w:rPr>
              <w:t>Item 1</w:t>
            </w:r>
            <w:r w:rsidR="00BD4126">
              <w:rPr>
                <w:rFonts w:ascii="Times New Roman" w:hAnsi="Times New Roman"/>
                <w:sz w:val="24"/>
                <w:szCs w:val="24"/>
              </w:rPr>
              <w:t>, column 1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total 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bills of exchange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>in item 1</w:t>
            </w:r>
            <w:r w:rsidR="00BD4126">
              <w:rPr>
                <w:rFonts w:ascii="Times New Roman" w:hAnsi="Times New Roman"/>
                <w:sz w:val="24"/>
                <w:szCs w:val="24"/>
              </w:rPr>
              <w:t>, column 1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 the sum of</w:t>
            </w:r>
            <w:r w:rsidR="00E50C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368A8">
              <w:rPr>
                <w:rFonts w:ascii="Times New Roman" w:hAnsi="Times New Roman"/>
                <w:sz w:val="24"/>
                <w:szCs w:val="24"/>
              </w:rPr>
              <w:t>item 1.2</w:t>
            </w:r>
            <w:r w:rsidR="00E50CFD">
              <w:rPr>
                <w:rFonts w:ascii="Times New Roman" w:hAnsi="Times New Roman"/>
                <w:sz w:val="24"/>
                <w:szCs w:val="24"/>
              </w:rPr>
              <w:t xml:space="preserve"> and</w:t>
            </w:r>
            <w:r w:rsidR="005368A8"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8E38AD">
              <w:rPr>
                <w:rFonts w:ascii="Times New Roman" w:hAnsi="Times New Roman"/>
                <w:sz w:val="24"/>
                <w:szCs w:val="24"/>
              </w:rPr>
              <w:t> </w:t>
            </w:r>
            <w:r w:rsidR="005368A8">
              <w:rPr>
                <w:rFonts w:ascii="Times New Roman" w:hAnsi="Times New Roman"/>
                <w:sz w:val="24"/>
                <w:szCs w:val="24"/>
              </w:rPr>
              <w:t>1.3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3F38D8" w:rsidRPr="00AB4984" w:rsidRDefault="003F38D8" w:rsidP="002A736D">
            <w:pPr>
              <w:numPr>
                <w:ilvl w:val="1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3F38D8" w:rsidRPr="00AB4984" w:rsidRDefault="006F63FE" w:rsidP="00B2282D">
            <w:pPr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>Of the total reported in it</w:t>
            </w:r>
            <w:r w:rsidR="003F38D8"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em 1, report the value that </w:t>
            </w:r>
            <w:r w:rsidR="005368A8">
              <w:rPr>
                <w:rFonts w:ascii="Times New Roman" w:hAnsi="Times New Roman"/>
                <w:bCs/>
                <w:sz w:val="24"/>
                <w:szCs w:val="24"/>
              </w:rPr>
              <w:t>is</w:t>
            </w:r>
            <w:r w:rsidR="003F38D8"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</w:t>
            </w:r>
            <w:r w:rsidR="003F38D8"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="003F38D8" w:rsidRPr="0051387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3F38D8"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AB4984" w:rsidRPr="00AB4984" w:rsidTr="00B2282D">
        <w:trPr>
          <w:trHeight w:val="70"/>
        </w:trPr>
        <w:tc>
          <w:tcPr>
            <w:tcW w:w="1701" w:type="dxa"/>
            <w:shd w:val="clear" w:color="auto" w:fill="auto"/>
          </w:tcPr>
          <w:p w:rsidR="006F63FE" w:rsidRPr="00AB4984" w:rsidRDefault="006F63FE" w:rsidP="002A736D">
            <w:pPr>
              <w:numPr>
                <w:ilvl w:val="1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6F63FE" w:rsidRPr="00AB4984" w:rsidRDefault="006F63FE" w:rsidP="00B2282D">
            <w:pPr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bills of exchange 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drawn by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51387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:rsidR="006F63FE" w:rsidRPr="00AB4984" w:rsidRDefault="006F63FE" w:rsidP="00B2282D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Item 1.2 is a derived item.  Report the value of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bills of exchange 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>in item</w:t>
            </w:r>
            <w:r w:rsidR="00794080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>1.2 as the sum of item</w:t>
            </w:r>
            <w:r w:rsidR="00787FFA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1.2.1</w:t>
            </w:r>
            <w:r w:rsidR="00787FFA">
              <w:rPr>
                <w:rFonts w:ascii="Times New Roman" w:hAnsi="Times New Roman"/>
                <w:bCs/>
                <w:sz w:val="24"/>
                <w:szCs w:val="24"/>
              </w:rPr>
              <w:t xml:space="preserve"> to 1.2.</w:t>
            </w:r>
            <w:r w:rsidR="00A2750B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="00787FFA">
              <w:rPr>
                <w:rFonts w:ascii="Times New Roman" w:hAnsi="Times New Roman"/>
                <w:bCs/>
                <w:sz w:val="24"/>
                <w:szCs w:val="24"/>
              </w:rPr>
              <w:t xml:space="preserve"> inclusive</w:t>
            </w:r>
            <w:r w:rsidR="00A2750B">
              <w:rPr>
                <w:rFonts w:ascii="Times New Roman" w:hAnsi="Times New Roman"/>
                <w:bCs/>
                <w:sz w:val="24"/>
                <w:szCs w:val="24"/>
              </w:rPr>
              <w:t>, item 1.2.4 and item 1.2.5</w:t>
            </w:r>
            <w:r w:rsidR="00787FFA" w:rsidRPr="006730B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.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6F63FE" w:rsidRPr="00AB4984" w:rsidRDefault="006F63FE" w:rsidP="002A736D">
            <w:pPr>
              <w:numPr>
                <w:ilvl w:val="2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6F63FE" w:rsidRPr="00AB4984" w:rsidRDefault="006F63FE" w:rsidP="00B2282D">
            <w:pPr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households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6F63FE" w:rsidRPr="00AB4984" w:rsidRDefault="006F63FE" w:rsidP="002A736D">
            <w:pPr>
              <w:numPr>
                <w:ilvl w:val="2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6F63FE" w:rsidRPr="00AB4984" w:rsidRDefault="006F63FE" w:rsidP="00B2282D">
            <w:pPr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community service organisations</w:t>
            </w:r>
            <w:r w:rsidRPr="0051387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6F63FE" w:rsidRPr="00AB4984" w:rsidRDefault="006F63FE" w:rsidP="002A736D">
            <w:pPr>
              <w:numPr>
                <w:ilvl w:val="2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6F63FE" w:rsidRPr="00AB4984" w:rsidRDefault="006F63FE" w:rsidP="00B2282D">
            <w:pPr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bills of exchange 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drawn by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non-financial businesses</w:t>
            </w:r>
            <w:r w:rsidRPr="0051387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6F63FE" w:rsidRPr="00AB4984" w:rsidRDefault="006F63FE" w:rsidP="00B2282D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Item 1.2.3 is a derived item.  Report the value of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bills of exchange 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>in item</w:t>
            </w:r>
            <w:r w:rsidR="00794080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>1.2.3 as the sum of</w:t>
            </w:r>
            <w:r w:rsidR="00787FF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>item</w:t>
            </w:r>
            <w:r w:rsidR="00787FFA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1.2.3.1</w:t>
            </w:r>
            <w:r w:rsidR="00787FFA">
              <w:rPr>
                <w:rFonts w:ascii="Times New Roman" w:hAnsi="Times New Roman"/>
                <w:bCs/>
                <w:sz w:val="24"/>
                <w:szCs w:val="24"/>
              </w:rPr>
              <w:t xml:space="preserve"> to 1.2.3.5 inclusive.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146C91" w:rsidRPr="00AB4984" w:rsidRDefault="00146C91" w:rsidP="002A736D">
            <w:pPr>
              <w:numPr>
                <w:ilvl w:val="3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146C91" w:rsidRPr="00AB4984" w:rsidRDefault="00146C91" w:rsidP="00B2282D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private non-financial investment funds</w:t>
            </w:r>
            <w:r w:rsidRPr="0051387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79408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146C91" w:rsidRPr="00AB4984" w:rsidRDefault="00146C91" w:rsidP="002A736D">
            <w:pPr>
              <w:numPr>
                <w:ilvl w:val="3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146C91" w:rsidRPr="00AB4984" w:rsidRDefault="00146C91" w:rsidP="00B2282D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other private non-financial corporations</w:t>
            </w:r>
            <w:r w:rsidRPr="0051387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79408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146C91" w:rsidRPr="00AB4984" w:rsidRDefault="00146C91" w:rsidP="002A736D">
            <w:pPr>
              <w:numPr>
                <w:ilvl w:val="3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146C91" w:rsidRPr="00AB4984" w:rsidRDefault="00146C91" w:rsidP="00B2282D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private unincorporated businesses</w:t>
            </w:r>
            <w:r w:rsidRPr="0051387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146C91" w:rsidRPr="00AB4984" w:rsidRDefault="00146C91" w:rsidP="002A736D">
            <w:pPr>
              <w:numPr>
                <w:ilvl w:val="3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146C91" w:rsidRPr="00AB4984" w:rsidRDefault="00146C91" w:rsidP="00B2282D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79408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state, territory and local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government non-financial corporations</w:t>
            </w:r>
            <w:r w:rsidRPr="0051387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146C91" w:rsidRPr="00AB4984" w:rsidRDefault="00146C91" w:rsidP="002A736D">
            <w:pPr>
              <w:numPr>
                <w:ilvl w:val="3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146C91" w:rsidRPr="00AB4984" w:rsidRDefault="00146C91" w:rsidP="00B2282D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</w:t>
            </w:r>
            <w:r w:rsidR="0079408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Commonwealth Government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non-financial corporations</w:t>
            </w:r>
            <w:r w:rsidRPr="0051387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146C91" w:rsidRPr="00AB4984" w:rsidRDefault="00146C91" w:rsidP="002A736D">
            <w:pPr>
              <w:numPr>
                <w:ilvl w:val="2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146C91" w:rsidRPr="00AB4984" w:rsidRDefault="00146C91" w:rsidP="00B2282D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general government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:rsidR="00146C91" w:rsidRPr="00AB4984" w:rsidRDefault="00146C91" w:rsidP="00B2282D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Item 1.2.4 is a derived item.  Report the value of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bills of exchange 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>in item</w:t>
            </w:r>
            <w:r w:rsidR="008E38AD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>1.2.4 as the sum of item 1.2.4.1</w:t>
            </w:r>
            <w:r w:rsidR="006E7699"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item 1.2.4.2.  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146C91" w:rsidRPr="00AB4984" w:rsidRDefault="00146C91" w:rsidP="002A736D">
            <w:pPr>
              <w:numPr>
                <w:ilvl w:val="3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146C91" w:rsidRPr="00AB4984" w:rsidRDefault="00146C91" w:rsidP="00B2282D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794080"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state, territory and local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general government</w:t>
            </w:r>
            <w:r w:rsidRPr="00E8347F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146C91" w:rsidRPr="00AB4984" w:rsidRDefault="00146C91" w:rsidP="002A736D">
            <w:pPr>
              <w:numPr>
                <w:ilvl w:val="3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146C91" w:rsidRPr="00AB4984" w:rsidRDefault="00146C91" w:rsidP="00B2282D">
            <w:pPr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</w:t>
            </w:r>
            <w:r w:rsidR="00794080"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Commonwealth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general government</w:t>
            </w:r>
            <w:r w:rsidRPr="00E8347F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146C91" w:rsidRPr="00AB4984" w:rsidRDefault="00146C91" w:rsidP="002A736D">
            <w:pPr>
              <w:numPr>
                <w:ilvl w:val="2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146C91" w:rsidRPr="00AB4984" w:rsidRDefault="00146C91" w:rsidP="00B2282D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financial institutions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:rsidR="00AB4984" w:rsidRPr="00AB4984" w:rsidRDefault="00146C91" w:rsidP="00B2282D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Item 1.2.5 is a derived item.  Report the value of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bills of exchange 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>in item</w:t>
            </w:r>
            <w:r w:rsidR="00794080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>1.2.5 as the sum of</w:t>
            </w:r>
            <w:r w:rsidR="00C3584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>item</w:t>
            </w:r>
            <w:r w:rsidR="00C3584E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1.2.5.1</w:t>
            </w:r>
            <w:r w:rsidR="00C3584E">
              <w:rPr>
                <w:rFonts w:ascii="Times New Roman" w:hAnsi="Times New Roman"/>
                <w:bCs/>
                <w:sz w:val="24"/>
                <w:szCs w:val="24"/>
              </w:rPr>
              <w:t xml:space="preserve"> to 1.2.5.1</w:t>
            </w:r>
            <w:r w:rsidR="006E331D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C3584E">
              <w:rPr>
                <w:rFonts w:ascii="Times New Roman" w:hAnsi="Times New Roman"/>
                <w:bCs/>
                <w:sz w:val="24"/>
                <w:szCs w:val="24"/>
              </w:rPr>
              <w:t xml:space="preserve"> inclusive.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AB4984" w:rsidRPr="00AB4984" w:rsidRDefault="00AB4984" w:rsidP="002A736D">
            <w:pPr>
              <w:numPr>
                <w:ilvl w:val="3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AB4984" w:rsidRPr="00AB4984" w:rsidRDefault="00AB4984" w:rsidP="002A006C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2A006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AB4984" w:rsidRPr="00AB4984" w:rsidRDefault="00AB4984" w:rsidP="002A736D">
            <w:pPr>
              <w:numPr>
                <w:ilvl w:val="3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AB4984" w:rsidRPr="00AB4984" w:rsidRDefault="00AB4984" w:rsidP="00B2282D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registered financial corporations</w:t>
            </w:r>
            <w:r w:rsidRPr="0051387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79408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AB4984" w:rsidRPr="00AB4984" w:rsidRDefault="00AB4984" w:rsidP="002A736D">
            <w:pPr>
              <w:numPr>
                <w:ilvl w:val="3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AB4984" w:rsidRPr="00AB4984" w:rsidRDefault="00AB4984" w:rsidP="00B2282D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central borrowing authorities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AB4984" w:rsidRPr="00AB4984" w:rsidRDefault="00AB4984" w:rsidP="002A736D">
            <w:pPr>
              <w:numPr>
                <w:ilvl w:val="3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AB4984" w:rsidRPr="00AB4984" w:rsidRDefault="00AB4984" w:rsidP="00B2282D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life insurance corporations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AB4984" w:rsidRPr="00AB4984" w:rsidRDefault="00AB4984" w:rsidP="002A736D">
            <w:pPr>
              <w:numPr>
                <w:ilvl w:val="3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AB4984" w:rsidRPr="00AB4984" w:rsidRDefault="00AB4984" w:rsidP="00B2282D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other insurance corporations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AB4984" w:rsidRPr="00AB4984" w:rsidRDefault="00AB4984" w:rsidP="002A736D">
            <w:pPr>
              <w:numPr>
                <w:ilvl w:val="3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AB4984" w:rsidRPr="00AB4984" w:rsidRDefault="00AB4984" w:rsidP="00B2282D">
            <w:pPr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self-managed superannuation funds</w:t>
            </w:r>
            <w:r w:rsidRPr="0051387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AB4984" w:rsidRPr="00AB4984" w:rsidRDefault="00AB4984" w:rsidP="002A736D">
            <w:pPr>
              <w:numPr>
                <w:ilvl w:val="3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AB4984" w:rsidRPr="00AB4984" w:rsidRDefault="00AB4984" w:rsidP="00B2282D">
            <w:pPr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other superannuation funds</w:t>
            </w:r>
            <w:r w:rsidRPr="0051387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AB4984" w:rsidRPr="00AB4984" w:rsidRDefault="00AB4984" w:rsidP="002A736D">
            <w:pPr>
              <w:numPr>
                <w:ilvl w:val="3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AB4984" w:rsidRPr="00AB4984" w:rsidRDefault="00AB4984" w:rsidP="00B2282D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financial auxiliaries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AB4984" w:rsidRPr="00AB4984" w:rsidRDefault="00AB4984" w:rsidP="002A736D">
            <w:pPr>
              <w:numPr>
                <w:ilvl w:val="3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AB4984" w:rsidRPr="00AB4984" w:rsidRDefault="00AB4984" w:rsidP="00B2282D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securitisers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AB4984" w:rsidRPr="00AB4984" w:rsidRDefault="00AB4984" w:rsidP="002A736D">
            <w:pPr>
              <w:numPr>
                <w:ilvl w:val="3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AB4984" w:rsidRPr="00AB4984" w:rsidRDefault="00AB4984" w:rsidP="00B2282D">
            <w:pPr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money</w:t>
            </w:r>
            <w:r w:rsidR="008E38A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investment funds</w:t>
            </w:r>
            <w:r w:rsidRPr="0051387C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AB4984" w:rsidRPr="00AB4984" w:rsidRDefault="00AB4984" w:rsidP="002A736D">
            <w:pPr>
              <w:numPr>
                <w:ilvl w:val="3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AB4984" w:rsidRPr="00AB4984" w:rsidRDefault="00AB4984" w:rsidP="00B2282D">
            <w:pPr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non-money</w:t>
            </w:r>
            <w:r w:rsidR="008E38A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financial investment funds</w:t>
            </w:r>
            <w:r w:rsidRPr="0051387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AB4984" w:rsidRPr="00AB4984" w:rsidRDefault="00AB4984" w:rsidP="002A736D">
            <w:pPr>
              <w:numPr>
                <w:ilvl w:val="3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AB4984" w:rsidRPr="00AB4984" w:rsidRDefault="00AB4984" w:rsidP="00B2282D">
            <w:pPr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any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financial institutions n.e.c. </w:t>
            </w:r>
          </w:p>
        </w:tc>
      </w:tr>
      <w:tr w:rsidR="00AB4984" w:rsidRPr="00AB4984" w:rsidTr="00AB4984">
        <w:tc>
          <w:tcPr>
            <w:tcW w:w="1701" w:type="dxa"/>
            <w:shd w:val="clear" w:color="auto" w:fill="auto"/>
          </w:tcPr>
          <w:p w:rsidR="00AB4984" w:rsidRPr="00AB4984" w:rsidRDefault="00AB4984" w:rsidP="002A736D">
            <w:pPr>
              <w:numPr>
                <w:ilvl w:val="1"/>
                <w:numId w:val="22"/>
              </w:numPr>
              <w:spacing w:after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AB4984" w:rsidRPr="00AB4984" w:rsidRDefault="00AB4984" w:rsidP="00B2282D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bills of exchange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 xml:space="preserve"> drawn by </w:t>
            </w:r>
            <w:r w:rsidRPr="00AB49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non-residents</w:t>
            </w:r>
            <w:r w:rsidRPr="00AB498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:rsidR="000952DD" w:rsidRPr="00AB4984" w:rsidRDefault="000952DD" w:rsidP="002A736D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0952DD" w:rsidRPr="00AB4984" w:rsidSect="00A245CD">
      <w:footerReference w:type="default" r:id="rId20"/>
      <w:footnotePr>
        <w:numRestart w:val="eachSect"/>
      </w:footnotePr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87E" w:rsidRDefault="0081287E" w:rsidP="00054C93">
      <w:r>
        <w:separator/>
      </w:r>
    </w:p>
  </w:endnote>
  <w:endnote w:type="continuationSeparator" w:id="0">
    <w:p w:rsidR="0081287E" w:rsidRDefault="0081287E" w:rsidP="0005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EEA" w:rsidRPr="00045B98" w:rsidRDefault="00514EEA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 w:rsidRPr="00C82285">
      <w:rPr>
        <w:rFonts w:ascii="Times New Roman" w:hAnsi="Times New Roman"/>
        <w:sz w:val="24"/>
        <w:szCs w:val="24"/>
        <w:lang w:val="en-AU"/>
      </w:rPr>
      <w:t>A</w:t>
    </w:r>
    <w:r w:rsidRPr="00C82285">
      <w:rPr>
        <w:rFonts w:ascii="Times New Roman" w:hAnsi="Times New Roman"/>
        <w:sz w:val="24"/>
        <w:szCs w:val="24"/>
      </w:rPr>
      <w:t>R</w:t>
    </w:r>
    <w:r w:rsidRPr="00C82285">
      <w:rPr>
        <w:rFonts w:ascii="Times New Roman" w:hAnsi="Times New Roman"/>
        <w:sz w:val="24"/>
        <w:szCs w:val="24"/>
        <w:lang w:val="en-AU"/>
      </w:rPr>
      <w:t>S</w:t>
    </w:r>
    <w:r w:rsidRPr="00C82285">
      <w:rPr>
        <w:rFonts w:ascii="Times New Roman" w:hAnsi="Times New Roman"/>
        <w:sz w:val="24"/>
        <w:szCs w:val="24"/>
      </w:rPr>
      <w:t xml:space="preserve"> </w:t>
    </w:r>
    <w:r w:rsidRPr="00C82285">
      <w:rPr>
        <w:rFonts w:ascii="Times New Roman" w:hAnsi="Times New Roman"/>
        <w:sz w:val="24"/>
        <w:szCs w:val="24"/>
        <w:lang w:val="en-AU"/>
      </w:rPr>
      <w:t>720.7</w:t>
    </w:r>
    <w:r w:rsidRPr="006415F2">
      <w:rPr>
        <w:rFonts w:ascii="Times New Roman" w:hAnsi="Times New Roman"/>
        <w:color w:val="FF0000"/>
        <w:sz w:val="24"/>
        <w:szCs w:val="24"/>
      </w:rPr>
      <w:t xml:space="preserve">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4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883" w:rsidRDefault="00980883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:rsidR="00980883" w:rsidRPr="00045B98" w:rsidRDefault="00C8047C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="00980883"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720.7 </w:t>
    </w:r>
    <w:r w:rsidR="00980883" w:rsidRPr="00F750FC">
      <w:rPr>
        <w:rFonts w:ascii="Times New Roman" w:hAnsi="Times New Roman"/>
        <w:sz w:val="24"/>
        <w:szCs w:val="24"/>
      </w:rPr>
      <w:t xml:space="preserve">- </w:t>
    </w:r>
    <w:r w:rsidR="00980883" w:rsidRPr="00F750FC">
      <w:rPr>
        <w:rFonts w:ascii="Times New Roman" w:hAnsi="Times New Roman"/>
        <w:sz w:val="24"/>
        <w:szCs w:val="24"/>
      </w:rPr>
      <w:fldChar w:fldCharType="begin"/>
    </w:r>
    <w:r w:rsidR="00980883"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="00980883" w:rsidRPr="00F750FC">
      <w:rPr>
        <w:rFonts w:ascii="Times New Roman" w:hAnsi="Times New Roman"/>
        <w:sz w:val="24"/>
        <w:szCs w:val="24"/>
      </w:rPr>
      <w:fldChar w:fldCharType="separate"/>
    </w:r>
    <w:r w:rsidR="00514EEA">
      <w:rPr>
        <w:rFonts w:ascii="Times New Roman" w:hAnsi="Times New Roman"/>
        <w:noProof/>
        <w:sz w:val="24"/>
        <w:szCs w:val="24"/>
      </w:rPr>
      <w:t>2</w:t>
    </w:r>
    <w:r w:rsidR="00980883" w:rsidRPr="00F750FC">
      <w:rPr>
        <w:rFonts w:ascii="Times New Roman" w:hAnsi="Times New Roman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5CD" w:rsidRPr="00045B98" w:rsidRDefault="00A245CD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>720.7 Instruction</w:t>
    </w:r>
    <w:r w:rsidR="002358FB">
      <w:rPr>
        <w:rFonts w:ascii="Times New Roman" w:hAnsi="Times New Roman"/>
        <w:sz w:val="24"/>
        <w:szCs w:val="24"/>
        <w:lang w:val="en-AU"/>
      </w:rPr>
      <w:t>s</w:t>
    </w:r>
    <w:r>
      <w:rPr>
        <w:rFonts w:ascii="Times New Roman" w:hAnsi="Times New Roman"/>
        <w:sz w:val="24"/>
        <w:szCs w:val="24"/>
        <w:lang w:val="en-AU"/>
      </w:rPr>
      <w:t xml:space="preserve">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 w:rsidR="00514EEA">
      <w:rPr>
        <w:rFonts w:ascii="Times New Roman" w:hAnsi="Times New Roman"/>
        <w:noProof/>
        <w:sz w:val="24"/>
        <w:szCs w:val="24"/>
      </w:rPr>
      <w:t>4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87E" w:rsidRDefault="0081287E" w:rsidP="00054C93">
      <w:r>
        <w:separator/>
      </w:r>
    </w:p>
  </w:footnote>
  <w:footnote w:type="continuationSeparator" w:id="0">
    <w:p w:rsidR="0081287E" w:rsidRDefault="0081287E" w:rsidP="00054C93">
      <w:r>
        <w:continuationSeparator/>
      </w:r>
    </w:p>
  </w:footnote>
  <w:footnote w:id="1">
    <w:p w:rsidR="00CD3512" w:rsidRPr="00541C6E" w:rsidRDefault="00CD3512" w:rsidP="00CD3512">
      <w:pPr>
        <w:pStyle w:val="FootnoteText"/>
        <w:rPr>
          <w:lang w:val="en-AU"/>
        </w:rPr>
      </w:pPr>
      <w:r w:rsidRPr="0051387C">
        <w:rPr>
          <w:rStyle w:val="FootnoteReference"/>
          <w:rFonts w:ascii="Times New Roman" w:hAnsi="Times New Roman"/>
        </w:rPr>
        <w:footnoteRef/>
      </w:r>
      <w:r>
        <w:t xml:space="preserve"> </w:t>
      </w:r>
      <w:r w:rsidR="00380116">
        <w:rPr>
          <w:rFonts w:ascii="Times New Roman" w:hAnsi="Times New Roman"/>
          <w:lang w:val="en-AU"/>
        </w:rPr>
        <w:t>To avoid</w:t>
      </w:r>
      <w:r w:rsidRPr="00D65D94">
        <w:rPr>
          <w:rFonts w:ascii="Times New Roman" w:hAnsi="Times New Roman"/>
        </w:rPr>
        <w:t xml:space="preserve"> doubt, if the </w:t>
      </w:r>
      <w:r w:rsidRPr="0051387C">
        <w:rPr>
          <w:rFonts w:ascii="Times New Roman" w:hAnsi="Times New Roman"/>
          <w:b/>
          <w:i/>
        </w:rPr>
        <w:t>due date</w:t>
      </w:r>
      <w:r w:rsidRPr="00D65D94">
        <w:rPr>
          <w:rFonts w:ascii="Times New Roman" w:hAnsi="Times New Roman"/>
        </w:rPr>
        <w:t xml:space="preserve"> for a particular </w:t>
      </w:r>
      <w:r w:rsidRPr="00C82285">
        <w:rPr>
          <w:rFonts w:ascii="Times New Roman" w:hAnsi="Times New Roman"/>
          <w:b/>
          <w:i/>
        </w:rPr>
        <w:t>reporting period</w:t>
      </w:r>
      <w:r w:rsidRPr="00D65D94">
        <w:rPr>
          <w:rFonts w:ascii="Times New Roman" w:hAnsi="Times New Roman"/>
        </w:rPr>
        <w:t xml:space="preserve"> falls on a day other than a usual business day, an </w:t>
      </w:r>
      <w:r w:rsidR="000C2175" w:rsidRPr="00C82285">
        <w:rPr>
          <w:rFonts w:ascii="Times New Roman" w:hAnsi="Times New Roman"/>
          <w:b/>
          <w:i/>
          <w:lang w:val="en-AU"/>
        </w:rPr>
        <w:t>RFC</w:t>
      </w:r>
      <w:r w:rsidR="000C2175">
        <w:rPr>
          <w:rFonts w:ascii="Times New Roman" w:hAnsi="Times New Roman"/>
          <w:lang w:val="en-AU"/>
        </w:rPr>
        <w:t xml:space="preserve"> </w:t>
      </w:r>
      <w:r w:rsidRPr="00D65D94">
        <w:rPr>
          <w:rFonts w:ascii="Times New Roman" w:hAnsi="Times New Roman"/>
        </w:rPr>
        <w:t xml:space="preserve">is nonetheless required to submit the information required no later than the </w:t>
      </w:r>
      <w:r w:rsidRPr="00C82285">
        <w:rPr>
          <w:rFonts w:ascii="Times New Roman" w:hAnsi="Times New Roman"/>
          <w:b/>
          <w:i/>
        </w:rPr>
        <w:t>due</w:t>
      </w:r>
      <w:r w:rsidRPr="00D65D94">
        <w:rPr>
          <w:rFonts w:ascii="Times New Roman" w:hAnsi="Times New Roman"/>
        </w:rPr>
        <w:t xml:space="preserve"> </w:t>
      </w:r>
      <w:r w:rsidRPr="00C82285">
        <w:rPr>
          <w:rFonts w:ascii="Times New Roman" w:hAnsi="Times New Roman"/>
          <w:b/>
          <w:i/>
        </w:rPr>
        <w:t>date</w:t>
      </w:r>
      <w:r w:rsidRPr="00D65D94">
        <w:rPr>
          <w:rFonts w:ascii="Times New Roman" w:hAnsi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883" w:rsidRPr="007F4E77" w:rsidRDefault="00A631DD" w:rsidP="0051387C">
    <w:pPr>
      <w:pStyle w:val="Header"/>
      <w:jc w:val="center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 w:rsidR="00980883" w:rsidRPr="00F750FC">
      <w:rPr>
        <w:rFonts w:ascii="Times New Roman" w:hAnsi="Times New Roman"/>
        <w:sz w:val="28"/>
        <w:szCs w:val="28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EEA" w:rsidRPr="007F4E77" w:rsidRDefault="00514EEA" w:rsidP="0051387C">
    <w:pPr>
      <w:pStyle w:val="Header"/>
      <w:jc w:val="center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 w:rsidRPr="00F750FC"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4"/>
        <w:szCs w:val="24"/>
        <w:lang w:val="en-AU"/>
      </w:rPr>
      <w:t>February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22F0C"/>
    <w:multiLevelType w:val="hybridMultilevel"/>
    <w:tmpl w:val="28709B32"/>
    <w:lvl w:ilvl="0" w:tplc="CBEE0A3E">
      <w:start w:val="1"/>
      <w:numFmt w:val="lowerRoman"/>
      <w:lvlText w:val="(%1)"/>
      <w:lvlJc w:val="left"/>
      <w:pPr>
        <w:ind w:left="12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0" w:hanging="360"/>
      </w:pPr>
    </w:lvl>
    <w:lvl w:ilvl="2" w:tplc="0C09001B" w:tentative="1">
      <w:start w:val="1"/>
      <w:numFmt w:val="lowerRoman"/>
      <w:lvlText w:val="%3."/>
      <w:lvlJc w:val="right"/>
      <w:pPr>
        <w:ind w:left="2360" w:hanging="180"/>
      </w:pPr>
    </w:lvl>
    <w:lvl w:ilvl="3" w:tplc="0C09000F" w:tentative="1">
      <w:start w:val="1"/>
      <w:numFmt w:val="decimal"/>
      <w:lvlText w:val="%4."/>
      <w:lvlJc w:val="left"/>
      <w:pPr>
        <w:ind w:left="3080" w:hanging="360"/>
      </w:pPr>
    </w:lvl>
    <w:lvl w:ilvl="4" w:tplc="0C090019" w:tentative="1">
      <w:start w:val="1"/>
      <w:numFmt w:val="lowerLetter"/>
      <w:lvlText w:val="%5."/>
      <w:lvlJc w:val="left"/>
      <w:pPr>
        <w:ind w:left="3800" w:hanging="360"/>
      </w:pPr>
    </w:lvl>
    <w:lvl w:ilvl="5" w:tplc="0C09001B" w:tentative="1">
      <w:start w:val="1"/>
      <w:numFmt w:val="lowerRoman"/>
      <w:lvlText w:val="%6."/>
      <w:lvlJc w:val="right"/>
      <w:pPr>
        <w:ind w:left="4520" w:hanging="180"/>
      </w:pPr>
    </w:lvl>
    <w:lvl w:ilvl="6" w:tplc="0C09000F" w:tentative="1">
      <w:start w:val="1"/>
      <w:numFmt w:val="decimal"/>
      <w:lvlText w:val="%7."/>
      <w:lvlJc w:val="left"/>
      <w:pPr>
        <w:ind w:left="5240" w:hanging="360"/>
      </w:pPr>
    </w:lvl>
    <w:lvl w:ilvl="7" w:tplc="0C090019" w:tentative="1">
      <w:start w:val="1"/>
      <w:numFmt w:val="lowerLetter"/>
      <w:lvlText w:val="%8."/>
      <w:lvlJc w:val="left"/>
      <w:pPr>
        <w:ind w:left="5960" w:hanging="360"/>
      </w:pPr>
    </w:lvl>
    <w:lvl w:ilvl="8" w:tplc="0C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06202896"/>
    <w:multiLevelType w:val="multilevel"/>
    <w:tmpl w:val="73144502"/>
    <w:lvl w:ilvl="0">
      <w:start w:val="5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2" w15:restartNumberingAfterBreak="0">
    <w:nsid w:val="071307BF"/>
    <w:multiLevelType w:val="multilevel"/>
    <w:tmpl w:val="8BEEA7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  <w:i/>
      </w:rPr>
    </w:lvl>
  </w:abstractNum>
  <w:abstractNum w:abstractNumId="3" w15:restartNumberingAfterBreak="0">
    <w:nsid w:val="0BD06D25"/>
    <w:multiLevelType w:val="hybridMultilevel"/>
    <w:tmpl w:val="C9CE78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B6CCA"/>
    <w:multiLevelType w:val="multilevel"/>
    <w:tmpl w:val="47B43326"/>
    <w:numStyleLink w:val="D2Aformnumbering"/>
  </w:abstractNum>
  <w:abstractNum w:abstractNumId="5" w15:restartNumberingAfterBreak="0">
    <w:nsid w:val="0FF31B20"/>
    <w:multiLevelType w:val="hybridMultilevel"/>
    <w:tmpl w:val="238C2C6A"/>
    <w:lvl w:ilvl="0" w:tplc="301E3FF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1" w:tplc="1DFE0F2A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2" w:tplc="49D4D384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437A64"/>
    <w:multiLevelType w:val="hybridMultilevel"/>
    <w:tmpl w:val="5016D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D1590"/>
    <w:multiLevelType w:val="hybridMultilevel"/>
    <w:tmpl w:val="E1BCA5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0550FC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9728D"/>
    <w:multiLevelType w:val="multilevel"/>
    <w:tmpl w:val="47B43326"/>
    <w:numStyleLink w:val="D2Aformnumbering"/>
  </w:abstractNum>
  <w:abstractNum w:abstractNumId="10" w15:restartNumberingAfterBreak="0">
    <w:nsid w:val="32291551"/>
    <w:multiLevelType w:val="multilevel"/>
    <w:tmpl w:val="A4468270"/>
    <w:lvl w:ilvl="0">
      <w:start w:val="1"/>
      <w:numFmt w:val="decimal"/>
      <w:lvlText w:val="Item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25518C5"/>
    <w:multiLevelType w:val="multilevel"/>
    <w:tmpl w:val="DF0084DA"/>
    <w:lvl w:ilvl="0">
      <w:start w:val="4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4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4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12" w15:restartNumberingAfterBreak="0">
    <w:nsid w:val="416165F2"/>
    <w:multiLevelType w:val="multilevel"/>
    <w:tmpl w:val="052849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5E10A08"/>
    <w:multiLevelType w:val="hybridMultilevel"/>
    <w:tmpl w:val="03949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D0F64"/>
    <w:multiLevelType w:val="hybridMultilevel"/>
    <w:tmpl w:val="C9A424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05660"/>
    <w:multiLevelType w:val="hybridMultilevel"/>
    <w:tmpl w:val="C76C1A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25DE8"/>
    <w:multiLevelType w:val="multilevel"/>
    <w:tmpl w:val="9A588F3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4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17" w15:restartNumberingAfterBreak="0">
    <w:nsid w:val="4DB14218"/>
    <w:multiLevelType w:val="hybridMultilevel"/>
    <w:tmpl w:val="DD2200FE"/>
    <w:lvl w:ilvl="0" w:tplc="A79CB96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991E13"/>
    <w:multiLevelType w:val="multilevel"/>
    <w:tmpl w:val="47B43326"/>
    <w:styleLink w:val="D2Aformnumbering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19" w15:restartNumberingAfterBreak="0">
    <w:nsid w:val="57EB23AE"/>
    <w:multiLevelType w:val="hybridMultilevel"/>
    <w:tmpl w:val="8E2839DC"/>
    <w:lvl w:ilvl="0" w:tplc="04B2726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77396"/>
    <w:multiLevelType w:val="multilevel"/>
    <w:tmpl w:val="47B43326"/>
    <w:numStyleLink w:val="D2Aformnumbering"/>
  </w:abstractNum>
  <w:abstractNum w:abstractNumId="21" w15:restartNumberingAfterBreak="0">
    <w:nsid w:val="5BC723B1"/>
    <w:multiLevelType w:val="multilevel"/>
    <w:tmpl w:val="AE7E975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2"/>
        <w:szCs w:val="24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22" w15:restartNumberingAfterBreak="0">
    <w:nsid w:val="6086455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84A2F3D"/>
    <w:multiLevelType w:val="multilevel"/>
    <w:tmpl w:val="47B43326"/>
    <w:numStyleLink w:val="D2Aformnumbering"/>
  </w:abstractNum>
  <w:abstractNum w:abstractNumId="24" w15:restartNumberingAfterBreak="0">
    <w:nsid w:val="68A12B01"/>
    <w:multiLevelType w:val="multilevel"/>
    <w:tmpl w:val="200CE4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EE10DC1"/>
    <w:multiLevelType w:val="multilevel"/>
    <w:tmpl w:val="D4D8DC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26" w15:restartNumberingAfterBreak="0">
    <w:nsid w:val="726F4F2C"/>
    <w:multiLevelType w:val="multilevel"/>
    <w:tmpl w:val="052849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7"/>
  </w:num>
  <w:num w:numId="2">
    <w:abstractNumId w:val="14"/>
  </w:num>
  <w:num w:numId="3">
    <w:abstractNumId w:val="7"/>
  </w:num>
  <w:num w:numId="4">
    <w:abstractNumId w:val="19"/>
  </w:num>
  <w:num w:numId="5">
    <w:abstractNumId w:val="18"/>
  </w:num>
  <w:num w:numId="6">
    <w:abstractNumId w:val="4"/>
    <w:lvlOverride w:ilvl="0">
      <w:lvl w:ilvl="0">
        <w:start w:val="1"/>
        <w:numFmt w:val="decimal"/>
        <w:suff w:val="space"/>
        <w:lvlText w:val="%1."/>
        <w:lvlJc w:val="left"/>
        <w:pPr>
          <w:ind w:left="72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2.%2."/>
        <w:lvlJc w:val="left"/>
        <w:pPr>
          <w:ind w:left="1004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87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57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854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38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21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705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988" w:firstLine="0"/>
        </w:pPr>
        <w:rPr>
          <w:rFonts w:hint="default"/>
        </w:rPr>
      </w:lvl>
    </w:lvlOverride>
  </w:num>
  <w:num w:numId="7">
    <w:abstractNumId w:val="9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Arial" w:hAnsi="Arial" w:cs="Arial" w:hint="default"/>
          <w:b/>
          <w:sz w:val="24"/>
          <w:szCs w:val="24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cs="Times New Roman"/>
          <w:b w:val="0"/>
          <w:sz w:val="22"/>
          <w:szCs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8" w:firstLine="0"/>
        </w:pPr>
        <w:rPr>
          <w:rFonts w:ascii="Arial" w:hAnsi="Arial" w:cs="Arial"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cs="Times New Roman"/>
        </w:rPr>
      </w:lvl>
    </w:lvlOverride>
  </w:num>
  <w:num w:numId="8">
    <w:abstractNumId w:val="25"/>
  </w:num>
  <w:num w:numId="9">
    <w:abstractNumId w:val="5"/>
  </w:num>
  <w:num w:numId="10">
    <w:abstractNumId w:val="23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hint="default"/>
        </w:rPr>
      </w:lvl>
    </w:lvlOverride>
  </w:num>
  <w:num w:numId="11">
    <w:abstractNumId w:val="23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i w:val="0"/>
          <w:sz w:val="22"/>
          <w:szCs w:val="22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ascii="Arial" w:hAnsi="Arial"/>
          <w:b w:val="0"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ascii="Arial" w:hAnsi="Arial" w:hint="default"/>
          <w:sz w:val="22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ascii="Arial" w:hAnsi="Arial" w:hint="default"/>
          <w:sz w:val="22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ascii="Arial" w:hAnsi="Arial" w:hint="default"/>
          <w:sz w:val="22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ascii="Arial" w:hAnsi="Arial" w:hint="default"/>
          <w:sz w:val="22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ascii="Arial" w:hAnsi="Arial" w:hint="default"/>
          <w:sz w:val="22"/>
        </w:rPr>
      </w:lvl>
    </w:lvlOverride>
  </w:num>
  <w:num w:numId="12">
    <w:abstractNumId w:val="21"/>
  </w:num>
  <w:num w:numId="13">
    <w:abstractNumId w:val="20"/>
  </w:num>
  <w:num w:numId="14">
    <w:abstractNumId w:val="16"/>
  </w:num>
  <w:num w:numId="15">
    <w:abstractNumId w:val="26"/>
  </w:num>
  <w:num w:numId="16">
    <w:abstractNumId w:val="12"/>
  </w:num>
  <w:num w:numId="17">
    <w:abstractNumId w:val="24"/>
  </w:num>
  <w:num w:numId="18">
    <w:abstractNumId w:val="11"/>
  </w:num>
  <w:num w:numId="19">
    <w:abstractNumId w:val="1"/>
  </w:num>
  <w:num w:numId="20">
    <w:abstractNumId w:val="8"/>
  </w:num>
  <w:num w:numId="21">
    <w:abstractNumId w:val="22"/>
  </w:num>
  <w:num w:numId="22">
    <w:abstractNumId w:val="10"/>
  </w:num>
  <w:num w:numId="23">
    <w:abstractNumId w:val="3"/>
  </w:num>
  <w:num w:numId="24">
    <w:abstractNumId w:val="6"/>
  </w:num>
  <w:num w:numId="25">
    <w:abstractNumId w:val="13"/>
  </w:num>
  <w:num w:numId="26">
    <w:abstractNumId w:val="15"/>
  </w:num>
  <w:num w:numId="27">
    <w:abstractNumId w:val="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93"/>
    <w:rsid w:val="00002653"/>
    <w:rsid w:val="00002829"/>
    <w:rsid w:val="00003E3C"/>
    <w:rsid w:val="00007500"/>
    <w:rsid w:val="00010EDD"/>
    <w:rsid w:val="000124FE"/>
    <w:rsid w:val="000154E9"/>
    <w:rsid w:val="00015BFF"/>
    <w:rsid w:val="00016C54"/>
    <w:rsid w:val="00021CC2"/>
    <w:rsid w:val="000243E2"/>
    <w:rsid w:val="00024E65"/>
    <w:rsid w:val="00030790"/>
    <w:rsid w:val="0003147A"/>
    <w:rsid w:val="000323F7"/>
    <w:rsid w:val="00033032"/>
    <w:rsid w:val="00033A92"/>
    <w:rsid w:val="00034ED5"/>
    <w:rsid w:val="000350EA"/>
    <w:rsid w:val="00036913"/>
    <w:rsid w:val="00040147"/>
    <w:rsid w:val="00041673"/>
    <w:rsid w:val="00042AAE"/>
    <w:rsid w:val="00042F20"/>
    <w:rsid w:val="00043807"/>
    <w:rsid w:val="000443E6"/>
    <w:rsid w:val="00044762"/>
    <w:rsid w:val="00045B98"/>
    <w:rsid w:val="00047EFC"/>
    <w:rsid w:val="00051147"/>
    <w:rsid w:val="00051DD6"/>
    <w:rsid w:val="00051F2C"/>
    <w:rsid w:val="000547DD"/>
    <w:rsid w:val="00054C93"/>
    <w:rsid w:val="00060266"/>
    <w:rsid w:val="000610A4"/>
    <w:rsid w:val="00063A67"/>
    <w:rsid w:val="00065EEB"/>
    <w:rsid w:val="00066DCD"/>
    <w:rsid w:val="00070A53"/>
    <w:rsid w:val="00070B9B"/>
    <w:rsid w:val="00075A37"/>
    <w:rsid w:val="00081BDA"/>
    <w:rsid w:val="00085E19"/>
    <w:rsid w:val="00086D15"/>
    <w:rsid w:val="00091E79"/>
    <w:rsid w:val="00092B46"/>
    <w:rsid w:val="00095178"/>
    <w:rsid w:val="000952DD"/>
    <w:rsid w:val="000A09B6"/>
    <w:rsid w:val="000A1138"/>
    <w:rsid w:val="000A2490"/>
    <w:rsid w:val="000A398D"/>
    <w:rsid w:val="000A3CD6"/>
    <w:rsid w:val="000B19F2"/>
    <w:rsid w:val="000B2E04"/>
    <w:rsid w:val="000B4B1B"/>
    <w:rsid w:val="000B6D47"/>
    <w:rsid w:val="000C0116"/>
    <w:rsid w:val="000C0E5A"/>
    <w:rsid w:val="000C1697"/>
    <w:rsid w:val="000C20B4"/>
    <w:rsid w:val="000C2175"/>
    <w:rsid w:val="000C222A"/>
    <w:rsid w:val="000C27EC"/>
    <w:rsid w:val="000C35FD"/>
    <w:rsid w:val="000C51DB"/>
    <w:rsid w:val="000C59B9"/>
    <w:rsid w:val="000C75AD"/>
    <w:rsid w:val="000C7924"/>
    <w:rsid w:val="000D0503"/>
    <w:rsid w:val="000D2012"/>
    <w:rsid w:val="000D2A2D"/>
    <w:rsid w:val="000D3069"/>
    <w:rsid w:val="000D52A0"/>
    <w:rsid w:val="000E03C9"/>
    <w:rsid w:val="000E0DC2"/>
    <w:rsid w:val="000E21F0"/>
    <w:rsid w:val="000E3857"/>
    <w:rsid w:val="000E573E"/>
    <w:rsid w:val="000F2EAB"/>
    <w:rsid w:val="000F7039"/>
    <w:rsid w:val="000F7D64"/>
    <w:rsid w:val="001007BE"/>
    <w:rsid w:val="00101049"/>
    <w:rsid w:val="001019F1"/>
    <w:rsid w:val="00101C0F"/>
    <w:rsid w:val="00102E6E"/>
    <w:rsid w:val="00106E8B"/>
    <w:rsid w:val="00107543"/>
    <w:rsid w:val="00112A37"/>
    <w:rsid w:val="00112C5B"/>
    <w:rsid w:val="001148EE"/>
    <w:rsid w:val="00114AB5"/>
    <w:rsid w:val="00116ECA"/>
    <w:rsid w:val="00117AF8"/>
    <w:rsid w:val="0012377B"/>
    <w:rsid w:val="001246A0"/>
    <w:rsid w:val="00125A53"/>
    <w:rsid w:val="00126C09"/>
    <w:rsid w:val="00126CA5"/>
    <w:rsid w:val="00130203"/>
    <w:rsid w:val="001358EF"/>
    <w:rsid w:val="00135C27"/>
    <w:rsid w:val="00143F88"/>
    <w:rsid w:val="00146C91"/>
    <w:rsid w:val="001505D1"/>
    <w:rsid w:val="00151135"/>
    <w:rsid w:val="00151BC8"/>
    <w:rsid w:val="0015213C"/>
    <w:rsid w:val="00154101"/>
    <w:rsid w:val="00156DB2"/>
    <w:rsid w:val="00160348"/>
    <w:rsid w:val="0016230C"/>
    <w:rsid w:val="00162324"/>
    <w:rsid w:val="0016495E"/>
    <w:rsid w:val="00171251"/>
    <w:rsid w:val="0017257F"/>
    <w:rsid w:val="00177390"/>
    <w:rsid w:val="00182693"/>
    <w:rsid w:val="00182FA1"/>
    <w:rsid w:val="0018670F"/>
    <w:rsid w:val="00187213"/>
    <w:rsid w:val="0019029E"/>
    <w:rsid w:val="00196F50"/>
    <w:rsid w:val="001974BA"/>
    <w:rsid w:val="00197569"/>
    <w:rsid w:val="00197EB6"/>
    <w:rsid w:val="001A0F59"/>
    <w:rsid w:val="001A2EA0"/>
    <w:rsid w:val="001A391D"/>
    <w:rsid w:val="001A79DB"/>
    <w:rsid w:val="001B1661"/>
    <w:rsid w:val="001B263B"/>
    <w:rsid w:val="001B281C"/>
    <w:rsid w:val="001B316F"/>
    <w:rsid w:val="001B5CAB"/>
    <w:rsid w:val="001C69A3"/>
    <w:rsid w:val="001C7904"/>
    <w:rsid w:val="001D476C"/>
    <w:rsid w:val="001D6B38"/>
    <w:rsid w:val="001E0029"/>
    <w:rsid w:val="001E19FD"/>
    <w:rsid w:val="001E1DAA"/>
    <w:rsid w:val="001E465D"/>
    <w:rsid w:val="001E57F5"/>
    <w:rsid w:val="001F0D8F"/>
    <w:rsid w:val="001F5300"/>
    <w:rsid w:val="001F78BC"/>
    <w:rsid w:val="00201562"/>
    <w:rsid w:val="00203D10"/>
    <w:rsid w:val="0020461D"/>
    <w:rsid w:val="00210D1D"/>
    <w:rsid w:val="002133D4"/>
    <w:rsid w:val="00213E78"/>
    <w:rsid w:val="00214829"/>
    <w:rsid w:val="00227EBE"/>
    <w:rsid w:val="00232503"/>
    <w:rsid w:val="00232A15"/>
    <w:rsid w:val="0023334E"/>
    <w:rsid w:val="002352E9"/>
    <w:rsid w:val="002358FB"/>
    <w:rsid w:val="00236993"/>
    <w:rsid w:val="002409E5"/>
    <w:rsid w:val="00243796"/>
    <w:rsid w:val="002577E5"/>
    <w:rsid w:val="00267EF8"/>
    <w:rsid w:val="0027000E"/>
    <w:rsid w:val="0027222C"/>
    <w:rsid w:val="00273035"/>
    <w:rsid w:val="00274333"/>
    <w:rsid w:val="002746A6"/>
    <w:rsid w:val="00276568"/>
    <w:rsid w:val="00276DDD"/>
    <w:rsid w:val="00280896"/>
    <w:rsid w:val="00282BF4"/>
    <w:rsid w:val="002840E9"/>
    <w:rsid w:val="00286946"/>
    <w:rsid w:val="00287F8B"/>
    <w:rsid w:val="00290A85"/>
    <w:rsid w:val="0029123D"/>
    <w:rsid w:val="002912F4"/>
    <w:rsid w:val="0029339F"/>
    <w:rsid w:val="0029366F"/>
    <w:rsid w:val="002978FF"/>
    <w:rsid w:val="002A006C"/>
    <w:rsid w:val="002A0B6A"/>
    <w:rsid w:val="002A46F0"/>
    <w:rsid w:val="002A5E8E"/>
    <w:rsid w:val="002A736D"/>
    <w:rsid w:val="002B32DE"/>
    <w:rsid w:val="002B4E0F"/>
    <w:rsid w:val="002C1B0B"/>
    <w:rsid w:val="002C1E1F"/>
    <w:rsid w:val="002C5188"/>
    <w:rsid w:val="002D16D4"/>
    <w:rsid w:val="002D16DA"/>
    <w:rsid w:val="002D18B2"/>
    <w:rsid w:val="002D27E5"/>
    <w:rsid w:val="002D3264"/>
    <w:rsid w:val="002E0908"/>
    <w:rsid w:val="002E17B9"/>
    <w:rsid w:val="002E601E"/>
    <w:rsid w:val="002E63EB"/>
    <w:rsid w:val="002E6781"/>
    <w:rsid w:val="002E733B"/>
    <w:rsid w:val="002F006A"/>
    <w:rsid w:val="002F392F"/>
    <w:rsid w:val="002F4FF4"/>
    <w:rsid w:val="002F5AEC"/>
    <w:rsid w:val="002F5DD3"/>
    <w:rsid w:val="0030160F"/>
    <w:rsid w:val="00303FB3"/>
    <w:rsid w:val="00310FC9"/>
    <w:rsid w:val="0031406E"/>
    <w:rsid w:val="003144D6"/>
    <w:rsid w:val="003152D4"/>
    <w:rsid w:val="00316591"/>
    <w:rsid w:val="00324FE1"/>
    <w:rsid w:val="00325669"/>
    <w:rsid w:val="00327273"/>
    <w:rsid w:val="003335D3"/>
    <w:rsid w:val="00337E17"/>
    <w:rsid w:val="00342F83"/>
    <w:rsid w:val="00344003"/>
    <w:rsid w:val="003440AC"/>
    <w:rsid w:val="003461AA"/>
    <w:rsid w:val="0034660D"/>
    <w:rsid w:val="00352483"/>
    <w:rsid w:val="00353862"/>
    <w:rsid w:val="00365C44"/>
    <w:rsid w:val="003666CC"/>
    <w:rsid w:val="0037044E"/>
    <w:rsid w:val="00371844"/>
    <w:rsid w:val="00372CAD"/>
    <w:rsid w:val="003757CC"/>
    <w:rsid w:val="00380116"/>
    <w:rsid w:val="0038205C"/>
    <w:rsid w:val="003823A5"/>
    <w:rsid w:val="0038381F"/>
    <w:rsid w:val="00384C2A"/>
    <w:rsid w:val="0038760D"/>
    <w:rsid w:val="00390AD3"/>
    <w:rsid w:val="003943CB"/>
    <w:rsid w:val="00395940"/>
    <w:rsid w:val="003A224D"/>
    <w:rsid w:val="003A2952"/>
    <w:rsid w:val="003A2B1B"/>
    <w:rsid w:val="003A3EC5"/>
    <w:rsid w:val="003A3F9E"/>
    <w:rsid w:val="003A3FE3"/>
    <w:rsid w:val="003A5E03"/>
    <w:rsid w:val="003A78E1"/>
    <w:rsid w:val="003B00FD"/>
    <w:rsid w:val="003B0889"/>
    <w:rsid w:val="003B1182"/>
    <w:rsid w:val="003B4F52"/>
    <w:rsid w:val="003B5BE2"/>
    <w:rsid w:val="003C0CF4"/>
    <w:rsid w:val="003C2267"/>
    <w:rsid w:val="003C2C94"/>
    <w:rsid w:val="003C3DD1"/>
    <w:rsid w:val="003C5C9D"/>
    <w:rsid w:val="003D04F3"/>
    <w:rsid w:val="003D0AE7"/>
    <w:rsid w:val="003D2EFF"/>
    <w:rsid w:val="003D5032"/>
    <w:rsid w:val="003E0CF0"/>
    <w:rsid w:val="003F2287"/>
    <w:rsid w:val="003F361F"/>
    <w:rsid w:val="003F38D8"/>
    <w:rsid w:val="003F3F71"/>
    <w:rsid w:val="003F51A1"/>
    <w:rsid w:val="003F6939"/>
    <w:rsid w:val="003F6C99"/>
    <w:rsid w:val="003F7A2F"/>
    <w:rsid w:val="00401EFB"/>
    <w:rsid w:val="00405EBB"/>
    <w:rsid w:val="004072D6"/>
    <w:rsid w:val="00414401"/>
    <w:rsid w:val="004159D3"/>
    <w:rsid w:val="00420ED7"/>
    <w:rsid w:val="004215D9"/>
    <w:rsid w:val="00425E8F"/>
    <w:rsid w:val="00427587"/>
    <w:rsid w:val="00430819"/>
    <w:rsid w:val="0043082A"/>
    <w:rsid w:val="00430CF3"/>
    <w:rsid w:val="00432B87"/>
    <w:rsid w:val="00433159"/>
    <w:rsid w:val="00434569"/>
    <w:rsid w:val="004366CB"/>
    <w:rsid w:val="00440A9F"/>
    <w:rsid w:val="00441DF5"/>
    <w:rsid w:val="00443BD2"/>
    <w:rsid w:val="0044401C"/>
    <w:rsid w:val="00444548"/>
    <w:rsid w:val="00450A8F"/>
    <w:rsid w:val="00452867"/>
    <w:rsid w:val="004539C9"/>
    <w:rsid w:val="004552DE"/>
    <w:rsid w:val="004560F8"/>
    <w:rsid w:val="00460BF0"/>
    <w:rsid w:val="004620CD"/>
    <w:rsid w:val="00462924"/>
    <w:rsid w:val="00467438"/>
    <w:rsid w:val="00467A1C"/>
    <w:rsid w:val="004745CC"/>
    <w:rsid w:val="00474953"/>
    <w:rsid w:val="00476E5D"/>
    <w:rsid w:val="0048225C"/>
    <w:rsid w:val="00482D12"/>
    <w:rsid w:val="004839A3"/>
    <w:rsid w:val="004901C7"/>
    <w:rsid w:val="004912D6"/>
    <w:rsid w:val="00492EC2"/>
    <w:rsid w:val="00496353"/>
    <w:rsid w:val="004A0881"/>
    <w:rsid w:val="004A08BB"/>
    <w:rsid w:val="004A08D6"/>
    <w:rsid w:val="004A1685"/>
    <w:rsid w:val="004A652E"/>
    <w:rsid w:val="004B3581"/>
    <w:rsid w:val="004B390C"/>
    <w:rsid w:val="004B5230"/>
    <w:rsid w:val="004B7613"/>
    <w:rsid w:val="004C03A4"/>
    <w:rsid w:val="004C1508"/>
    <w:rsid w:val="004C2A9F"/>
    <w:rsid w:val="004C37B1"/>
    <w:rsid w:val="004C3D07"/>
    <w:rsid w:val="004C4B36"/>
    <w:rsid w:val="004C5BA4"/>
    <w:rsid w:val="004C71C9"/>
    <w:rsid w:val="004D06DF"/>
    <w:rsid w:val="004D1C2D"/>
    <w:rsid w:val="004D351F"/>
    <w:rsid w:val="004E295B"/>
    <w:rsid w:val="004E3F47"/>
    <w:rsid w:val="004E4209"/>
    <w:rsid w:val="004E5A2A"/>
    <w:rsid w:val="004E74BD"/>
    <w:rsid w:val="004F0465"/>
    <w:rsid w:val="004F144D"/>
    <w:rsid w:val="004F690B"/>
    <w:rsid w:val="004F6B20"/>
    <w:rsid w:val="004F7786"/>
    <w:rsid w:val="0050171A"/>
    <w:rsid w:val="00501AC7"/>
    <w:rsid w:val="00502614"/>
    <w:rsid w:val="005042E6"/>
    <w:rsid w:val="0050671E"/>
    <w:rsid w:val="00507EC4"/>
    <w:rsid w:val="0051387C"/>
    <w:rsid w:val="00513D8B"/>
    <w:rsid w:val="00514EEA"/>
    <w:rsid w:val="00515CE2"/>
    <w:rsid w:val="00520FFA"/>
    <w:rsid w:val="00521AA9"/>
    <w:rsid w:val="00522B3C"/>
    <w:rsid w:val="00524B40"/>
    <w:rsid w:val="00533494"/>
    <w:rsid w:val="005368A8"/>
    <w:rsid w:val="005403F0"/>
    <w:rsid w:val="00541E50"/>
    <w:rsid w:val="00550E07"/>
    <w:rsid w:val="00551ED9"/>
    <w:rsid w:val="005542D4"/>
    <w:rsid w:val="00554C83"/>
    <w:rsid w:val="005557C3"/>
    <w:rsid w:val="00555CC4"/>
    <w:rsid w:val="00557822"/>
    <w:rsid w:val="0056464E"/>
    <w:rsid w:val="00564B57"/>
    <w:rsid w:val="005660FE"/>
    <w:rsid w:val="005705DE"/>
    <w:rsid w:val="0057373B"/>
    <w:rsid w:val="00573EA5"/>
    <w:rsid w:val="005753C8"/>
    <w:rsid w:val="00576370"/>
    <w:rsid w:val="005774A0"/>
    <w:rsid w:val="005809B3"/>
    <w:rsid w:val="00580AAF"/>
    <w:rsid w:val="00581567"/>
    <w:rsid w:val="00584C17"/>
    <w:rsid w:val="00590058"/>
    <w:rsid w:val="00590594"/>
    <w:rsid w:val="005907BB"/>
    <w:rsid w:val="00591172"/>
    <w:rsid w:val="00593B85"/>
    <w:rsid w:val="00596FAF"/>
    <w:rsid w:val="005A0D55"/>
    <w:rsid w:val="005A10B1"/>
    <w:rsid w:val="005A1651"/>
    <w:rsid w:val="005A2253"/>
    <w:rsid w:val="005A3A16"/>
    <w:rsid w:val="005A61B2"/>
    <w:rsid w:val="005B17E6"/>
    <w:rsid w:val="005B211D"/>
    <w:rsid w:val="005B292E"/>
    <w:rsid w:val="005B4D27"/>
    <w:rsid w:val="005B6858"/>
    <w:rsid w:val="005C062B"/>
    <w:rsid w:val="005C6229"/>
    <w:rsid w:val="005D0699"/>
    <w:rsid w:val="005D230C"/>
    <w:rsid w:val="005D446B"/>
    <w:rsid w:val="005E09A1"/>
    <w:rsid w:val="005E3121"/>
    <w:rsid w:val="005E5910"/>
    <w:rsid w:val="005F13DE"/>
    <w:rsid w:val="005F1BE5"/>
    <w:rsid w:val="005F1F8B"/>
    <w:rsid w:val="005F2170"/>
    <w:rsid w:val="005F2F05"/>
    <w:rsid w:val="005F3D13"/>
    <w:rsid w:val="005F5E2F"/>
    <w:rsid w:val="005F7104"/>
    <w:rsid w:val="005F7589"/>
    <w:rsid w:val="005F7FCF"/>
    <w:rsid w:val="006002B4"/>
    <w:rsid w:val="00600484"/>
    <w:rsid w:val="00611DF1"/>
    <w:rsid w:val="00622480"/>
    <w:rsid w:val="006231D8"/>
    <w:rsid w:val="00624C4C"/>
    <w:rsid w:val="00625CE6"/>
    <w:rsid w:val="00627134"/>
    <w:rsid w:val="006353C8"/>
    <w:rsid w:val="00637AF0"/>
    <w:rsid w:val="006415F2"/>
    <w:rsid w:val="00644EE3"/>
    <w:rsid w:val="006466FB"/>
    <w:rsid w:val="00647986"/>
    <w:rsid w:val="00647D58"/>
    <w:rsid w:val="00650CE6"/>
    <w:rsid w:val="00651BED"/>
    <w:rsid w:val="006538D6"/>
    <w:rsid w:val="00654103"/>
    <w:rsid w:val="006565CC"/>
    <w:rsid w:val="00660105"/>
    <w:rsid w:val="006609BC"/>
    <w:rsid w:val="00661512"/>
    <w:rsid w:val="006722A6"/>
    <w:rsid w:val="006730BB"/>
    <w:rsid w:val="006742B1"/>
    <w:rsid w:val="0067679C"/>
    <w:rsid w:val="00676862"/>
    <w:rsid w:val="0067736B"/>
    <w:rsid w:val="006806F8"/>
    <w:rsid w:val="00684F73"/>
    <w:rsid w:val="00690DA1"/>
    <w:rsid w:val="00691151"/>
    <w:rsid w:val="00691792"/>
    <w:rsid w:val="00692AF9"/>
    <w:rsid w:val="006934E1"/>
    <w:rsid w:val="00695943"/>
    <w:rsid w:val="006961BF"/>
    <w:rsid w:val="006972C5"/>
    <w:rsid w:val="006A395B"/>
    <w:rsid w:val="006A4DB1"/>
    <w:rsid w:val="006A5BCD"/>
    <w:rsid w:val="006B13E0"/>
    <w:rsid w:val="006B3DFD"/>
    <w:rsid w:val="006B3E9E"/>
    <w:rsid w:val="006B77EC"/>
    <w:rsid w:val="006C30AF"/>
    <w:rsid w:val="006C40EC"/>
    <w:rsid w:val="006C5EDA"/>
    <w:rsid w:val="006D0BC9"/>
    <w:rsid w:val="006D0D7B"/>
    <w:rsid w:val="006D1E74"/>
    <w:rsid w:val="006D2554"/>
    <w:rsid w:val="006D6C21"/>
    <w:rsid w:val="006E2274"/>
    <w:rsid w:val="006E331D"/>
    <w:rsid w:val="006E40A0"/>
    <w:rsid w:val="006E5827"/>
    <w:rsid w:val="006E5C08"/>
    <w:rsid w:val="006E6DD9"/>
    <w:rsid w:val="006E7699"/>
    <w:rsid w:val="006F07C2"/>
    <w:rsid w:val="006F12B8"/>
    <w:rsid w:val="006F5D15"/>
    <w:rsid w:val="006F63FE"/>
    <w:rsid w:val="007027AC"/>
    <w:rsid w:val="007031F4"/>
    <w:rsid w:val="007059DB"/>
    <w:rsid w:val="007114EA"/>
    <w:rsid w:val="00713B1B"/>
    <w:rsid w:val="00714707"/>
    <w:rsid w:val="00715C1F"/>
    <w:rsid w:val="00722370"/>
    <w:rsid w:val="00723B77"/>
    <w:rsid w:val="00725561"/>
    <w:rsid w:val="00730521"/>
    <w:rsid w:val="00730B90"/>
    <w:rsid w:val="00731C77"/>
    <w:rsid w:val="00733292"/>
    <w:rsid w:val="00733E23"/>
    <w:rsid w:val="00735A08"/>
    <w:rsid w:val="007379AF"/>
    <w:rsid w:val="00737EF9"/>
    <w:rsid w:val="00742C1F"/>
    <w:rsid w:val="00745FEE"/>
    <w:rsid w:val="00753276"/>
    <w:rsid w:val="007540B3"/>
    <w:rsid w:val="00754B45"/>
    <w:rsid w:val="00760B0E"/>
    <w:rsid w:val="007628EA"/>
    <w:rsid w:val="00766866"/>
    <w:rsid w:val="00767B62"/>
    <w:rsid w:val="007700AD"/>
    <w:rsid w:val="00770CDE"/>
    <w:rsid w:val="00771D6A"/>
    <w:rsid w:val="00776004"/>
    <w:rsid w:val="0077683C"/>
    <w:rsid w:val="00780779"/>
    <w:rsid w:val="00781021"/>
    <w:rsid w:val="0078122B"/>
    <w:rsid w:val="00781334"/>
    <w:rsid w:val="007818CB"/>
    <w:rsid w:val="007819A8"/>
    <w:rsid w:val="00782DCF"/>
    <w:rsid w:val="007831BF"/>
    <w:rsid w:val="00784E5F"/>
    <w:rsid w:val="007854F4"/>
    <w:rsid w:val="0078591D"/>
    <w:rsid w:val="00785963"/>
    <w:rsid w:val="007860FA"/>
    <w:rsid w:val="00787FFA"/>
    <w:rsid w:val="00790B7F"/>
    <w:rsid w:val="00791C49"/>
    <w:rsid w:val="007925B7"/>
    <w:rsid w:val="00794080"/>
    <w:rsid w:val="00794124"/>
    <w:rsid w:val="007A00AC"/>
    <w:rsid w:val="007A1512"/>
    <w:rsid w:val="007A3241"/>
    <w:rsid w:val="007B0245"/>
    <w:rsid w:val="007B02D1"/>
    <w:rsid w:val="007B25A0"/>
    <w:rsid w:val="007B2B93"/>
    <w:rsid w:val="007B4396"/>
    <w:rsid w:val="007B63C8"/>
    <w:rsid w:val="007C07FF"/>
    <w:rsid w:val="007C65BC"/>
    <w:rsid w:val="007D0119"/>
    <w:rsid w:val="007D3260"/>
    <w:rsid w:val="007D58E6"/>
    <w:rsid w:val="007D6DBD"/>
    <w:rsid w:val="007E0042"/>
    <w:rsid w:val="007E30AF"/>
    <w:rsid w:val="007E35C2"/>
    <w:rsid w:val="007E464D"/>
    <w:rsid w:val="007F37BC"/>
    <w:rsid w:val="007F4E77"/>
    <w:rsid w:val="007F67DC"/>
    <w:rsid w:val="00800E93"/>
    <w:rsid w:val="008024D9"/>
    <w:rsid w:val="008040B6"/>
    <w:rsid w:val="00804407"/>
    <w:rsid w:val="00804C6D"/>
    <w:rsid w:val="00804E59"/>
    <w:rsid w:val="00805452"/>
    <w:rsid w:val="008056BD"/>
    <w:rsid w:val="00806811"/>
    <w:rsid w:val="008072AA"/>
    <w:rsid w:val="0081007C"/>
    <w:rsid w:val="00811815"/>
    <w:rsid w:val="0081287E"/>
    <w:rsid w:val="008128CC"/>
    <w:rsid w:val="00820FB4"/>
    <w:rsid w:val="00824B7B"/>
    <w:rsid w:val="00825A1C"/>
    <w:rsid w:val="00827642"/>
    <w:rsid w:val="00827675"/>
    <w:rsid w:val="00830DA1"/>
    <w:rsid w:val="0083100F"/>
    <w:rsid w:val="00831CF8"/>
    <w:rsid w:val="00840714"/>
    <w:rsid w:val="00843EB3"/>
    <w:rsid w:val="0084580E"/>
    <w:rsid w:val="008464BD"/>
    <w:rsid w:val="00846E74"/>
    <w:rsid w:val="0085531D"/>
    <w:rsid w:val="008556D4"/>
    <w:rsid w:val="00856D61"/>
    <w:rsid w:val="008614DA"/>
    <w:rsid w:val="008626A1"/>
    <w:rsid w:val="00863611"/>
    <w:rsid w:val="00863D16"/>
    <w:rsid w:val="0086460D"/>
    <w:rsid w:val="00864F50"/>
    <w:rsid w:val="008718AB"/>
    <w:rsid w:val="00873B7E"/>
    <w:rsid w:val="00874C80"/>
    <w:rsid w:val="00874FE5"/>
    <w:rsid w:val="0087560B"/>
    <w:rsid w:val="00875ECD"/>
    <w:rsid w:val="0088018D"/>
    <w:rsid w:val="008820C9"/>
    <w:rsid w:val="008825E4"/>
    <w:rsid w:val="00883315"/>
    <w:rsid w:val="008834BF"/>
    <w:rsid w:val="008849E2"/>
    <w:rsid w:val="00886198"/>
    <w:rsid w:val="00890971"/>
    <w:rsid w:val="00890C0E"/>
    <w:rsid w:val="008A362A"/>
    <w:rsid w:val="008A5793"/>
    <w:rsid w:val="008A7368"/>
    <w:rsid w:val="008A7BAE"/>
    <w:rsid w:val="008A7DF3"/>
    <w:rsid w:val="008B03CB"/>
    <w:rsid w:val="008B1322"/>
    <w:rsid w:val="008B1B63"/>
    <w:rsid w:val="008B4076"/>
    <w:rsid w:val="008C2F50"/>
    <w:rsid w:val="008C462B"/>
    <w:rsid w:val="008C575F"/>
    <w:rsid w:val="008C686B"/>
    <w:rsid w:val="008C75C4"/>
    <w:rsid w:val="008D04FE"/>
    <w:rsid w:val="008D4A02"/>
    <w:rsid w:val="008D4F3C"/>
    <w:rsid w:val="008D7CED"/>
    <w:rsid w:val="008E38AD"/>
    <w:rsid w:val="008F0213"/>
    <w:rsid w:val="008F7258"/>
    <w:rsid w:val="008F792C"/>
    <w:rsid w:val="009017D8"/>
    <w:rsid w:val="00906A2E"/>
    <w:rsid w:val="00906B29"/>
    <w:rsid w:val="00907A08"/>
    <w:rsid w:val="00911E59"/>
    <w:rsid w:val="009155E6"/>
    <w:rsid w:val="009178AA"/>
    <w:rsid w:val="009179A3"/>
    <w:rsid w:val="00920920"/>
    <w:rsid w:val="00923C2A"/>
    <w:rsid w:val="00924E81"/>
    <w:rsid w:val="009278DA"/>
    <w:rsid w:val="00927DDD"/>
    <w:rsid w:val="009415FA"/>
    <w:rsid w:val="00942C25"/>
    <w:rsid w:val="00943226"/>
    <w:rsid w:val="00946FA8"/>
    <w:rsid w:val="00951131"/>
    <w:rsid w:val="009551BB"/>
    <w:rsid w:val="0096108E"/>
    <w:rsid w:val="00961DDB"/>
    <w:rsid w:val="00962EC9"/>
    <w:rsid w:val="009660D9"/>
    <w:rsid w:val="00966ED3"/>
    <w:rsid w:val="009673CD"/>
    <w:rsid w:val="009712B3"/>
    <w:rsid w:val="0097218A"/>
    <w:rsid w:val="0097635C"/>
    <w:rsid w:val="00977269"/>
    <w:rsid w:val="00980856"/>
    <w:rsid w:val="00980883"/>
    <w:rsid w:val="0098194D"/>
    <w:rsid w:val="00985526"/>
    <w:rsid w:val="00994ABA"/>
    <w:rsid w:val="00994C6F"/>
    <w:rsid w:val="00996286"/>
    <w:rsid w:val="00997A4F"/>
    <w:rsid w:val="009A01E3"/>
    <w:rsid w:val="009A1CE4"/>
    <w:rsid w:val="009A3892"/>
    <w:rsid w:val="009A3C68"/>
    <w:rsid w:val="009A6E27"/>
    <w:rsid w:val="009A7B3A"/>
    <w:rsid w:val="009B07EF"/>
    <w:rsid w:val="009B1E67"/>
    <w:rsid w:val="009B7296"/>
    <w:rsid w:val="009B740C"/>
    <w:rsid w:val="009C118D"/>
    <w:rsid w:val="009C15F6"/>
    <w:rsid w:val="009C2ADA"/>
    <w:rsid w:val="009C4996"/>
    <w:rsid w:val="009C4DFA"/>
    <w:rsid w:val="009C5368"/>
    <w:rsid w:val="009C5D31"/>
    <w:rsid w:val="009C6488"/>
    <w:rsid w:val="009D02C4"/>
    <w:rsid w:val="009D151E"/>
    <w:rsid w:val="009D3200"/>
    <w:rsid w:val="009D3537"/>
    <w:rsid w:val="009D4093"/>
    <w:rsid w:val="009D47C6"/>
    <w:rsid w:val="009D56E7"/>
    <w:rsid w:val="009D5ED0"/>
    <w:rsid w:val="009E1A76"/>
    <w:rsid w:val="009E3412"/>
    <w:rsid w:val="009E470A"/>
    <w:rsid w:val="009E4BEE"/>
    <w:rsid w:val="009E5754"/>
    <w:rsid w:val="009E5844"/>
    <w:rsid w:val="009E7FD1"/>
    <w:rsid w:val="009F40DA"/>
    <w:rsid w:val="009F6AA6"/>
    <w:rsid w:val="009F7A7A"/>
    <w:rsid w:val="00A00631"/>
    <w:rsid w:val="00A035A7"/>
    <w:rsid w:val="00A06640"/>
    <w:rsid w:val="00A07BB0"/>
    <w:rsid w:val="00A139D6"/>
    <w:rsid w:val="00A14808"/>
    <w:rsid w:val="00A15459"/>
    <w:rsid w:val="00A22A69"/>
    <w:rsid w:val="00A23E31"/>
    <w:rsid w:val="00A245CD"/>
    <w:rsid w:val="00A2750B"/>
    <w:rsid w:val="00A323F8"/>
    <w:rsid w:val="00A33716"/>
    <w:rsid w:val="00A3378E"/>
    <w:rsid w:val="00A343B3"/>
    <w:rsid w:val="00A36FA5"/>
    <w:rsid w:val="00A37123"/>
    <w:rsid w:val="00A43165"/>
    <w:rsid w:val="00A447F4"/>
    <w:rsid w:val="00A53356"/>
    <w:rsid w:val="00A56433"/>
    <w:rsid w:val="00A6186C"/>
    <w:rsid w:val="00A62EFD"/>
    <w:rsid w:val="00A631DD"/>
    <w:rsid w:val="00A635D6"/>
    <w:rsid w:val="00A63A2B"/>
    <w:rsid w:val="00A67C02"/>
    <w:rsid w:val="00A76DEE"/>
    <w:rsid w:val="00A846A6"/>
    <w:rsid w:val="00A86D3C"/>
    <w:rsid w:val="00A87D37"/>
    <w:rsid w:val="00A9182A"/>
    <w:rsid w:val="00A941EC"/>
    <w:rsid w:val="00A94AA1"/>
    <w:rsid w:val="00A95C30"/>
    <w:rsid w:val="00A96C1C"/>
    <w:rsid w:val="00A97577"/>
    <w:rsid w:val="00A97E8A"/>
    <w:rsid w:val="00AA01C8"/>
    <w:rsid w:val="00AA0375"/>
    <w:rsid w:val="00AA06DB"/>
    <w:rsid w:val="00AA0D30"/>
    <w:rsid w:val="00AA2067"/>
    <w:rsid w:val="00AA391A"/>
    <w:rsid w:val="00AA59F9"/>
    <w:rsid w:val="00AA65BA"/>
    <w:rsid w:val="00AA67CF"/>
    <w:rsid w:val="00AA6966"/>
    <w:rsid w:val="00AA75D8"/>
    <w:rsid w:val="00AB1FE0"/>
    <w:rsid w:val="00AB38BE"/>
    <w:rsid w:val="00AB4984"/>
    <w:rsid w:val="00AC0C84"/>
    <w:rsid w:val="00AC1317"/>
    <w:rsid w:val="00AC220D"/>
    <w:rsid w:val="00AC2517"/>
    <w:rsid w:val="00AC329F"/>
    <w:rsid w:val="00AC6DA4"/>
    <w:rsid w:val="00AC7802"/>
    <w:rsid w:val="00AD7F1A"/>
    <w:rsid w:val="00AE02D7"/>
    <w:rsid w:val="00AE3602"/>
    <w:rsid w:val="00AE3DF2"/>
    <w:rsid w:val="00AE6424"/>
    <w:rsid w:val="00AF103C"/>
    <w:rsid w:val="00AF3445"/>
    <w:rsid w:val="00B023CA"/>
    <w:rsid w:val="00B038B3"/>
    <w:rsid w:val="00B04B20"/>
    <w:rsid w:val="00B05762"/>
    <w:rsid w:val="00B1159A"/>
    <w:rsid w:val="00B11D38"/>
    <w:rsid w:val="00B146E3"/>
    <w:rsid w:val="00B2040D"/>
    <w:rsid w:val="00B2282D"/>
    <w:rsid w:val="00B253C8"/>
    <w:rsid w:val="00B265B6"/>
    <w:rsid w:val="00B26900"/>
    <w:rsid w:val="00B315E6"/>
    <w:rsid w:val="00B32AD1"/>
    <w:rsid w:val="00B340BC"/>
    <w:rsid w:val="00B350BE"/>
    <w:rsid w:val="00B35E07"/>
    <w:rsid w:val="00B36A22"/>
    <w:rsid w:val="00B42206"/>
    <w:rsid w:val="00B56CFC"/>
    <w:rsid w:val="00B628CF"/>
    <w:rsid w:val="00B63327"/>
    <w:rsid w:val="00B637E6"/>
    <w:rsid w:val="00B643EB"/>
    <w:rsid w:val="00B64409"/>
    <w:rsid w:val="00B64DE1"/>
    <w:rsid w:val="00B65889"/>
    <w:rsid w:val="00B67369"/>
    <w:rsid w:val="00B73680"/>
    <w:rsid w:val="00B8000C"/>
    <w:rsid w:val="00B8284F"/>
    <w:rsid w:val="00B8346A"/>
    <w:rsid w:val="00B85BE3"/>
    <w:rsid w:val="00B90C07"/>
    <w:rsid w:val="00B9123E"/>
    <w:rsid w:val="00B92492"/>
    <w:rsid w:val="00B9260E"/>
    <w:rsid w:val="00B9343B"/>
    <w:rsid w:val="00B95FF0"/>
    <w:rsid w:val="00B960F7"/>
    <w:rsid w:val="00B97CFA"/>
    <w:rsid w:val="00BA1DD1"/>
    <w:rsid w:val="00BA4680"/>
    <w:rsid w:val="00BA51A4"/>
    <w:rsid w:val="00BA5D64"/>
    <w:rsid w:val="00BA6BE4"/>
    <w:rsid w:val="00BB17AE"/>
    <w:rsid w:val="00BB2E02"/>
    <w:rsid w:val="00BB7C9A"/>
    <w:rsid w:val="00BC2080"/>
    <w:rsid w:val="00BC2302"/>
    <w:rsid w:val="00BC266D"/>
    <w:rsid w:val="00BC2B80"/>
    <w:rsid w:val="00BC3E0A"/>
    <w:rsid w:val="00BC3FF6"/>
    <w:rsid w:val="00BC73FC"/>
    <w:rsid w:val="00BD4126"/>
    <w:rsid w:val="00BD4357"/>
    <w:rsid w:val="00BD4BA8"/>
    <w:rsid w:val="00BE1090"/>
    <w:rsid w:val="00BE14E8"/>
    <w:rsid w:val="00BE6C22"/>
    <w:rsid w:val="00BF20A0"/>
    <w:rsid w:val="00BF2D6F"/>
    <w:rsid w:val="00BF2DD3"/>
    <w:rsid w:val="00BF35DF"/>
    <w:rsid w:val="00BF377C"/>
    <w:rsid w:val="00BF37AB"/>
    <w:rsid w:val="00BF4DD6"/>
    <w:rsid w:val="00BF68ED"/>
    <w:rsid w:val="00BF7B40"/>
    <w:rsid w:val="00C01493"/>
    <w:rsid w:val="00C0157A"/>
    <w:rsid w:val="00C04603"/>
    <w:rsid w:val="00C06421"/>
    <w:rsid w:val="00C06AF4"/>
    <w:rsid w:val="00C07EAA"/>
    <w:rsid w:val="00C1005B"/>
    <w:rsid w:val="00C14A5E"/>
    <w:rsid w:val="00C15774"/>
    <w:rsid w:val="00C20C9D"/>
    <w:rsid w:val="00C241C4"/>
    <w:rsid w:val="00C2478E"/>
    <w:rsid w:val="00C26219"/>
    <w:rsid w:val="00C27F85"/>
    <w:rsid w:val="00C302FA"/>
    <w:rsid w:val="00C31BDD"/>
    <w:rsid w:val="00C329AD"/>
    <w:rsid w:val="00C3584E"/>
    <w:rsid w:val="00C36440"/>
    <w:rsid w:val="00C43C1D"/>
    <w:rsid w:val="00C44ED9"/>
    <w:rsid w:val="00C4547D"/>
    <w:rsid w:val="00C47549"/>
    <w:rsid w:val="00C50988"/>
    <w:rsid w:val="00C53458"/>
    <w:rsid w:val="00C54801"/>
    <w:rsid w:val="00C549D2"/>
    <w:rsid w:val="00C5598D"/>
    <w:rsid w:val="00C56C3E"/>
    <w:rsid w:val="00C6183E"/>
    <w:rsid w:val="00C664F4"/>
    <w:rsid w:val="00C70911"/>
    <w:rsid w:val="00C71F51"/>
    <w:rsid w:val="00C72548"/>
    <w:rsid w:val="00C75064"/>
    <w:rsid w:val="00C7633F"/>
    <w:rsid w:val="00C770B3"/>
    <w:rsid w:val="00C77338"/>
    <w:rsid w:val="00C77882"/>
    <w:rsid w:val="00C8047C"/>
    <w:rsid w:val="00C82285"/>
    <w:rsid w:val="00C84CEE"/>
    <w:rsid w:val="00C93F6A"/>
    <w:rsid w:val="00C960DE"/>
    <w:rsid w:val="00C96151"/>
    <w:rsid w:val="00C96631"/>
    <w:rsid w:val="00C97803"/>
    <w:rsid w:val="00CA0B42"/>
    <w:rsid w:val="00CA44F4"/>
    <w:rsid w:val="00CA64C1"/>
    <w:rsid w:val="00CA6CB3"/>
    <w:rsid w:val="00CB09D8"/>
    <w:rsid w:val="00CB6C83"/>
    <w:rsid w:val="00CB6F2F"/>
    <w:rsid w:val="00CC175E"/>
    <w:rsid w:val="00CC1FCA"/>
    <w:rsid w:val="00CC21A8"/>
    <w:rsid w:val="00CC336A"/>
    <w:rsid w:val="00CD3512"/>
    <w:rsid w:val="00CD4ADD"/>
    <w:rsid w:val="00CD5C6F"/>
    <w:rsid w:val="00CD6DE8"/>
    <w:rsid w:val="00CE05B0"/>
    <w:rsid w:val="00CE0F3B"/>
    <w:rsid w:val="00CE4340"/>
    <w:rsid w:val="00CE61F5"/>
    <w:rsid w:val="00CE70E0"/>
    <w:rsid w:val="00CF04C3"/>
    <w:rsid w:val="00CF4BD9"/>
    <w:rsid w:val="00CF5040"/>
    <w:rsid w:val="00CF52A0"/>
    <w:rsid w:val="00D00732"/>
    <w:rsid w:val="00D02666"/>
    <w:rsid w:val="00D03BBA"/>
    <w:rsid w:val="00D043FA"/>
    <w:rsid w:val="00D05BFD"/>
    <w:rsid w:val="00D110BB"/>
    <w:rsid w:val="00D148D0"/>
    <w:rsid w:val="00D1658E"/>
    <w:rsid w:val="00D17A7E"/>
    <w:rsid w:val="00D17C99"/>
    <w:rsid w:val="00D206CC"/>
    <w:rsid w:val="00D20DC6"/>
    <w:rsid w:val="00D22AB8"/>
    <w:rsid w:val="00D23AF9"/>
    <w:rsid w:val="00D23B18"/>
    <w:rsid w:val="00D24D0D"/>
    <w:rsid w:val="00D2556C"/>
    <w:rsid w:val="00D2665A"/>
    <w:rsid w:val="00D272FC"/>
    <w:rsid w:val="00D32EE6"/>
    <w:rsid w:val="00D34354"/>
    <w:rsid w:val="00D3436A"/>
    <w:rsid w:val="00D40D25"/>
    <w:rsid w:val="00D4265C"/>
    <w:rsid w:val="00D42A0E"/>
    <w:rsid w:val="00D477FC"/>
    <w:rsid w:val="00D5034D"/>
    <w:rsid w:val="00D50648"/>
    <w:rsid w:val="00D5160B"/>
    <w:rsid w:val="00D53E3E"/>
    <w:rsid w:val="00D553BE"/>
    <w:rsid w:val="00D56E67"/>
    <w:rsid w:val="00D56FCB"/>
    <w:rsid w:val="00D57118"/>
    <w:rsid w:val="00D62E3C"/>
    <w:rsid w:val="00D64906"/>
    <w:rsid w:val="00D64983"/>
    <w:rsid w:val="00D67E9E"/>
    <w:rsid w:val="00D700F5"/>
    <w:rsid w:val="00D723B7"/>
    <w:rsid w:val="00D73279"/>
    <w:rsid w:val="00D767D2"/>
    <w:rsid w:val="00D77B63"/>
    <w:rsid w:val="00D82A03"/>
    <w:rsid w:val="00D834BD"/>
    <w:rsid w:val="00D844C4"/>
    <w:rsid w:val="00D84C72"/>
    <w:rsid w:val="00D90977"/>
    <w:rsid w:val="00D90F89"/>
    <w:rsid w:val="00D940E5"/>
    <w:rsid w:val="00DA125C"/>
    <w:rsid w:val="00DA24A2"/>
    <w:rsid w:val="00DA634C"/>
    <w:rsid w:val="00DA72A2"/>
    <w:rsid w:val="00DB0552"/>
    <w:rsid w:val="00DB0C1B"/>
    <w:rsid w:val="00DB4869"/>
    <w:rsid w:val="00DC050F"/>
    <w:rsid w:val="00DC061C"/>
    <w:rsid w:val="00DC1E32"/>
    <w:rsid w:val="00DC2ACC"/>
    <w:rsid w:val="00DC2B6C"/>
    <w:rsid w:val="00DD41B9"/>
    <w:rsid w:val="00DE184C"/>
    <w:rsid w:val="00DE1E29"/>
    <w:rsid w:val="00DE1E4E"/>
    <w:rsid w:val="00DE29EF"/>
    <w:rsid w:val="00DE300D"/>
    <w:rsid w:val="00DE50A2"/>
    <w:rsid w:val="00DF579E"/>
    <w:rsid w:val="00DF6093"/>
    <w:rsid w:val="00E00AF7"/>
    <w:rsid w:val="00E019FB"/>
    <w:rsid w:val="00E12B72"/>
    <w:rsid w:val="00E15497"/>
    <w:rsid w:val="00E1756A"/>
    <w:rsid w:val="00E201A8"/>
    <w:rsid w:val="00E2314C"/>
    <w:rsid w:val="00E26B16"/>
    <w:rsid w:val="00E3154E"/>
    <w:rsid w:val="00E3767D"/>
    <w:rsid w:val="00E40154"/>
    <w:rsid w:val="00E4171E"/>
    <w:rsid w:val="00E45334"/>
    <w:rsid w:val="00E47566"/>
    <w:rsid w:val="00E50CFD"/>
    <w:rsid w:val="00E52250"/>
    <w:rsid w:val="00E524CE"/>
    <w:rsid w:val="00E547EA"/>
    <w:rsid w:val="00E54A8E"/>
    <w:rsid w:val="00E603BA"/>
    <w:rsid w:val="00E6113E"/>
    <w:rsid w:val="00E638C6"/>
    <w:rsid w:val="00E6703A"/>
    <w:rsid w:val="00E71222"/>
    <w:rsid w:val="00E7333D"/>
    <w:rsid w:val="00E73CF6"/>
    <w:rsid w:val="00E75097"/>
    <w:rsid w:val="00E75D04"/>
    <w:rsid w:val="00E77EDA"/>
    <w:rsid w:val="00E802D6"/>
    <w:rsid w:val="00E8278C"/>
    <w:rsid w:val="00E8347F"/>
    <w:rsid w:val="00E85535"/>
    <w:rsid w:val="00E90C89"/>
    <w:rsid w:val="00E90D25"/>
    <w:rsid w:val="00E919D9"/>
    <w:rsid w:val="00E93160"/>
    <w:rsid w:val="00EA0773"/>
    <w:rsid w:val="00EA3E3A"/>
    <w:rsid w:val="00EA6D12"/>
    <w:rsid w:val="00EB2B2F"/>
    <w:rsid w:val="00EB42C3"/>
    <w:rsid w:val="00EB53E2"/>
    <w:rsid w:val="00EC01F1"/>
    <w:rsid w:val="00EC46FD"/>
    <w:rsid w:val="00EC5653"/>
    <w:rsid w:val="00EC65B6"/>
    <w:rsid w:val="00ED0956"/>
    <w:rsid w:val="00ED2095"/>
    <w:rsid w:val="00ED20FF"/>
    <w:rsid w:val="00ED6500"/>
    <w:rsid w:val="00ED7A30"/>
    <w:rsid w:val="00EE2182"/>
    <w:rsid w:val="00EE767B"/>
    <w:rsid w:val="00EF240C"/>
    <w:rsid w:val="00EF394E"/>
    <w:rsid w:val="00F012AA"/>
    <w:rsid w:val="00F01371"/>
    <w:rsid w:val="00F017AC"/>
    <w:rsid w:val="00F0739D"/>
    <w:rsid w:val="00F079BD"/>
    <w:rsid w:val="00F11A4C"/>
    <w:rsid w:val="00F140A7"/>
    <w:rsid w:val="00F14B1B"/>
    <w:rsid w:val="00F21A28"/>
    <w:rsid w:val="00F224BF"/>
    <w:rsid w:val="00F22B0F"/>
    <w:rsid w:val="00F27AC1"/>
    <w:rsid w:val="00F3081F"/>
    <w:rsid w:val="00F30AB0"/>
    <w:rsid w:val="00F32A31"/>
    <w:rsid w:val="00F37C74"/>
    <w:rsid w:val="00F37F78"/>
    <w:rsid w:val="00F400D4"/>
    <w:rsid w:val="00F40F0D"/>
    <w:rsid w:val="00F42C0F"/>
    <w:rsid w:val="00F42E60"/>
    <w:rsid w:val="00F4359B"/>
    <w:rsid w:val="00F44D29"/>
    <w:rsid w:val="00F44E5E"/>
    <w:rsid w:val="00F4681F"/>
    <w:rsid w:val="00F47480"/>
    <w:rsid w:val="00F474B2"/>
    <w:rsid w:val="00F51EB2"/>
    <w:rsid w:val="00F5257B"/>
    <w:rsid w:val="00F53267"/>
    <w:rsid w:val="00F545B0"/>
    <w:rsid w:val="00F551D9"/>
    <w:rsid w:val="00F6148A"/>
    <w:rsid w:val="00F61DD4"/>
    <w:rsid w:val="00F62196"/>
    <w:rsid w:val="00F6285A"/>
    <w:rsid w:val="00F65EAC"/>
    <w:rsid w:val="00F70FC4"/>
    <w:rsid w:val="00F73102"/>
    <w:rsid w:val="00F73AD0"/>
    <w:rsid w:val="00F74A43"/>
    <w:rsid w:val="00F750FC"/>
    <w:rsid w:val="00F7706D"/>
    <w:rsid w:val="00F7790A"/>
    <w:rsid w:val="00F81487"/>
    <w:rsid w:val="00F81DB6"/>
    <w:rsid w:val="00F83382"/>
    <w:rsid w:val="00F83859"/>
    <w:rsid w:val="00F83F63"/>
    <w:rsid w:val="00F852A5"/>
    <w:rsid w:val="00F85402"/>
    <w:rsid w:val="00F86BBC"/>
    <w:rsid w:val="00F94EAB"/>
    <w:rsid w:val="00F95A92"/>
    <w:rsid w:val="00FA0337"/>
    <w:rsid w:val="00FA2AA7"/>
    <w:rsid w:val="00FA5345"/>
    <w:rsid w:val="00FA6B1D"/>
    <w:rsid w:val="00FB427B"/>
    <w:rsid w:val="00FB5B46"/>
    <w:rsid w:val="00FB5CB1"/>
    <w:rsid w:val="00FB69AA"/>
    <w:rsid w:val="00FB6B1C"/>
    <w:rsid w:val="00FC3D8C"/>
    <w:rsid w:val="00FC65B3"/>
    <w:rsid w:val="00FD1A9A"/>
    <w:rsid w:val="00FD1EEC"/>
    <w:rsid w:val="00FD5691"/>
    <w:rsid w:val="00FD7DC7"/>
    <w:rsid w:val="00FE03F3"/>
    <w:rsid w:val="00FE4B40"/>
    <w:rsid w:val="00FF3235"/>
    <w:rsid w:val="00FF3930"/>
    <w:rsid w:val="00FF3D18"/>
    <w:rsid w:val="00F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2DABDD7"/>
  <w15:chartTrackingRefBased/>
  <w15:docId w15:val="{78D9D684-959D-4E33-925F-A9E1EE4E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1F4"/>
    <w:rPr>
      <w:rFonts w:ascii="Trebuchet MS" w:hAnsi="Trebuchet MS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5"/>
    <w:qFormat/>
    <w:rsid w:val="009C5368"/>
    <w:pPr>
      <w:keepNext/>
      <w:keepLines/>
      <w:outlineLvl w:val="0"/>
    </w:pPr>
    <w:rPr>
      <w:rFonts w:eastAsia="Times New Roman"/>
      <w:b/>
      <w:bCs/>
      <w:color w:val="000000"/>
      <w:sz w:val="26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9C5368"/>
    <w:pPr>
      <w:keepNext/>
      <w:keepLines/>
      <w:outlineLvl w:val="1"/>
    </w:pPr>
    <w:rPr>
      <w:rFonts w:eastAsia="Times New Roman"/>
      <w:b/>
      <w:bCs/>
      <w:color w:val="000000"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rsid w:val="00F7706D"/>
    <w:pPr>
      <w:keepNext/>
      <w:keepLines/>
      <w:outlineLvl w:val="2"/>
    </w:pPr>
    <w:rPr>
      <w:rFonts w:eastAsia="Times New Roman"/>
      <w:bCs/>
      <w:i/>
      <w:color w:val="000000"/>
      <w:sz w:val="20"/>
      <w:szCs w:val="20"/>
      <w:lang w:val="x-none" w:eastAsia="x-none"/>
    </w:rPr>
  </w:style>
  <w:style w:type="paragraph" w:styleId="Heading4">
    <w:name w:val="heading 4"/>
    <w:aliases w:val="General Heading"/>
    <w:basedOn w:val="Normal"/>
    <w:next w:val="Normal"/>
    <w:link w:val="Heading4Char"/>
    <w:uiPriority w:val="3"/>
    <w:unhideWhenUsed/>
    <w:qFormat/>
    <w:rsid w:val="005E5910"/>
    <w:pPr>
      <w:outlineLvl w:val="3"/>
    </w:pPr>
    <w:rPr>
      <w:color w:val="0C2577"/>
      <w:sz w:val="60"/>
      <w:szCs w:val="20"/>
      <w:lang w:val="x-none" w:eastAsia="x-none"/>
    </w:rPr>
  </w:style>
  <w:style w:type="paragraph" w:styleId="Heading5">
    <w:name w:val="heading 5"/>
    <w:aliases w:val="Chapter Heading"/>
    <w:basedOn w:val="Normal"/>
    <w:next w:val="Normal"/>
    <w:link w:val="Heading5Char"/>
    <w:uiPriority w:val="4"/>
    <w:unhideWhenUsed/>
    <w:qFormat/>
    <w:rsid w:val="005E5910"/>
    <w:pPr>
      <w:outlineLvl w:val="4"/>
    </w:pPr>
    <w:rPr>
      <w:b/>
      <w:sz w:val="32"/>
      <w:szCs w:val="20"/>
      <w:lang w:val="x-none" w:eastAsia="x-none"/>
    </w:rPr>
  </w:style>
  <w:style w:type="paragraph" w:styleId="Heading6">
    <w:name w:val="heading 6"/>
    <w:aliases w:val="Cover Page Heading"/>
    <w:basedOn w:val="Normal"/>
    <w:next w:val="Normal"/>
    <w:link w:val="Heading6Char"/>
    <w:uiPriority w:val="8"/>
    <w:unhideWhenUsed/>
    <w:qFormat/>
    <w:rsid w:val="00F7706D"/>
    <w:pPr>
      <w:keepNext/>
      <w:keepLines/>
      <w:spacing w:before="200"/>
      <w:outlineLvl w:val="5"/>
    </w:pPr>
    <w:rPr>
      <w:rFonts w:eastAsia="Times New Roman"/>
      <w:iCs/>
      <w:color w:val="0C2577"/>
      <w:sz w:val="9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5"/>
    <w:rsid w:val="00F7706D"/>
    <w:rPr>
      <w:rFonts w:ascii="Trebuchet MS" w:eastAsia="Times New Roman" w:hAnsi="Trebuchet MS" w:cs="Times New Roman"/>
      <w:b/>
      <w:bCs/>
      <w:color w:val="000000"/>
      <w:sz w:val="26"/>
      <w:szCs w:val="26"/>
    </w:rPr>
  </w:style>
  <w:style w:type="character" w:customStyle="1" w:styleId="Heading2Char">
    <w:name w:val="Heading 2 Char"/>
    <w:link w:val="Heading2"/>
    <w:uiPriority w:val="6"/>
    <w:rsid w:val="00F7706D"/>
    <w:rPr>
      <w:rFonts w:ascii="Trebuchet MS" w:eastAsia="Times New Roman" w:hAnsi="Trebuchet MS" w:cs="Times New Roman"/>
      <w:b/>
      <w:bCs/>
      <w:color w:val="000000"/>
    </w:rPr>
  </w:style>
  <w:style w:type="character" w:styleId="PlaceholderText">
    <w:name w:val="Placeholder Text"/>
    <w:uiPriority w:val="99"/>
    <w:semiHidden/>
    <w:rsid w:val="00B04B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2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04B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7"/>
    <w:rsid w:val="00F7706D"/>
    <w:rPr>
      <w:rFonts w:ascii="Trebuchet MS" w:eastAsia="Times New Roman" w:hAnsi="Trebuchet MS" w:cs="Times New Roman"/>
      <w:bCs/>
      <w:i/>
      <w:color w:val="000000"/>
    </w:rPr>
  </w:style>
  <w:style w:type="character" w:customStyle="1" w:styleId="Heading4Char">
    <w:name w:val="Heading 4 Char"/>
    <w:aliases w:val="General Heading Char"/>
    <w:link w:val="Heading4"/>
    <w:uiPriority w:val="3"/>
    <w:rsid w:val="00F7706D"/>
    <w:rPr>
      <w:rFonts w:ascii="Trebuchet MS" w:hAnsi="Trebuchet MS"/>
      <w:color w:val="0C2577"/>
      <w:sz w:val="60"/>
    </w:rPr>
  </w:style>
  <w:style w:type="character" w:customStyle="1" w:styleId="Heading5Char">
    <w:name w:val="Heading 5 Char"/>
    <w:aliases w:val="Chapter Heading Char"/>
    <w:link w:val="Heading5"/>
    <w:uiPriority w:val="4"/>
    <w:rsid w:val="00F7706D"/>
    <w:rPr>
      <w:rFonts w:ascii="Trebuchet MS" w:hAnsi="Trebuchet MS"/>
      <w:b/>
      <w:sz w:val="32"/>
    </w:rPr>
  </w:style>
  <w:style w:type="character" w:customStyle="1" w:styleId="Heading6Char">
    <w:name w:val="Heading 6 Char"/>
    <w:aliases w:val="Cover Page Heading Char"/>
    <w:link w:val="Heading6"/>
    <w:uiPriority w:val="8"/>
    <w:rsid w:val="00F7706D"/>
    <w:rPr>
      <w:rFonts w:ascii="Trebuchet MS" w:eastAsia="Times New Roman" w:hAnsi="Trebuchet MS" w:cs="Times New Roman"/>
      <w:iCs/>
      <w:color w:val="0C2577"/>
      <w:sz w:val="90"/>
    </w:rPr>
  </w:style>
  <w:style w:type="paragraph" w:styleId="EnvelopeAddress">
    <w:name w:val="envelope address"/>
    <w:basedOn w:val="Normal"/>
    <w:uiPriority w:val="99"/>
    <w:semiHidden/>
    <w:unhideWhenUsed/>
    <w:rsid w:val="007031F4"/>
    <w:pPr>
      <w:framePr w:w="7920" w:h="1980" w:hRule="exact" w:hSpace="180" w:wrap="auto" w:hAnchor="page" w:xAlign="center" w:yAlign="bottom"/>
      <w:ind w:left="2880"/>
    </w:pPr>
    <w:rPr>
      <w:rFonts w:eastAsia="Times New Roman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031F4"/>
    <w:rPr>
      <w:rFonts w:eastAsia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54C93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54C93"/>
    <w:rPr>
      <w:rFonts w:ascii="Trebuchet MS" w:hAnsi="Trebuchet MS"/>
    </w:rPr>
  </w:style>
  <w:style w:type="paragraph" w:styleId="ListParagraph">
    <w:name w:val="List Paragraph"/>
    <w:basedOn w:val="Normal"/>
    <w:uiPriority w:val="34"/>
    <w:rsid w:val="00054C93"/>
    <w:pPr>
      <w:ind w:left="720"/>
    </w:pPr>
  </w:style>
  <w:style w:type="character" w:styleId="CommentReference">
    <w:name w:val="annotation reference"/>
    <w:uiPriority w:val="99"/>
    <w:semiHidden/>
    <w:unhideWhenUsed/>
    <w:rsid w:val="00054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C93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054C93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C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54C93"/>
    <w:rPr>
      <w:rFonts w:ascii="Trebuchet MS" w:hAnsi="Trebuchet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23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415FA"/>
    <w:rPr>
      <w:rFonts w:ascii="Trebuchet MS" w:hAnsi="Trebuchet MS"/>
      <w:sz w:val="22"/>
      <w:szCs w:val="22"/>
      <w:lang w:eastAsia="en-US"/>
    </w:rPr>
  </w:style>
  <w:style w:type="numbering" w:customStyle="1" w:styleId="D2Aformnumbering">
    <w:name w:val="D2A form numbering"/>
    <w:uiPriority w:val="99"/>
    <w:rsid w:val="00F750FC"/>
    <w:pPr>
      <w:numPr>
        <w:numId w:val="5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2DD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0952DD"/>
    <w:rPr>
      <w:rFonts w:ascii="Tahoma" w:hAnsi="Tahoma" w:cs="Tahoma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unhideWhenUsed/>
    <w:rsid w:val="00AF103C"/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rsid w:val="00AF103C"/>
    <w:rPr>
      <w:rFonts w:ascii="Trebuchet MS" w:hAnsi="Trebuchet MS"/>
      <w:lang w:eastAsia="en-US"/>
    </w:rPr>
  </w:style>
  <w:style w:type="character" w:styleId="FootnoteReference">
    <w:name w:val="footnote reference"/>
    <w:unhideWhenUsed/>
    <w:rsid w:val="00AF103C"/>
    <w:rPr>
      <w:vertAlign w:val="superscript"/>
    </w:rPr>
  </w:style>
  <w:style w:type="paragraph" w:customStyle="1" w:styleId="IntroTo">
    <w:name w:val="IntroTo:"/>
    <w:basedOn w:val="Normal"/>
    <w:rsid w:val="007B2B93"/>
    <w:pPr>
      <w:ind w:left="720" w:hanging="720"/>
    </w:pPr>
    <w:rPr>
      <w:rFonts w:ascii="Times New Roman" w:eastAsia="Times New Roman" w:hAnsi="Times New Roman"/>
      <w:sz w:val="24"/>
      <w:szCs w:val="20"/>
    </w:rPr>
  </w:style>
  <w:style w:type="paragraph" w:customStyle="1" w:styleId="D2Aform">
    <w:name w:val="D2A form"/>
    <w:link w:val="D2AformChar"/>
    <w:qFormat/>
    <w:rsid w:val="006806F8"/>
    <w:rPr>
      <w:rFonts w:ascii="Arial" w:eastAsia="Times New Roman" w:hAnsi="Arial" w:cs="Arial"/>
      <w:sz w:val="22"/>
      <w:szCs w:val="22"/>
    </w:rPr>
  </w:style>
  <w:style w:type="character" w:customStyle="1" w:styleId="D2AformChar">
    <w:name w:val="D2A form Char"/>
    <w:link w:val="D2Aform"/>
    <w:rsid w:val="006806F8"/>
    <w:rPr>
      <w:rFonts w:ascii="Arial" w:eastAsia="Times New Roman" w:hAnsi="Arial" w:cs="Arial"/>
      <w:sz w:val="22"/>
      <w:szCs w:val="22"/>
    </w:rPr>
  </w:style>
  <w:style w:type="character" w:customStyle="1" w:styleId="apra-rtestyle-header11">
    <w:name w:val="apra-rtestyle-header11"/>
    <w:rsid w:val="00ED7A30"/>
    <w:rPr>
      <w:rFonts w:ascii="Verdana" w:hAnsi="Verdana" w:hint="default"/>
      <w:b/>
      <w:bCs/>
      <w:color w:val="336699"/>
      <w:sz w:val="24"/>
      <w:szCs w:val="24"/>
    </w:rPr>
  </w:style>
  <w:style w:type="character" w:styleId="Emphasis">
    <w:name w:val="Emphasis"/>
    <w:uiPriority w:val="20"/>
    <w:qFormat/>
    <w:rsid w:val="00ED7A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E30A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uiPriority w:val="99"/>
    <w:semiHidden/>
    <w:unhideWhenUsed/>
    <w:rsid w:val="00985526"/>
    <w:rPr>
      <w:color w:val="0000FF"/>
      <w:u w:val="single"/>
    </w:rPr>
  </w:style>
  <w:style w:type="paragraph" w:customStyle="1" w:styleId="Default">
    <w:name w:val="Default"/>
    <w:rsid w:val="00CD351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numbering" w:customStyle="1" w:styleId="D2Aformnumbering1">
    <w:name w:val="D2A form numbering1"/>
    <w:uiPriority w:val="99"/>
    <w:rsid w:val="00A245C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0" w:color="CCCCCC"/>
                <w:bottom w:val="none" w:sz="0" w:space="0" w:color="auto"/>
                <w:right w:val="none" w:sz="0" w:space="0" w:color="auto"/>
              </w:divBdr>
              <w:divsChild>
                <w:div w:id="13497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16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9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1.wmf"/><Relationship Id="rId10" Type="http://schemas.openxmlformats.org/officeDocument/2006/relationships/styles" Target="styl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SharedContentType xmlns="Microsoft.SharePoint.Taxonomy.ContentTypeSync" SourceId="8aef97a4-ded2-4e4a-9fbc-e666dae3ecd2" ContentTypeId="0x0101008CA7A4F8331B45C7B0D3158B4994D0CA02" PreviousValue="false"/>
</file>

<file path=customXml/item4.xml><?xml version="1.0" encoding="utf-8"?>
<LongProperties xmlns="http://schemas.microsoft.com/office/2006/metadata/longProperties">
  <LongProp xmlns="" name="TaxCatchAll"><![CDATA[48;#Development|7276960b-cd04-4fd9-bbf6-f5b03d867772;#47;#Data collection|9c208ec1-acb8-4005-ba1a-e7d4ed62ea16;#20;#2017|d3a4eca2-678d-4407-b6b0-19c597d571b1;#7;#ADI|906b8d6f-8851-e311-9e2e-005056b54f10;#38;#Registered Financial Corporations|c06b8d6f-8851-e311-9e2e-005056b54f10;#173;#Reporting standard|91896cd9-c8c4-4f0d-b59e-113a28881d1d;#1;#Draft|0e1556d2-3fe8-443a-ada7-3620563b46b3]]></LongProp>
</Long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Standard Content" ma:contentTypeID="0x0101008CA7A4F8331B45C7B0D3158B4994D0CA0200BD2A692CFD66A941B2B82EF45B0E040E" ma:contentTypeVersion="22" ma:contentTypeDescription="Create a new document." ma:contentTypeScope="" ma:versionID="0d455c741b6015f1f8bfec7c4d7a5490">
  <xsd:schema xmlns:xsd="http://www.w3.org/2001/XMLSchema" xmlns:xs="http://www.w3.org/2001/XMLSchema" xmlns:p="http://schemas.microsoft.com/office/2006/metadata/properties" xmlns:ns1="814d62cb-2db6-4c25-ab62-b9075facbc11" targetNamespace="http://schemas.microsoft.com/office/2006/metadata/properties" ma:root="true" ma:fieldsID="932e2b43991d8cf04da7b18cbb69eaa4" ns1:_="">
    <xsd:import namespace="814d62cb-2db6-4c25-ab62-b9075facbc11"/>
    <xsd:element name="properties">
      <xsd:complexType>
        <xsd:sequence>
          <xsd:element name="documentManagement">
            <xsd:complexType>
              <xsd:all>
                <xsd:element ref="ns1:_dlc_DocIdUrl" minOccurs="0"/>
                <xsd:element ref="ns1:APRADescription" minOccurs="0"/>
                <xsd:element ref="ns1:APRAActivityID" minOccurs="0"/>
                <xsd:element ref="ns1:APRASecurityClassification"/>
                <xsd:element ref="ns1:APRAKeywords" minOccurs="0"/>
                <xsd:element ref="ns1:APRADate" minOccurs="0"/>
                <xsd:element ref="ns1:APRAOwner" minOccurs="0"/>
                <xsd:element ref="ns1:APRAApprovedBy" minOccurs="0"/>
                <xsd:element ref="ns1:APRAApprovalDate" minOccurs="0"/>
                <xsd:element ref="ns1:APRAEntityID" minOccurs="0"/>
                <xsd:element ref="ns1:APRAEntityName" minOccurs="0"/>
                <xsd:element ref="ns1:Received" minOccurs="0"/>
                <xsd:element ref="ns1:From-Address" minOccurs="0"/>
                <xsd:element ref="ns1:To-Address" minOccurs="0"/>
                <xsd:element ref="ns1:Attachment" minOccurs="0"/>
                <xsd:element ref="ns1:Conversation" minOccurs="0"/>
                <xsd:element ref="ns1:APRADocScanCheck" minOccurs="0"/>
                <xsd:element ref="ns1:j163382b748246d3b6e7caae71dbeeb0" minOccurs="0"/>
                <xsd:element ref="ns1:f284b4f8578a44cfae4f67a86df81119" minOccurs="0"/>
                <xsd:element ref="ns1:_dlc_DocIdPersistId" minOccurs="0"/>
                <xsd:element ref="ns1:i05115a133414b4dabee2531e4b46b67" minOccurs="0"/>
                <xsd:element ref="ns1:h67caa35a4114acd8e15fe89b3f29f9e" minOccurs="0"/>
                <xsd:element ref="ns1:pa005173035e41c3986b37b8e650f3ef" minOccurs="0"/>
                <xsd:element ref="ns1:p10c80fc2da942ae8f2ea9b33b6ea0ba" minOccurs="0"/>
                <xsd:element ref="ns1:ka2715b9eb154114a4f57d7fbf82ec75" minOccurs="0"/>
                <xsd:element ref="ns1:TaxCatchAll" minOccurs="0"/>
                <xsd:element ref="ns1:i08e72d8ce2b4ffa9361f9f4e0a63abc" minOccurs="0"/>
                <xsd:element ref="ns1:TaxCatchAllLabel" minOccurs="0"/>
                <xsd:element ref="ns1:ic4067bd02f14cf3a95ad35878404a71" minOccurs="0"/>
                <xsd:element ref="ns1:l003ee8eff60461aa1bd0027aba92ea4" minOccurs="0"/>
                <xsd:element ref="ns1:b37d8d7e823543f58f89056343a9035c" minOccurs="0"/>
                <xsd:element ref="ns1:_dlc_DocId" minOccurs="0"/>
                <xsd:element ref="ns1:aa36a5a650d54f768f171f4d17b8b238" minOccurs="0"/>
                <xsd:element ref="ns1:j724204a644741eb9f777fcb03fe8840" minOccurs="0"/>
                <xsd:element ref="ns1:m2df5fdf6d1643b4a596982762bb3d00" minOccurs="0"/>
                <xsd:element ref="ns1:k4bcc0d734474fea9fb713d9c415b4b0" minOccurs="0"/>
                <xsd:element ref="ns1:d9a849fd1b8e46ada0321eb0681a10ee" minOccurs="0"/>
                <xsd:element ref="ns1:APRAMeetingDate" minOccurs="0"/>
                <xsd:element ref="ns1:APRAMeeting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d62cb-2db6-4c25-ab62-b9075facbc11" elementFormDefault="qualified">
    <xsd:import namespace="http://schemas.microsoft.com/office/2006/documentManagement/types"/>
    <xsd:import namespace="http://schemas.microsoft.com/office/infopath/2007/PartnerControls"/>
    <xsd:element name="_dlc_DocIdUrl" ma:index="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PRADescription" ma:index="3" nillable="true" ma:displayName="Description" ma:internalName="APRADescription" ma:readOnly="false">
      <xsd:simpleType>
        <xsd:restriction base="dms:Note"/>
      </xsd:simpleType>
    </xsd:element>
    <xsd:element name="APRAActivityID" ma:index="4" nillable="true" ma:displayName="Activity ID" ma:internalName="APRAActivityID" ma:readOnly="false">
      <xsd:simpleType>
        <xsd:restriction base="dms:Text"/>
      </xsd:simpleType>
    </xsd:element>
    <xsd:element name="APRASecurityClassification" ma:index="8" ma:displayName="Security classification" ma:default="DLM: For Official Use Only" ma:hidden="true" ma:internalName="APRASecurityClassification" ma:readOnly="false">
      <xsd:simpleType>
        <xsd:restriction base="dms:Choice">
          <xsd:enumeration value="UNCLASSIFIED"/>
          <xsd:enumeration value="DLM: For Official Use Only"/>
          <xsd:enumeration value="DLM: Sensitive"/>
          <xsd:enumeration value="DLM: Sensitive: Legal"/>
          <xsd:enumeration value="DLM: Sensitive: Personal"/>
          <xsd:enumeration value="PROTECTED"/>
          <xsd:enumeration value="PROTECTED: Sensitive: Cabinet"/>
          <xsd:enumeration value="UNOFFICIAL"/>
        </xsd:restriction>
      </xsd:simpleType>
    </xsd:element>
    <xsd:element name="APRAKeywords" ma:index="16" nillable="true" ma:displayName="Keywords" ma:internalName="APRAKeywords" ma:readOnly="false">
      <xsd:simpleType>
        <xsd:restriction base="dms:Text"/>
      </xsd:simpleType>
    </xsd:element>
    <xsd:element name="APRADate" ma:index="18" nillable="true" ma:displayName="Date" ma:format="DateOnly" ma:internalName="APRADate" ma:readOnly="false">
      <xsd:simpleType>
        <xsd:restriction base="dms:DateTime"/>
      </xsd:simpleType>
    </xsd:element>
    <xsd:element name="APRAOwner" ma:index="21" nillable="true" ma:displayName="Owner" ma:list="UserInfo" ma:internalName="APRA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edBy" ma:index="22" nillable="true" ma:displayName="Approved by" ma:list="UserInfo" ma:internalName="APRAApproved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alDate" ma:index="23" nillable="true" ma:displayName="Approval date" ma:format="DateOnly" ma:internalName="APRAApprovalDate" ma:readOnly="false">
      <xsd:simpleType>
        <xsd:restriction base="dms:DateTime"/>
      </xsd:simpleType>
    </xsd:element>
    <xsd:element name="APRAEntityID" ma:index="24" nillable="true" ma:displayName="Entity ID" ma:internalName="APRAEntityID" ma:readOnly="true">
      <xsd:simpleType>
        <xsd:restriction base="dms:Text"/>
      </xsd:simpleType>
    </xsd:element>
    <xsd:element name="APRAEntityName" ma:index="25" nillable="true" ma:displayName="Entity name" ma:internalName="APRAEntityName" ma:readOnly="true">
      <xsd:simpleType>
        <xsd:restriction base="dms:Text"/>
      </xsd:simpleType>
    </xsd:element>
    <xsd:element name="Received" ma:index="28" nillable="true" ma:displayName="Received" ma:format="DateTime" ma:internalName="Received" ma:readOnly="true">
      <xsd:simpleType>
        <xsd:restriction base="dms:DateTime"/>
      </xsd:simpleType>
    </xsd:element>
    <xsd:element name="From-Address" ma:index="29" nillable="true" ma:displayName="From-Address" ma:internalName="From_x002d_Address" ma:readOnly="true">
      <xsd:simpleType>
        <xsd:restriction base="dms:Text"/>
      </xsd:simpleType>
    </xsd:element>
    <xsd:element name="To-Address" ma:index="30" nillable="true" ma:displayName="To-Address" ma:internalName="To_x002d_Address" ma:readOnly="true">
      <xsd:simpleType>
        <xsd:restriction base="dms:Text"/>
      </xsd:simpleType>
    </xsd:element>
    <xsd:element name="Attachment" ma:index="31" nillable="true" ma:displayName="Attachment" ma:internalName="Attachment" ma:readOnly="true">
      <xsd:simpleType>
        <xsd:restriction base="dms:Boolean"/>
      </xsd:simpleType>
    </xsd:element>
    <xsd:element name="Conversation" ma:index="32" nillable="true" ma:displayName="Conversation" ma:internalName="Conversation" ma:readOnly="true">
      <xsd:simpleType>
        <xsd:restriction base="dms:Text"/>
      </xsd:simpleType>
    </xsd:element>
    <xsd:element name="APRADocScanCheck" ma:index="33" nillable="true" ma:displayName="Scanned document checked" ma:default="0" ma:internalName="APRADocScanCheck" ma:readOnly="false">
      <xsd:simpleType>
        <xsd:restriction base="dms:Boolean"/>
      </xsd:simpleType>
    </xsd:element>
    <xsd:element name="j163382b748246d3b6e7caae71dbeeb0" ma:index="34" ma:taxonomy="true" ma:internalName="j163382b748246d3b6e7caae71dbeeb0" ma:taxonomyFieldName="APRAStatus" ma:displayName="Status" ma:readOnly="false" ma:default="1;#Draft|0e1556d2-3fe8-443a-ada7-3620563b46b3" ma:fieldId="{3163382b-7482-46d3-b6e7-caae71dbeeb0}" ma:sspId="8aef97a4-ded2-4e4a-9fbc-e666dae3ecd2" ma:termSetId="7eb4e65e-417b-4c63-9676-ecbbffa46ff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84b4f8578a44cfae4f67a86df81119" ma:index="35" nillable="true" ma:taxonomy="true" ma:internalName="f284b4f8578a44cfae4f67a86df81119" ma:taxonomyFieldName="APRAReportingGroup" ma:displayName="Reporting group" ma:readOnly="true" ma:fieldId="{f284b4f8-578a-44cf-ae4f-67a86df81119}" ma:sspId="8aef97a4-ded2-4e4a-9fbc-e666dae3ecd2" ma:termSetId="c09f06e2-9097-495c-bd1d-5eef1197c3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05115a133414b4dabee2531e4b46b67" ma:index="39" ma:taxonomy="true" ma:internalName="i05115a133414b4dabee2531e4b46b67" ma:taxonomyFieldName="APRAActivity" ma:displayName="Activity" ma:readOnly="false" ma:fieldId="{205115a1-3341-4b4d-abee-2531e4b46b67}" ma:taxonomyMulti="true" ma:sspId="8aef97a4-ded2-4e4a-9fbc-e666dae3ecd2" ma:termSetId="0a2aee47-fbed-4b43-b934-0547b3421a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7caa35a4114acd8e15fe89b3f29f9e" ma:index="40" ma:taxonomy="true" ma:internalName="h67caa35a4114acd8e15fe89b3f29f9e" ma:taxonomyFieldName="APRADocumentType" ma:displayName="Document type" ma:readOnly="false" ma:fieldId="{167caa35-a411-4acd-8e15-fe89b3f29f9e}" ma:taxonomyMulti="true" ma:sspId="8aef97a4-ded2-4e4a-9fbc-e666dae3ecd2" ma:termSetId="af1c35f7-5763-4cde-bc1a-b0c7e164f1e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a005173035e41c3986b37b8e650f3ef" ma:index="41" nillable="true" ma:taxonomy="true" ma:internalName="pa005173035e41c3986b37b8e650f3ef" ma:taxonomyFieldName="APRAExternalOrganisation" ma:displayName="External organisation" ma:readOnly="false" ma:fieldId="{9a005173-035e-41c3-986b-37b8e650f3ef}" ma:taxonomyMulti="true" ma:sspId="8aef97a4-ded2-4e4a-9fbc-e666dae3ecd2" ma:termSetId="8f5dd4ac-0a4b-4ffd-a2d2-a2e85755e1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0c80fc2da942ae8f2ea9b33b6ea0ba" ma:index="43" nillable="true" ma:taxonomy="true" ma:internalName="p10c80fc2da942ae8f2ea9b33b6ea0ba" ma:taxonomyFieldName="APRACostCentre" ma:displayName="Cost Centre/Team" ma:readOnly="false" ma:fieldId="{910c80fc-2da9-42ae-8f2e-a9b33b6ea0ba}" ma:taxonomyMulti="true" ma:sspId="8aef97a4-ded2-4e4a-9fbc-e666dae3ecd2" ma:termSetId="f265c3b6-05fc-4e2c-ba60-4d4988c2d8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a2715b9eb154114a4f57d7fbf82ec75" ma:index="45" nillable="true" ma:taxonomy="true" ma:internalName="ka2715b9eb154114a4f57d7fbf82ec75" ma:taxonomyFieldName="APRAPeriod" ma:displayName="Period" ma:readOnly="false" ma:fieldId="{4a2715b9-eb15-4114-a4f5-7d7fbf82ec75}" ma:taxonomyMulti="true" ma:sspId="8aef97a4-ded2-4e4a-9fbc-e666dae3ecd2" ma:termSetId="1a5cf56a-d80d-4891-bac9-68519ce5a3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6" nillable="true" ma:displayName="Taxonomy Catch All Column" ma:hidden="true" ma:list="{daec4cee-bc29-40dd-9633-3369b11337a8}" ma:internalName="TaxCatchAll" ma:showField="CatchAllData" ma:web="ad6dddf9-383b-42a4-9cb2-33e024a978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8e72d8ce2b4ffa9361f9f4e0a63abc" ma:index="47" nillable="true" ma:taxonomy="true" ma:internalName="i08e72d8ce2b4ffa9361f9f4e0a63abc" ma:taxonomyFieldName="APRAYear" ma:displayName="Year" ma:readOnly="false" ma:fieldId="{208e72d8-ce2b-4ffa-9361-f9f4e0a63abc}" ma:taxonomyMulti="true" ma:sspId="8aef97a4-ded2-4e4a-9fbc-e666dae3ecd2" ma:termSetId="b4e5147a-ac61-437a-b431-73cf5e3f50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48" nillable="true" ma:displayName="Taxonomy Catch All Column1" ma:hidden="true" ma:list="{daec4cee-bc29-40dd-9633-3369b11337a8}" ma:internalName="TaxCatchAllLabel" ma:readOnly="true" ma:showField="CatchAllDataLabel" ma:web="ad6dddf9-383b-42a4-9cb2-33e024a978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c4067bd02f14cf3a95ad35878404a71" ma:index="49" nillable="true" ma:taxonomy="true" ma:internalName="ic4067bd02f14cf3a95ad35878404a71" ma:taxonomyFieldName="APRAIRTR" ma:displayName="Industry risk/thematic review" ma:readOnly="false" ma:fieldId="{2c4067bd-02f1-4cf3-a95a-d35878404a71}" ma:taxonomyMulti="true" ma:sspId="8aef97a4-ded2-4e4a-9fbc-e666dae3ecd2" ma:termSetId="6721df7c-916a-435f-a198-7feb96db39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03ee8eff60461aa1bd0027aba92ea4" ma:index="50" nillable="true" ma:taxonomy="true" ma:internalName="l003ee8eff60461aa1bd0027aba92ea4" ma:taxonomyFieldName="APRAIndustry" ma:displayName="Industry/Sector" ma:readOnly="false" ma:fieldId="{5003ee8e-ff60-461a-a1bd-0027aba92ea4}" ma:taxonomyMulti="true" ma:sspId="8aef97a4-ded2-4e4a-9fbc-e666dae3ecd2" ma:termSetId="d46a36ff-b81c-47a6-84c2-b6a574ca6a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7d8d7e823543f58f89056343a9035c" ma:index="51" nillable="true" ma:taxonomy="true" ma:internalName="b37d8d7e823543f58f89056343a9035c" ma:taxonomyFieldName="APRALegislation" ma:displayName="Legislation" ma:readOnly="false" ma:fieldId="{b37d8d7e-8235-43f5-8f89-056343a9035c}" ma:taxonomyMulti="true" ma:sspId="8aef97a4-ded2-4e4a-9fbc-e666dae3ecd2" ma:termSetId="67e0a470-b4af-4691-908a-b900ee38db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5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aa36a5a650d54f768f171f4d17b8b238" ma:index="53" nillable="true" ma:taxonomy="true" ma:internalName="aa36a5a650d54f768f171f4d17b8b238" ma:taxonomyFieldName="APRAPRSG" ma:displayName="Prudential/Reporting Standards and Guidance" ma:readOnly="false" ma:fieldId="{aa36a5a6-50d5-4f76-8f17-1f4d17b8b238}" ma:taxonomyMulti="true" ma:sspId="8aef97a4-ded2-4e4a-9fbc-e666dae3ecd2" ma:termSetId="1abfbd64-a7ba-41ad-bd44-677dfc6b15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24204a644741eb9f777fcb03fe8840" ma:index="55" nillable="true" ma:taxonomy="true" ma:internalName="j724204a644741eb9f777fcb03fe8840" ma:taxonomyFieldName="APRACategory" ma:displayName="Category" ma:readOnly="false" ma:fieldId="{3724204a-6447-41eb-9f77-7fcb03fe8840}" ma:taxonomyMulti="true" ma:sspId="8aef97a4-ded2-4e4a-9fbc-e666dae3ecd2" ma:termSetId="41464afd-e131-42da-a884-f3396a619f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2df5fdf6d1643b4a596982762bb3d00" ma:index="56" nillable="true" ma:taxonomy="true" ma:internalName="m2df5fdf6d1643b4a596982762bb3d00" ma:taxonomyFieldName="APRAPeerGroup" ma:displayName="Peer group" ma:readOnly="true" ma:fieldId="{62df5fdf-6d16-43b4-a596-982762bb3d00}" ma:sspId="8aef97a4-ded2-4e4a-9fbc-e666dae3ecd2" ma:termSetId="c3795591-82c1-4a32-b59e-800e245edd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4bcc0d734474fea9fb713d9c415b4b0" ma:index="57" nillable="true" ma:taxonomy="true" ma:internalName="k4bcc0d734474fea9fb713d9c415b4b0" ma:taxonomyFieldName="APRAEntityAdviceSupport" ma:displayName="Entity (advice/support)" ma:readOnly="false" ma:fieldId="{44bcc0d7-3447-4fea-9fb7-13d9c415b4b0}" ma:taxonomyMulti="true" ma:sspId="8aef97a4-ded2-4e4a-9fbc-e666dae3ecd2" ma:termSetId="65e4e273-0c24-4815-bb8d-38cd0e8111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9a849fd1b8e46ada0321eb0681a10ee" ma:index="59" nillable="true" ma:taxonomy="true" ma:internalName="d9a849fd1b8e46ada0321eb0681a10ee" ma:taxonomyFieldName="IT_x0020_system_x0020_type" ma:displayName="IT system type" ma:readOnly="false" ma:default="" ma:fieldId="{d9a849fd-1b8e-46ad-a032-1eb0681a10ee}" ma:sspId="8aef97a4-ded2-4e4a-9fbc-e666dae3ecd2" ma:termSetId="a68d55e5-4bde-43c7-bab2-2f4763c2c7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PRAMeetingDate" ma:index="61" nillable="true" ma:displayName="Meeting date" ma:format="DateOnly" ma:internalName="APRAMeetingDate" ma:readOnly="false">
      <xsd:simpleType>
        <xsd:restriction base="dms:DateTime"/>
      </xsd:simpleType>
    </xsd:element>
    <xsd:element name="APRAMeetingNumber" ma:index="62" nillable="true" ma:displayName="Meeting no." ma:internalName="APRAMeetingNumbe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05115a133414b4dabee2531e4b46b67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Data collection</TermName>
          <TermId xmlns="http://schemas.microsoft.com/office/infopath/2007/PartnerControls">9c208ec1-acb8-4005-ba1a-e7d4ed62ea16</TermId>
        </TermInfo>
        <TermInfo xmlns="http://schemas.microsoft.com/office/infopath/2007/PartnerControls">
          <TermName xmlns="http://schemas.microsoft.com/office/infopath/2007/PartnerControls">Development</TermName>
          <TermId xmlns="http://schemas.microsoft.com/office/infopath/2007/PartnerControls">7276960b-cd04-4fd9-bbf6-f5b03d867772</TermId>
        </TermInfo>
      </Terms>
    </i05115a133414b4dabee2531e4b46b67>
    <h67caa35a4114acd8e15fe89b3f29f9e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Reporting standard</TermName>
          <TermId xmlns="http://schemas.microsoft.com/office/infopath/2007/PartnerControls">91896cd9-c8c4-4f0d-b59e-113a28881d1d</TermId>
        </TermInfo>
      </Terms>
    </h67caa35a4114acd8e15fe89b3f29f9e>
    <b37d8d7e823543f58f89056343a9035c xmlns="814d62cb-2db6-4c25-ab62-b9075facbc11">
      <Terms xmlns="http://schemas.microsoft.com/office/infopath/2007/PartnerControls"/>
    </b37d8d7e823543f58f89056343a9035c>
    <d9a849fd1b8e46ada0321eb0681a10ee xmlns="814d62cb-2db6-4c25-ab62-b9075facbc11">
      <Terms xmlns="http://schemas.microsoft.com/office/infopath/2007/PartnerControls"/>
    </d9a849fd1b8e46ada0321eb0681a10ee>
    <APRAOwner xmlns="814d62cb-2db6-4c25-ab62-b9075facbc11">
      <UserInfo>
        <DisplayName/>
        <AccountId xsi:nil="true"/>
        <AccountType/>
      </UserInfo>
    </APRAOwner>
    <ic4067bd02f14cf3a95ad35878404a71 xmlns="814d62cb-2db6-4c25-ab62-b9075facbc11">
      <Terms xmlns="http://schemas.microsoft.com/office/infopath/2007/PartnerControls"/>
    </ic4067bd02f14cf3a95ad35878404a71>
    <APRASecurityClassification xmlns="814d62cb-2db6-4c25-ab62-b9075facbc11">UNCLASSIFIED</APRASecurityClassification>
    <j724204a644741eb9f777fcb03fe8840 xmlns="814d62cb-2db6-4c25-ab62-b9075facbc11">
      <Terms xmlns="http://schemas.microsoft.com/office/infopath/2007/PartnerControls"/>
    </j724204a644741eb9f777fcb03fe8840>
    <APRAApprovalDate xmlns="814d62cb-2db6-4c25-ab62-b9075facbc11" xsi:nil="true"/>
    <k4bcc0d734474fea9fb713d9c415b4b0 xmlns="814d62cb-2db6-4c25-ab62-b9075facbc11">
      <Terms xmlns="http://schemas.microsoft.com/office/infopath/2007/PartnerControls"/>
    </k4bcc0d734474fea9fb713d9c415b4b0>
    <APRAKeywords xmlns="814d62cb-2db6-4c25-ab62-b9075facbc11" xsi:nil="true"/>
    <APRAApprovedBy xmlns="814d62cb-2db6-4c25-ab62-b9075facbc11">
      <UserInfo>
        <DisplayName/>
        <AccountId xsi:nil="true"/>
        <AccountType/>
      </UserInfo>
    </APRAApprovedBy>
    <APRAMeetingDate xmlns="814d62cb-2db6-4c25-ab62-b9075facbc11" xsi:nil="true"/>
    <APRAMeetingNumber xmlns="814d62cb-2db6-4c25-ab62-b9075facbc11" xsi:nil="true"/>
    <APRADate xmlns="814d62cb-2db6-4c25-ab62-b9075facbc11" xsi:nil="true"/>
    <j163382b748246d3b6e7caae71dbeeb0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0e1556d2-3fe8-443a-ada7-3620563b46b3</TermId>
        </TermInfo>
      </Terms>
    </j163382b748246d3b6e7caae71dbeeb0>
    <TaxCatchAll xmlns="814d62cb-2db6-4c25-ab62-b9075facbc11">
      <Value>48</Value>
      <Value>47</Value>
      <Value>20</Value>
      <Value>7</Value>
      <Value>38</Value>
      <Value>173</Value>
      <Value>1</Value>
    </TaxCatchAll>
    <pa005173035e41c3986b37b8e650f3ef xmlns="814d62cb-2db6-4c25-ab62-b9075facbc11">
      <Terms xmlns="http://schemas.microsoft.com/office/infopath/2007/PartnerControls"/>
    </pa005173035e41c3986b37b8e650f3ef>
    <ka2715b9eb154114a4f57d7fbf82ec75 xmlns="814d62cb-2db6-4c25-ab62-b9075facbc11">
      <Terms xmlns="http://schemas.microsoft.com/office/infopath/2007/PartnerControls"/>
    </ka2715b9eb154114a4f57d7fbf82ec75>
    <l003ee8eff60461aa1bd0027aba92ea4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ADI</TermName>
          <TermId xmlns="http://schemas.microsoft.com/office/infopath/2007/PartnerControls">906b8d6f-8851-e311-9e2e-005056b54f10</TermId>
        </TermInfo>
        <TermInfo xmlns="http://schemas.microsoft.com/office/infopath/2007/PartnerControls">
          <TermName xmlns="http://schemas.microsoft.com/office/infopath/2007/PartnerControls">Registered Financial Corporations</TermName>
          <TermId xmlns="http://schemas.microsoft.com/office/infopath/2007/PartnerControls">c06b8d6f-8851-e311-9e2e-005056b54f10</TermId>
        </TermInfo>
      </Terms>
    </l003ee8eff60461aa1bd0027aba92ea4>
    <APRADescription xmlns="814d62cb-2db6-4c25-ab62-b9075facbc11">EFS reporting standard</APRADescription>
    <APRAActivityID xmlns="814d62cb-2db6-4c25-ab62-b9075facbc11" xsi:nil="true"/>
    <p10c80fc2da942ae8f2ea9b33b6ea0ba xmlns="814d62cb-2db6-4c25-ab62-b9075facbc11">
      <Terms xmlns="http://schemas.microsoft.com/office/infopath/2007/PartnerControls"/>
    </p10c80fc2da942ae8f2ea9b33b6ea0ba>
    <i08e72d8ce2b4ffa9361f9f4e0a63abc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2017</TermName>
          <TermId xmlns="http://schemas.microsoft.com/office/infopath/2007/PartnerControls">d3a4eca2-678d-4407-b6b0-19c597d571b1</TermId>
        </TermInfo>
      </Terms>
    </i08e72d8ce2b4ffa9361f9f4e0a63abc>
    <APRADocScanCheck xmlns="814d62cb-2db6-4c25-ab62-b9075facbc11">false</APRADocScanCheck>
    <aa36a5a650d54f768f171f4d17b8b238 xmlns="814d62cb-2db6-4c25-ab62-b9075facbc11">
      <Terms xmlns="http://schemas.microsoft.com/office/infopath/2007/PartnerControls"/>
    </aa36a5a650d54f768f171f4d17b8b238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3A5411-95C8-4C5A-BD36-E4589C15A5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80B10C-DE0D-485B-A042-E6E95B860E9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D706D8E-B16C-48A5-9398-2A1130BC6508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DEBB61E9-6A49-4B74-B837-2E36AE1B124A}">
  <ds:schemaRefs>
    <ds:schemaRef ds:uri="http://schemas.microsoft.com/office/2006/metadata/longProperties"/>
    <ds:schemaRef ds:uri=""/>
  </ds:schemaRefs>
</ds:datastoreItem>
</file>

<file path=customXml/itemProps5.xml><?xml version="1.0" encoding="utf-8"?>
<ds:datastoreItem xmlns:ds="http://schemas.openxmlformats.org/officeDocument/2006/customXml" ds:itemID="{4CB26610-A241-4335-8622-C845D0090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d62cb-2db6-4c25-ab62-b9075facb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DC31D07-E811-4DB0-9179-6CDC7B4F50B9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814d62cb-2db6-4c25-ab62-b9075facbc1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F6B30913-7963-4DC1-A251-F7671635FF57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0333D9D2-12AD-4235-9BA3-7235AEF7E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2379</Words>
  <Characters>12926</Characters>
  <Application>Microsoft Office Word</Application>
  <DocSecurity>0</DocSecurity>
  <Lines>408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ARS 720.7 ABSRBA Bill Acceptances and Endorsements</vt:lpstr>
    </vt:vector>
  </TitlesOfParts>
  <Company>APRA</Company>
  <LinksUpToDate>false</LinksUpToDate>
  <CharactersWithSpaces>15214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ARS 720.7 ABSRBA Bill Acceptances and Endorsements</dc:title>
  <dc:subject/>
  <dc:creator>David Shade</dc:creator>
  <cp:keywords>[SEC=UNCLASSIFIED]</cp:keywords>
  <cp:lastModifiedBy>APRA_Legal</cp:lastModifiedBy>
  <cp:revision>3</cp:revision>
  <cp:lastPrinted>2018-12-19T20:08:00Z</cp:lastPrinted>
  <dcterms:created xsi:type="dcterms:W3CDTF">2019-02-01T06:10:00Z</dcterms:created>
  <dcterms:modified xsi:type="dcterms:W3CDTF">2019-02-01T06:11:00Z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Originator_Hash_SHA1">
    <vt:lpwstr>557EF7C4607BAC242DFA4DE2434DC12D4E1CBD2C</vt:lpwstr>
  </property>
  <property fmtid="{D5CDD505-2E9C-101B-9397-08002B2CF9AE}" pid="3" name="PM_SecurityClassification">
    <vt:lpwstr>UNCLASSIFIED</vt:lpwstr>
  </property>
  <property fmtid="{D5CDD505-2E9C-101B-9397-08002B2CF9AE}" pid="4" name="PM_DisplayValueSecClassificationWithQualifier">
    <vt:lpwstr>UNCLASSIFIED</vt:lpwstr>
  </property>
  <property fmtid="{D5CDD505-2E9C-101B-9397-08002B2CF9AE}" pid="5" name="PM_Qualifier">
    <vt:lpwstr/>
  </property>
  <property fmtid="{D5CDD505-2E9C-101B-9397-08002B2CF9AE}" pid="6" name="PM_Hash_SHA1">
    <vt:lpwstr>14DEDD9993BDCFB432BE50A8A3CFFDF9AEB1E2BB</vt:lpwstr>
  </property>
  <property fmtid="{D5CDD505-2E9C-101B-9397-08002B2CF9AE}" pid="7" name="PM_InsertionValue">
    <vt:lpwstr>UNCLASSIFIED</vt:lpwstr>
  </property>
  <property fmtid="{D5CDD505-2E9C-101B-9397-08002B2CF9AE}" pid="8" name="PM_Hash_Salt">
    <vt:lpwstr>082BF2A4EBCB82DF6412A188E6B60D50</vt:lpwstr>
  </property>
  <property fmtid="{D5CDD505-2E9C-101B-9397-08002B2CF9AE}" pid="9" name="PM_Hash_Version">
    <vt:lpwstr>2016.1</vt:lpwstr>
  </property>
  <property fmtid="{D5CDD505-2E9C-101B-9397-08002B2CF9AE}" pid="10" name="PM_Hash_Salt_Prev">
    <vt:lpwstr>7619D687EFFE17E4A7A5A50F6E9FAB08</vt:lpwstr>
  </property>
  <property fmtid="{D5CDD505-2E9C-101B-9397-08002B2CF9AE}" pid="11" name="PM_Caveats_Count">
    <vt:lpwstr>0</vt:lpwstr>
  </property>
  <property fmtid="{D5CDD505-2E9C-101B-9397-08002B2CF9AE}" pid="12" name="PM_SecurityClassification_Prev">
    <vt:lpwstr>UNCLASSIFIED</vt:lpwstr>
  </property>
  <property fmtid="{D5CDD505-2E9C-101B-9397-08002B2CF9AE}" pid="13" name="PM_Qualifier_Prev">
    <vt:lpwstr/>
  </property>
  <property fmtid="{D5CDD505-2E9C-101B-9397-08002B2CF9AE}" pid="14" name="IsLocked">
    <vt:lpwstr>False</vt:lpwstr>
  </property>
  <property fmtid="{D5CDD505-2E9C-101B-9397-08002B2CF9AE}" pid="15" name="APRAPeriod">
    <vt:lpwstr/>
  </property>
  <property fmtid="{D5CDD505-2E9C-101B-9397-08002B2CF9AE}" pid="16" name="APRAPRSG">
    <vt:lpwstr/>
  </property>
  <property fmtid="{D5CDD505-2E9C-101B-9397-08002B2CF9AE}" pid="17" name="APRAActivity">
    <vt:lpwstr>47;#Data collection|9c208ec1-acb8-4005-ba1a-e7d4ed62ea16;#48;#Development|7276960b-cd04-4fd9-bbf6-f5b03d867772</vt:lpwstr>
  </property>
  <property fmtid="{D5CDD505-2E9C-101B-9397-08002B2CF9AE}" pid="18" name="RecordPoint_WorkflowType">
    <vt:lpwstr>ActiveSubmitStub</vt:lpwstr>
  </property>
  <property fmtid="{D5CDD505-2E9C-101B-9397-08002B2CF9AE}" pid="19" name="RecordPoint_ActiveItemUniqueId">
    <vt:lpwstr>{89076cfe-9504-49fd-bd86-e62224f30b92}</vt:lpwstr>
  </property>
  <property fmtid="{D5CDD505-2E9C-101B-9397-08002B2CF9AE}" pid="20" name="RecordPoint_SubmissionCompleted">
    <vt:lpwstr>2019-02-01T12:29:02.4767057+11:00</vt:lpwstr>
  </property>
  <property fmtid="{D5CDD505-2E9C-101B-9397-08002B2CF9AE}" pid="21" name="APRAYear">
    <vt:lpwstr>20;#2017|d3a4eca2-678d-4407-b6b0-19c597d571b1</vt:lpwstr>
  </property>
  <property fmtid="{D5CDD505-2E9C-101B-9397-08002B2CF9AE}" pid="22" name="APRAIndustry">
    <vt:lpwstr>7;#ADI|906b8d6f-8851-e311-9e2e-005056b54f10;#38;#Registered Financial Corporations|c06b8d6f-8851-e311-9e2e-005056b54f10</vt:lpwstr>
  </property>
  <property fmtid="{D5CDD505-2E9C-101B-9397-08002B2CF9AE}" pid="23" name="_dlc_DocId">
    <vt:lpwstr>3W63SCYY7KA6-1565629875-11345</vt:lpwstr>
  </property>
  <property fmtid="{D5CDD505-2E9C-101B-9397-08002B2CF9AE}" pid="24" name="_dlc_DocIdItemGuid">
    <vt:lpwstr>89076cfe-9504-49fd-bd86-e62224f30b92</vt:lpwstr>
  </property>
  <property fmtid="{D5CDD505-2E9C-101B-9397-08002B2CF9AE}" pid="25" name="_dlc_DocIdUrl">
    <vt:lpwstr>https://im/teams/DA/_layouts/15/DocIdRedir.aspx?ID=3W63SCYY7KA6-1565629875-11345, 3W63SCYY7KA6-1565629875-11345</vt:lpwstr>
  </property>
  <property fmtid="{D5CDD505-2E9C-101B-9397-08002B2CF9AE}" pid="26" name="APRACostCentre">
    <vt:lpwstr/>
  </property>
  <property fmtid="{D5CDD505-2E9C-101B-9397-08002B2CF9AE}" pid="27" name="APRAEntityAdviceSupport">
    <vt:lpwstr/>
  </property>
  <property fmtid="{D5CDD505-2E9C-101B-9397-08002B2CF9AE}" pid="28" name="APRAExternalOrganisation">
    <vt:lpwstr/>
  </property>
  <property fmtid="{D5CDD505-2E9C-101B-9397-08002B2CF9AE}" pid="29" name="APRALegislation">
    <vt:lpwstr/>
  </property>
  <property fmtid="{D5CDD505-2E9C-101B-9397-08002B2CF9AE}" pid="30" name="APRAIRTR">
    <vt:lpwstr/>
  </property>
  <property fmtid="{D5CDD505-2E9C-101B-9397-08002B2CF9AE}" pid="31" name="APRACategory">
    <vt:lpwstr/>
  </property>
  <property fmtid="{D5CDD505-2E9C-101B-9397-08002B2CF9AE}" pid="32" name="APRADocumentType">
    <vt:lpwstr>173;#Reporting standard|91896cd9-c8c4-4f0d-b59e-113a28881d1d</vt:lpwstr>
  </property>
  <property fmtid="{D5CDD505-2E9C-101B-9397-08002B2CF9AE}" pid="33" name="APRAStatus">
    <vt:lpwstr>1;#Draft|0e1556d2-3fe8-443a-ada7-3620563b46b3</vt:lpwstr>
  </property>
  <property fmtid="{D5CDD505-2E9C-101B-9397-08002B2CF9AE}" pid="34" name="RecordPoint_ActiveItemSiteId">
    <vt:lpwstr>{99f7d170-f886-4b78-8389-87e4657e4bc8}</vt:lpwstr>
  </property>
  <property fmtid="{D5CDD505-2E9C-101B-9397-08002B2CF9AE}" pid="35" name="RecordPoint_ActiveItemListId">
    <vt:lpwstr>{61fbfb6e-bac9-459c-9569-360598f35847}</vt:lpwstr>
  </property>
  <property fmtid="{D5CDD505-2E9C-101B-9397-08002B2CF9AE}" pid="36" name="RecordPoint_ActiveItemWebId">
    <vt:lpwstr>{ad6dddf9-383b-42a4-9cb2-33e024a97839}</vt:lpwstr>
  </property>
  <property fmtid="{D5CDD505-2E9C-101B-9397-08002B2CF9AE}" pid="37" name="RecordPoint_RecordNumberSubmitted">
    <vt:lpwstr>R0000410624</vt:lpwstr>
  </property>
  <property fmtid="{D5CDD505-2E9C-101B-9397-08002B2CF9AE}" pid="38" name="_docset_NoMedatataSyncRequired">
    <vt:lpwstr>False</vt:lpwstr>
  </property>
  <property fmtid="{D5CDD505-2E9C-101B-9397-08002B2CF9AE}" pid="39" name="PM_ProtectiveMarkingImage_Header">
    <vt:lpwstr>C:\Program Files (x86)\Common Files\janusNET Shared\janusSEAL\Images\DocumentSlashBlue.png</vt:lpwstr>
  </property>
  <property fmtid="{D5CDD505-2E9C-101B-9397-08002B2CF9AE}" pid="40" name="PM_ProtectiveMarkingValue_Header">
    <vt:lpwstr>UNCLASSIFIED</vt:lpwstr>
  </property>
  <property fmtid="{D5CDD505-2E9C-101B-9397-08002B2CF9AE}" pid="41" name="PM_ProtectiveMarkingValue_Footer">
    <vt:lpwstr>UNCLASSIFIED</vt:lpwstr>
  </property>
  <property fmtid="{D5CDD505-2E9C-101B-9397-08002B2CF9AE}" pid="42" name="PM_ProtectiveMarkingImage_Footer">
    <vt:lpwstr>C:\Program Files (x86)\Common Files\janusNET Shared\janusSEAL\Images\DocumentSlashBlue.png</vt:lpwstr>
  </property>
  <property fmtid="{D5CDD505-2E9C-101B-9397-08002B2CF9AE}" pid="43" name="PM_Namespace">
    <vt:lpwstr>gov.au</vt:lpwstr>
  </property>
  <property fmtid="{D5CDD505-2E9C-101B-9397-08002B2CF9AE}" pid="44" name="PM_Version">
    <vt:lpwstr>2012.3</vt:lpwstr>
  </property>
  <property fmtid="{D5CDD505-2E9C-101B-9397-08002B2CF9AE}" pid="45" name="PM_Originating_FileId">
    <vt:lpwstr>B0CED1A0EBE74D44848127276DB3FE69</vt:lpwstr>
  </property>
  <property fmtid="{D5CDD505-2E9C-101B-9397-08002B2CF9AE}" pid="46" name="PM_OriginationTimeStamp">
    <vt:lpwstr>2018-03-01T03:53:32Z</vt:lpwstr>
  </property>
  <property fmtid="{D5CDD505-2E9C-101B-9397-08002B2CF9AE}" pid="47" name="IT system type">
    <vt:lpwstr/>
  </property>
  <property fmtid="{D5CDD505-2E9C-101B-9397-08002B2CF9AE}" pid="48" name="PM_MinimumSecurityClassification">
    <vt:lpwstr/>
  </property>
  <property fmtid="{D5CDD505-2E9C-101B-9397-08002B2CF9AE}" pid="49" name="RecordPoint_SubmissionDate">
    <vt:lpwstr/>
  </property>
  <property fmtid="{D5CDD505-2E9C-101B-9397-08002B2CF9AE}" pid="50" name="RecordPoint_ActiveItemMoved">
    <vt:lpwstr/>
  </property>
  <property fmtid="{D5CDD505-2E9C-101B-9397-08002B2CF9AE}" pid="51" name="RecordPoint_RecordFormat">
    <vt:lpwstr/>
  </property>
  <property fmtid="{D5CDD505-2E9C-101B-9397-08002B2CF9AE}" pid="52" name="display_urn:schemas-microsoft-com:office:office#Editor">
    <vt:lpwstr>Ong, Evelyn</vt:lpwstr>
  </property>
  <property fmtid="{D5CDD505-2E9C-101B-9397-08002B2CF9AE}" pid="53" name="Order">
    <vt:lpwstr>1134500.00000000</vt:lpwstr>
  </property>
  <property fmtid="{D5CDD505-2E9C-101B-9397-08002B2CF9AE}" pid="54" name="APRALevelRole">
    <vt:lpwstr/>
  </property>
  <property fmtid="{D5CDD505-2E9C-101B-9397-08002B2CF9AE}" pid="55" name="display_urn:schemas-microsoft-com:office:office#Author">
    <vt:lpwstr>Matsin, Greg</vt:lpwstr>
  </property>
  <property fmtid="{D5CDD505-2E9C-101B-9397-08002B2CF9AE}" pid="56" name="APRACourse">
    <vt:lpwstr/>
  </property>
  <property fmtid="{D5CDD505-2E9C-101B-9397-08002B2CF9AE}" pid="57" name="lf4d1daa69264fbd938fe6384736f7f1">
    <vt:lpwstr/>
  </property>
  <property fmtid="{D5CDD505-2E9C-101B-9397-08002B2CF9AE}" pid="58" name="i203ac9837b842bb9bbae1464c65f93b">
    <vt:lpwstr/>
  </property>
  <property fmtid="{D5CDD505-2E9C-101B-9397-08002B2CF9AE}" pid="59" name="ContentTypeId">
    <vt:lpwstr>0x0101008CA7A4F8331B45C7B0D3158B4994D0CA0200BD2A692CFD66A941B2B82EF45B0E040E</vt:lpwstr>
  </property>
</Properties>
</file>