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8A7DF" w14:textId="77777777" w:rsidR="002E4689" w:rsidRPr="002E4689" w:rsidRDefault="002E4689" w:rsidP="002E4689">
      <w:pPr>
        <w:shd w:val="clear" w:color="auto" w:fill="FFFFFF"/>
        <w:spacing w:before="480" w:after="0"/>
        <w:jc w:val="left"/>
        <w:rPr>
          <w:rFonts w:eastAsia="Times New Roman"/>
          <w:lang w:val="en-US"/>
        </w:rPr>
      </w:pPr>
      <w:r w:rsidRPr="002E4689">
        <w:rPr>
          <w:rFonts w:ascii="Arial" w:eastAsia="Times New Roman" w:hAnsi="Arial" w:cs="Arial"/>
          <w:b/>
          <w:bCs/>
          <w:noProof/>
          <w:color w:val="000000"/>
          <w:sz w:val="40"/>
          <w:szCs w:val="40"/>
        </w:rPr>
        <w:drawing>
          <wp:inline distT="0" distB="0" distL="0" distR="0" wp14:anchorId="6BC2D537" wp14:editId="2C7A9EF6">
            <wp:extent cx="1419225" cy="1104900"/>
            <wp:effectExtent l="0" t="0" r="9525" b="0"/>
            <wp:docPr id="1" name="Picture 1" descr="https://www.legislation.gov.au/Details/F2016L01434/Html/c66138e3-7433-4bed-abea-317a34137e61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egislation.gov.au/Details/F2016L01434/Html/c66138e3-7433-4bed-abea-317a34137e61_files/image0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71CE67D" w14:textId="77777777" w:rsidR="002E4689" w:rsidRPr="001751E4" w:rsidRDefault="002E4689" w:rsidP="002E4689">
      <w:pPr>
        <w:shd w:val="clear" w:color="auto" w:fill="FFFFFF"/>
        <w:spacing w:before="480" w:after="0"/>
        <w:jc w:val="left"/>
        <w:rPr>
          <w:rFonts w:eastAsia="Times New Roman"/>
          <w:sz w:val="40"/>
          <w:szCs w:val="40"/>
          <w:lang w:val="en-US"/>
        </w:rPr>
      </w:pPr>
      <w:r w:rsidRPr="001751E4">
        <w:rPr>
          <w:rFonts w:ascii="Arial" w:eastAsia="Times New Roman" w:hAnsi="Arial" w:cs="Arial"/>
          <w:b/>
          <w:bCs/>
          <w:color w:val="000000"/>
          <w:sz w:val="40"/>
          <w:szCs w:val="40"/>
        </w:rPr>
        <w:t>Banking, Insurance, Life Insurance and Health Insurance (prudential standard) determination No.1 of 201</w:t>
      </w:r>
      <w:r w:rsidR="00CF79AE" w:rsidRPr="001751E4">
        <w:rPr>
          <w:rFonts w:ascii="Arial" w:eastAsia="Times New Roman" w:hAnsi="Arial" w:cs="Arial"/>
          <w:b/>
          <w:bCs/>
          <w:color w:val="000000"/>
          <w:sz w:val="40"/>
          <w:szCs w:val="40"/>
        </w:rPr>
        <w:t>9</w:t>
      </w:r>
      <w:r w:rsidRPr="001751E4">
        <w:rPr>
          <w:rFonts w:ascii="Arial" w:eastAsia="Times New Roman" w:hAnsi="Arial" w:cs="Arial"/>
          <w:b/>
          <w:bCs/>
          <w:color w:val="000000"/>
          <w:sz w:val="40"/>
          <w:szCs w:val="40"/>
        </w:rPr>
        <w:t xml:space="preserve"> </w:t>
      </w:r>
    </w:p>
    <w:p w14:paraId="1AC30009" w14:textId="77777777" w:rsidR="002E4689" w:rsidRPr="0013343F" w:rsidRDefault="002E4689" w:rsidP="002E4689">
      <w:pPr>
        <w:shd w:val="clear" w:color="auto" w:fill="FFFFFF"/>
        <w:spacing w:before="480" w:after="0"/>
        <w:jc w:val="left"/>
        <w:rPr>
          <w:rFonts w:eastAsia="Times New Roman"/>
          <w:b/>
          <w:sz w:val="28"/>
          <w:szCs w:val="28"/>
          <w:lang w:val="en-US"/>
        </w:rPr>
      </w:pPr>
      <w:r w:rsidRPr="0013343F">
        <w:rPr>
          <w:rFonts w:ascii="Arial" w:eastAsia="Times New Roman" w:hAnsi="Arial" w:cs="Arial"/>
          <w:b/>
          <w:bCs/>
          <w:color w:val="000000"/>
          <w:sz w:val="28"/>
          <w:szCs w:val="28"/>
        </w:rPr>
        <w:t>Prudential Standard CPS 220 Risk Management</w:t>
      </w:r>
    </w:p>
    <w:p w14:paraId="45E51CB4" w14:textId="77777777" w:rsidR="002E4689" w:rsidRPr="002E4689" w:rsidRDefault="002E4689" w:rsidP="002E4689">
      <w:pPr>
        <w:shd w:val="clear" w:color="auto" w:fill="FFFFFF"/>
        <w:spacing w:before="480" w:after="0"/>
        <w:jc w:val="left"/>
        <w:rPr>
          <w:rFonts w:eastAsia="Times New Roman"/>
          <w:lang w:val="en-US"/>
        </w:rPr>
      </w:pPr>
      <w:r w:rsidRPr="002E4689">
        <w:rPr>
          <w:rFonts w:ascii="Arial" w:eastAsia="Times New Roman" w:hAnsi="Arial" w:cs="Arial"/>
          <w:i/>
          <w:iCs/>
          <w:color w:val="000000"/>
          <w:sz w:val="28"/>
          <w:szCs w:val="28"/>
        </w:rPr>
        <w:t>Banking Act 1959</w:t>
      </w:r>
    </w:p>
    <w:p w14:paraId="018B1184" w14:textId="77777777" w:rsidR="002E4689" w:rsidRPr="002E4689" w:rsidRDefault="002E4689" w:rsidP="002E4689">
      <w:pPr>
        <w:shd w:val="clear" w:color="auto" w:fill="FFFFFF"/>
        <w:spacing w:after="0"/>
        <w:jc w:val="left"/>
        <w:rPr>
          <w:rFonts w:eastAsia="Times New Roman"/>
          <w:lang w:val="en-US"/>
        </w:rPr>
      </w:pPr>
      <w:r w:rsidRPr="002E4689">
        <w:rPr>
          <w:rFonts w:ascii="Arial" w:eastAsia="Times New Roman" w:hAnsi="Arial" w:cs="Arial"/>
          <w:i/>
          <w:iCs/>
          <w:color w:val="000000"/>
          <w:sz w:val="28"/>
          <w:szCs w:val="28"/>
        </w:rPr>
        <w:t>Insurance Act 1973</w:t>
      </w:r>
    </w:p>
    <w:p w14:paraId="4F2BAC8D" w14:textId="77777777" w:rsidR="002E4689" w:rsidRPr="002E4689" w:rsidRDefault="002E4689" w:rsidP="002E4689">
      <w:pPr>
        <w:shd w:val="clear" w:color="auto" w:fill="FFFFFF"/>
        <w:spacing w:after="0"/>
        <w:jc w:val="left"/>
        <w:rPr>
          <w:rFonts w:ascii="Arial" w:eastAsia="Times New Roman" w:hAnsi="Arial" w:cs="Arial"/>
          <w:i/>
          <w:iCs/>
          <w:color w:val="000000"/>
          <w:sz w:val="28"/>
          <w:szCs w:val="28"/>
        </w:rPr>
      </w:pPr>
      <w:r w:rsidRPr="002E4689">
        <w:rPr>
          <w:rFonts w:ascii="Arial" w:eastAsia="Times New Roman" w:hAnsi="Arial" w:cs="Arial"/>
          <w:i/>
          <w:iCs/>
          <w:color w:val="000000"/>
          <w:sz w:val="28"/>
          <w:szCs w:val="28"/>
        </w:rPr>
        <w:t>Life Insurance Act 1995</w:t>
      </w:r>
    </w:p>
    <w:p w14:paraId="59876E85" w14:textId="77777777" w:rsidR="002E4689" w:rsidRPr="002E4689" w:rsidRDefault="002E4689" w:rsidP="002E4689">
      <w:pPr>
        <w:spacing w:after="0"/>
        <w:jc w:val="left"/>
        <w:rPr>
          <w:rFonts w:eastAsia="Times New Roman"/>
          <w:lang w:val="en-US"/>
        </w:rPr>
      </w:pPr>
      <w:r w:rsidRPr="002E4689">
        <w:rPr>
          <w:rFonts w:ascii="Arial" w:eastAsia="Times New Roman" w:hAnsi="Arial" w:cs="Arial"/>
          <w:i/>
          <w:iCs/>
          <w:color w:val="000000"/>
          <w:sz w:val="28"/>
          <w:szCs w:val="28"/>
        </w:rPr>
        <w:t>Private Health Insurance (Prudential Supervision) Act 2015</w:t>
      </w:r>
    </w:p>
    <w:p w14:paraId="3BA7CCB1" w14:textId="77777777" w:rsidR="002E4689" w:rsidRPr="002E4689" w:rsidRDefault="0013343F" w:rsidP="002E4689">
      <w:pPr>
        <w:shd w:val="clear" w:color="auto" w:fill="FFFFFF"/>
        <w:spacing w:after="0"/>
        <w:ind w:left="720" w:hanging="720"/>
        <w:jc w:val="left"/>
        <w:rPr>
          <w:rFonts w:eastAsia="Times New Roman"/>
          <w:lang w:val="en-US"/>
        </w:rPr>
      </w:pPr>
      <w:r>
        <w:rPr>
          <w:rFonts w:eastAsia="Times New Roman"/>
          <w:noProof/>
          <w:color w:val="000000"/>
        </w:rPr>
        <mc:AlternateContent>
          <mc:Choice Requires="wps">
            <w:drawing>
              <wp:anchor distT="0" distB="0" distL="114300" distR="114300" simplePos="0" relativeHeight="251658240" behindDoc="0" locked="0" layoutInCell="1" allowOverlap="1" wp14:anchorId="77310022" wp14:editId="2DDEFE1B">
                <wp:simplePos x="0" y="0"/>
                <wp:positionH relativeFrom="column">
                  <wp:posOffset>44769</wp:posOffset>
                </wp:positionH>
                <wp:positionV relativeFrom="paragraph">
                  <wp:posOffset>82549</wp:posOffset>
                </wp:positionV>
                <wp:extent cx="52006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20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B81DC"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6.5pt" to="413.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" strokecolor="black [3040]"/>
            </w:pict>
          </mc:Fallback>
        </mc:AlternateContent>
      </w:r>
      <w:r w:rsidR="002E4689" w:rsidRPr="002E4689">
        <w:rPr>
          <w:rFonts w:eastAsia="Times New Roman"/>
          <w:color w:val="000000"/>
        </w:rPr>
        <w:t> </w:t>
      </w:r>
    </w:p>
    <w:p w14:paraId="2F647D1D" w14:textId="77777777" w:rsidR="002E4689" w:rsidRPr="002E4689" w:rsidRDefault="002E4689" w:rsidP="002E4689">
      <w:pPr>
        <w:shd w:val="clear" w:color="auto" w:fill="FFFFFF"/>
        <w:rPr>
          <w:rFonts w:eastAsia="Times New Roman"/>
        </w:rPr>
      </w:pPr>
      <w:r w:rsidRPr="002E4689">
        <w:rPr>
          <w:rFonts w:eastAsia="Times New Roman"/>
        </w:rPr>
        <w:t xml:space="preserve">I, </w:t>
      </w:r>
      <w:r w:rsidR="00CF79AE">
        <w:rPr>
          <w:rFonts w:eastAsia="Times New Roman"/>
        </w:rPr>
        <w:t>Pat Brennan</w:t>
      </w:r>
      <w:r w:rsidR="007217E7">
        <w:rPr>
          <w:rFonts w:eastAsia="Times New Roman"/>
        </w:rPr>
        <w:t>,</w:t>
      </w:r>
      <w:r w:rsidRPr="002E4689">
        <w:rPr>
          <w:rFonts w:eastAsia="Times New Roman"/>
        </w:rPr>
        <w:t xml:space="preserve"> delegate of APRA:</w:t>
      </w:r>
    </w:p>
    <w:p w14:paraId="3D20A112" w14:textId="77777777" w:rsidR="00CF79AE" w:rsidRPr="001751E4" w:rsidRDefault="002E4689" w:rsidP="001751E4">
      <w:pPr>
        <w:numPr>
          <w:ilvl w:val="0"/>
          <w:numId w:val="40"/>
        </w:numPr>
        <w:shd w:val="clear" w:color="auto" w:fill="FFFFFF"/>
        <w:spacing w:after="0"/>
        <w:ind w:hanging="720"/>
        <w:contextualSpacing/>
        <w:rPr>
          <w:rFonts w:eastAsia="Times New Roman"/>
          <w:lang w:val="en-US"/>
        </w:rPr>
      </w:pPr>
      <w:r w:rsidRPr="002E4689">
        <w:rPr>
          <w:rFonts w:eastAsia="Times New Roman"/>
          <w:color w:val="000000"/>
        </w:rPr>
        <w:t>under subsection 11AF(3) of the</w:t>
      </w:r>
      <w:r w:rsidRPr="002E4689">
        <w:rPr>
          <w:rFonts w:eastAsia="Times New Roman"/>
          <w:i/>
          <w:iCs/>
          <w:color w:val="000000"/>
        </w:rPr>
        <w:t xml:space="preserve"> Banking Act 1959</w:t>
      </w:r>
      <w:r w:rsidRPr="002E4689">
        <w:rPr>
          <w:rFonts w:eastAsia="Times New Roman"/>
          <w:color w:val="000000"/>
        </w:rPr>
        <w:t xml:space="preserve"> REVOKE Banking, Insurance</w:t>
      </w:r>
      <w:r w:rsidR="002D2086">
        <w:rPr>
          <w:rFonts w:eastAsia="Times New Roman"/>
          <w:color w:val="000000"/>
        </w:rPr>
        <w:t>,</w:t>
      </w:r>
      <w:r w:rsidRPr="002E4689">
        <w:rPr>
          <w:rFonts w:eastAsia="Times New Roman"/>
          <w:color w:val="000000"/>
        </w:rPr>
        <w:t xml:space="preserve"> Life Insurance </w:t>
      </w:r>
      <w:r w:rsidR="002D2086">
        <w:rPr>
          <w:rFonts w:eastAsia="Times New Roman"/>
          <w:color w:val="000000"/>
        </w:rPr>
        <w:t>and Health Insurance</w:t>
      </w:r>
      <w:r w:rsidRPr="002E4689">
        <w:rPr>
          <w:rFonts w:eastAsia="Times New Roman"/>
          <w:color w:val="000000"/>
        </w:rPr>
        <w:t xml:space="preserve"> (prudential standard) determination No. </w:t>
      </w:r>
      <w:r w:rsidR="00CF79AE">
        <w:rPr>
          <w:rFonts w:eastAsia="Times New Roman"/>
          <w:color w:val="000000"/>
        </w:rPr>
        <w:t>1</w:t>
      </w:r>
      <w:r w:rsidRPr="002E4689">
        <w:rPr>
          <w:rFonts w:eastAsia="Times New Roman"/>
          <w:color w:val="000000"/>
        </w:rPr>
        <w:t xml:space="preserve"> of 201</w:t>
      </w:r>
      <w:r w:rsidR="00CF79AE">
        <w:rPr>
          <w:rFonts w:eastAsia="Times New Roman"/>
          <w:color w:val="000000"/>
        </w:rPr>
        <w:t>7</w:t>
      </w:r>
      <w:r w:rsidRPr="002E4689">
        <w:rPr>
          <w:rFonts w:eastAsia="Times New Roman"/>
        </w:rPr>
        <w:t>, including</w:t>
      </w:r>
      <w:r w:rsidRPr="002E4689">
        <w:rPr>
          <w:rFonts w:eastAsia="Times New Roman"/>
          <w:color w:val="000000"/>
        </w:rPr>
        <w:t xml:space="preserve"> </w:t>
      </w:r>
      <w:r w:rsidRPr="002E4689">
        <w:rPr>
          <w:rFonts w:eastAsia="Times New Roman"/>
          <w:i/>
          <w:iCs/>
          <w:color w:val="000000"/>
        </w:rPr>
        <w:t>Prudential Standard CPS 220 Risk Management</w:t>
      </w:r>
      <w:r w:rsidRPr="002E4689">
        <w:rPr>
          <w:rFonts w:eastAsia="Times New Roman"/>
          <w:color w:val="000000"/>
        </w:rPr>
        <w:t xml:space="preserve"> made under that Determination</w:t>
      </w:r>
      <w:r w:rsidR="00CF79AE">
        <w:rPr>
          <w:rFonts w:eastAsia="Times New Roman"/>
          <w:color w:val="000000"/>
        </w:rPr>
        <w:t>;</w:t>
      </w:r>
    </w:p>
    <w:p w14:paraId="27CFF9B8" w14:textId="77777777" w:rsidR="002E4689" w:rsidRPr="002E4689" w:rsidRDefault="002E4689" w:rsidP="001751E4">
      <w:pPr>
        <w:shd w:val="clear" w:color="auto" w:fill="FFFFFF"/>
        <w:spacing w:after="0"/>
        <w:ind w:left="720"/>
        <w:contextualSpacing/>
        <w:rPr>
          <w:rFonts w:eastAsia="Times New Roman"/>
          <w:lang w:val="en-US"/>
        </w:rPr>
      </w:pPr>
      <w:r w:rsidRPr="002E4689">
        <w:rPr>
          <w:rFonts w:eastAsia="Times New Roman"/>
          <w:color w:val="000000"/>
        </w:rPr>
        <w:t> </w:t>
      </w:r>
    </w:p>
    <w:p w14:paraId="70ABDAF0" w14:textId="77777777" w:rsidR="002E4689" w:rsidRPr="002E4689" w:rsidRDefault="002E4689" w:rsidP="001751E4">
      <w:pPr>
        <w:numPr>
          <w:ilvl w:val="0"/>
          <w:numId w:val="40"/>
        </w:numPr>
        <w:shd w:val="clear" w:color="auto" w:fill="FFFFFF"/>
        <w:spacing w:after="0"/>
        <w:ind w:hanging="720"/>
        <w:contextualSpacing/>
        <w:rPr>
          <w:rFonts w:eastAsia="Times New Roman"/>
          <w:lang w:val="en-US"/>
        </w:rPr>
      </w:pPr>
      <w:r w:rsidRPr="002E4689">
        <w:rPr>
          <w:rFonts w:eastAsia="Times New Roman"/>
          <w:color w:val="000000"/>
        </w:rPr>
        <w:t xml:space="preserve">under subsection 32(4) of the </w:t>
      </w:r>
      <w:r w:rsidRPr="002E4689">
        <w:rPr>
          <w:rFonts w:eastAsia="Times New Roman"/>
          <w:i/>
          <w:iCs/>
          <w:color w:val="000000"/>
        </w:rPr>
        <w:t>Insurance Act 1973</w:t>
      </w:r>
      <w:r w:rsidRPr="002E4689">
        <w:rPr>
          <w:rFonts w:eastAsia="Times New Roman"/>
          <w:color w:val="000000"/>
        </w:rPr>
        <w:t xml:space="preserve"> REVOKE Banking, Insurance Life Insurance</w:t>
      </w:r>
      <w:r w:rsidR="00135524">
        <w:rPr>
          <w:rFonts w:eastAsia="Times New Roman"/>
          <w:color w:val="000000"/>
        </w:rPr>
        <w:t xml:space="preserve"> and Health Insurance</w:t>
      </w:r>
      <w:r w:rsidRPr="002E4689">
        <w:rPr>
          <w:rFonts w:eastAsia="Times New Roman"/>
          <w:color w:val="000000"/>
        </w:rPr>
        <w:t xml:space="preserve"> (prudential standard) determination No. </w:t>
      </w:r>
      <w:r w:rsidR="001026F5">
        <w:rPr>
          <w:rFonts w:eastAsia="Times New Roman"/>
          <w:color w:val="000000"/>
        </w:rPr>
        <w:t>1</w:t>
      </w:r>
      <w:r w:rsidRPr="002E4689">
        <w:rPr>
          <w:rFonts w:eastAsia="Times New Roman"/>
          <w:color w:val="000000"/>
        </w:rPr>
        <w:t xml:space="preserve"> of 201</w:t>
      </w:r>
      <w:r w:rsidR="001026F5">
        <w:rPr>
          <w:rFonts w:eastAsia="Times New Roman"/>
          <w:color w:val="000000"/>
        </w:rPr>
        <w:t>7</w:t>
      </w:r>
      <w:r w:rsidRPr="002E4689">
        <w:rPr>
          <w:rFonts w:eastAsia="Times New Roman"/>
          <w:color w:val="000000"/>
        </w:rPr>
        <w:t xml:space="preserve">, including </w:t>
      </w:r>
      <w:r w:rsidRPr="002E4689">
        <w:rPr>
          <w:rFonts w:eastAsia="Times New Roman"/>
          <w:i/>
          <w:iCs/>
          <w:color w:val="000000"/>
        </w:rPr>
        <w:t xml:space="preserve">Prudential Standard CPS 220 Risk Management </w:t>
      </w:r>
      <w:r w:rsidRPr="002E4689">
        <w:rPr>
          <w:rFonts w:eastAsia="Times New Roman"/>
          <w:color w:val="000000"/>
        </w:rPr>
        <w:t>made under that Determination</w:t>
      </w:r>
      <w:r w:rsidR="001026F5">
        <w:rPr>
          <w:rFonts w:eastAsia="Times New Roman"/>
          <w:color w:val="000000"/>
        </w:rPr>
        <w:t>;</w:t>
      </w:r>
      <w:r w:rsidRPr="002E4689">
        <w:rPr>
          <w:rFonts w:eastAsia="Times New Roman"/>
          <w:color w:val="000000"/>
        </w:rPr>
        <w:t> </w:t>
      </w:r>
    </w:p>
    <w:p w14:paraId="0BFB13E4" w14:textId="77777777" w:rsidR="001026F5" w:rsidRPr="001751E4" w:rsidRDefault="001026F5" w:rsidP="001751E4">
      <w:pPr>
        <w:shd w:val="clear" w:color="auto" w:fill="FFFFFF"/>
        <w:spacing w:after="0"/>
        <w:ind w:left="720"/>
        <w:contextualSpacing/>
        <w:rPr>
          <w:rFonts w:eastAsia="Times New Roman"/>
          <w:lang w:val="en-US"/>
        </w:rPr>
      </w:pPr>
    </w:p>
    <w:p w14:paraId="3A36B81E" w14:textId="77777777" w:rsidR="002E4689" w:rsidRPr="002E4689" w:rsidRDefault="002E4689" w:rsidP="001751E4">
      <w:pPr>
        <w:numPr>
          <w:ilvl w:val="0"/>
          <w:numId w:val="40"/>
        </w:numPr>
        <w:shd w:val="clear" w:color="auto" w:fill="FFFFFF"/>
        <w:spacing w:after="0"/>
        <w:ind w:hanging="720"/>
        <w:contextualSpacing/>
        <w:rPr>
          <w:rFonts w:eastAsia="Times New Roman"/>
          <w:lang w:val="en-US"/>
        </w:rPr>
      </w:pPr>
      <w:r w:rsidRPr="002E4689">
        <w:rPr>
          <w:rFonts w:eastAsia="Times New Roman"/>
          <w:color w:val="000000"/>
        </w:rPr>
        <w:t xml:space="preserve">under subsection 230A(5) of the </w:t>
      </w:r>
      <w:r w:rsidRPr="002E4689">
        <w:rPr>
          <w:rFonts w:eastAsia="Times New Roman"/>
          <w:i/>
          <w:iCs/>
          <w:color w:val="000000"/>
        </w:rPr>
        <w:t>Life Insurance Act 1995</w:t>
      </w:r>
      <w:r w:rsidRPr="002E4689">
        <w:rPr>
          <w:rFonts w:eastAsia="Times New Roman"/>
          <w:color w:val="000000"/>
        </w:rPr>
        <w:t xml:space="preserve"> REVOKE Banking, Insurance Life Insurance </w:t>
      </w:r>
      <w:r w:rsidR="00135524">
        <w:rPr>
          <w:rFonts w:eastAsia="Times New Roman"/>
          <w:color w:val="000000"/>
        </w:rPr>
        <w:t>and Health Insurance</w:t>
      </w:r>
      <w:r w:rsidR="00135524" w:rsidRPr="002E4689">
        <w:rPr>
          <w:rFonts w:eastAsia="Times New Roman"/>
          <w:color w:val="000000"/>
        </w:rPr>
        <w:t xml:space="preserve"> </w:t>
      </w:r>
      <w:r w:rsidRPr="002E4689">
        <w:rPr>
          <w:rFonts w:eastAsia="Times New Roman"/>
          <w:color w:val="000000"/>
        </w:rPr>
        <w:t xml:space="preserve">(prudential standard) determination No. </w:t>
      </w:r>
      <w:r w:rsidR="001026F5">
        <w:rPr>
          <w:rFonts w:eastAsia="Times New Roman"/>
          <w:color w:val="000000"/>
        </w:rPr>
        <w:t>1</w:t>
      </w:r>
      <w:r w:rsidRPr="002E4689">
        <w:rPr>
          <w:rFonts w:eastAsia="Times New Roman"/>
          <w:color w:val="000000"/>
        </w:rPr>
        <w:t xml:space="preserve"> of 201</w:t>
      </w:r>
      <w:r w:rsidR="001026F5">
        <w:rPr>
          <w:rFonts w:eastAsia="Times New Roman"/>
          <w:color w:val="000000"/>
        </w:rPr>
        <w:t>7</w:t>
      </w:r>
      <w:r w:rsidRPr="002E4689">
        <w:rPr>
          <w:rFonts w:eastAsia="Times New Roman"/>
          <w:color w:val="000000"/>
        </w:rPr>
        <w:t xml:space="preserve">, including </w:t>
      </w:r>
      <w:r w:rsidRPr="002E4689">
        <w:rPr>
          <w:rFonts w:eastAsia="Times New Roman"/>
          <w:i/>
          <w:iCs/>
          <w:color w:val="000000"/>
        </w:rPr>
        <w:t>Prudential Standard CPS 220 Risk Management</w:t>
      </w:r>
      <w:r w:rsidRPr="002E4689">
        <w:rPr>
          <w:rFonts w:eastAsia="Times New Roman"/>
          <w:color w:val="000000"/>
        </w:rPr>
        <w:t xml:space="preserve"> made under that Determination</w:t>
      </w:r>
      <w:r w:rsidR="001026F5">
        <w:rPr>
          <w:rFonts w:eastAsia="Times New Roman"/>
          <w:color w:val="000000"/>
        </w:rPr>
        <w:t>;</w:t>
      </w:r>
    </w:p>
    <w:p w14:paraId="604229C4" w14:textId="77777777" w:rsidR="001026F5" w:rsidRPr="001751E4" w:rsidRDefault="001026F5" w:rsidP="001751E4">
      <w:pPr>
        <w:shd w:val="clear" w:color="auto" w:fill="FFFFFF"/>
        <w:spacing w:after="0"/>
        <w:ind w:left="720"/>
        <w:contextualSpacing/>
        <w:rPr>
          <w:rFonts w:eastAsia="Times New Roman"/>
          <w:lang w:val="en-US"/>
        </w:rPr>
      </w:pPr>
    </w:p>
    <w:p w14:paraId="6549405B" w14:textId="77777777" w:rsidR="00E755E3" w:rsidRDefault="001026F5" w:rsidP="00E755E3">
      <w:pPr>
        <w:numPr>
          <w:ilvl w:val="0"/>
          <w:numId w:val="40"/>
        </w:numPr>
        <w:shd w:val="clear" w:color="auto" w:fill="FFFFFF"/>
        <w:spacing w:after="0"/>
        <w:ind w:hanging="720"/>
        <w:contextualSpacing/>
        <w:rPr>
          <w:rFonts w:eastAsia="Times New Roman"/>
          <w:lang w:val="en-US"/>
        </w:rPr>
      </w:pPr>
      <w:r>
        <w:rPr>
          <w:rFonts w:eastAsia="Times New Roman"/>
          <w:color w:val="000000"/>
        </w:rPr>
        <w:t xml:space="preserve">under subsection 92(5) of the </w:t>
      </w:r>
      <w:r w:rsidRPr="001751E4">
        <w:rPr>
          <w:rFonts w:eastAsia="Times New Roman"/>
          <w:i/>
          <w:color w:val="000000"/>
        </w:rPr>
        <w:t>Private Health Insurance (Prudential Supervision) Act 2015</w:t>
      </w:r>
      <w:r>
        <w:rPr>
          <w:rFonts w:eastAsia="Times New Roman"/>
          <w:i/>
          <w:color w:val="000000"/>
        </w:rPr>
        <w:t xml:space="preserve"> </w:t>
      </w:r>
      <w:r w:rsidR="00135524">
        <w:rPr>
          <w:rFonts w:eastAsia="Times New Roman"/>
          <w:color w:val="000000"/>
        </w:rPr>
        <w:t xml:space="preserve">REVOKE Banking, Insurance, </w:t>
      </w:r>
      <w:r w:rsidRPr="002E4689">
        <w:rPr>
          <w:rFonts w:eastAsia="Times New Roman"/>
          <w:color w:val="000000"/>
        </w:rPr>
        <w:t xml:space="preserve">Life Insurance </w:t>
      </w:r>
      <w:r w:rsidR="00135524">
        <w:rPr>
          <w:rFonts w:eastAsia="Times New Roman"/>
          <w:color w:val="000000"/>
        </w:rPr>
        <w:t>and Health Insurance</w:t>
      </w:r>
      <w:r w:rsidR="00135524" w:rsidRPr="002E4689">
        <w:rPr>
          <w:rFonts w:eastAsia="Times New Roman"/>
          <w:color w:val="000000"/>
        </w:rPr>
        <w:t xml:space="preserve"> </w:t>
      </w:r>
      <w:r w:rsidRPr="002E4689">
        <w:rPr>
          <w:rFonts w:eastAsia="Times New Roman"/>
          <w:color w:val="000000"/>
        </w:rPr>
        <w:t xml:space="preserve">(prudential standard) determination No. </w:t>
      </w:r>
      <w:r>
        <w:rPr>
          <w:rFonts w:eastAsia="Times New Roman"/>
          <w:color w:val="000000"/>
        </w:rPr>
        <w:t>1</w:t>
      </w:r>
      <w:r w:rsidRPr="002E4689">
        <w:rPr>
          <w:rFonts w:eastAsia="Times New Roman"/>
          <w:color w:val="000000"/>
        </w:rPr>
        <w:t xml:space="preserve"> of 201</w:t>
      </w:r>
      <w:r>
        <w:rPr>
          <w:rFonts w:eastAsia="Times New Roman"/>
          <w:color w:val="000000"/>
        </w:rPr>
        <w:t>7</w:t>
      </w:r>
      <w:r w:rsidRPr="002E4689">
        <w:rPr>
          <w:rFonts w:eastAsia="Times New Roman"/>
          <w:color w:val="000000"/>
        </w:rPr>
        <w:t xml:space="preserve">, including </w:t>
      </w:r>
      <w:r w:rsidRPr="002E4689">
        <w:rPr>
          <w:rFonts w:eastAsia="Times New Roman"/>
          <w:i/>
          <w:iCs/>
          <w:color w:val="000000"/>
        </w:rPr>
        <w:t>Prudential Standard CPS 220 Risk Management</w:t>
      </w:r>
      <w:r w:rsidRPr="002E4689">
        <w:rPr>
          <w:rFonts w:eastAsia="Times New Roman"/>
          <w:color w:val="000000"/>
        </w:rPr>
        <w:t xml:space="preserve"> made under that Determination</w:t>
      </w:r>
      <w:r>
        <w:rPr>
          <w:rFonts w:eastAsia="Times New Roman"/>
          <w:color w:val="000000"/>
        </w:rPr>
        <w:t>;</w:t>
      </w:r>
    </w:p>
    <w:p w14:paraId="4636E270" w14:textId="77777777" w:rsidR="00E755E3" w:rsidRDefault="00E755E3" w:rsidP="00E755E3">
      <w:pPr>
        <w:pStyle w:val="ListParagraph"/>
        <w:rPr>
          <w:rFonts w:eastAsia="Times New Roman"/>
          <w:lang w:val="en-US"/>
        </w:rPr>
      </w:pPr>
    </w:p>
    <w:p w14:paraId="4299B46F" w14:textId="77777777" w:rsidR="002E4689" w:rsidRPr="002E4689" w:rsidRDefault="002E4689" w:rsidP="002E4689">
      <w:pPr>
        <w:numPr>
          <w:ilvl w:val="0"/>
          <w:numId w:val="40"/>
        </w:numPr>
        <w:shd w:val="clear" w:color="auto" w:fill="FFFFFF"/>
        <w:spacing w:after="0"/>
        <w:ind w:hanging="720"/>
        <w:contextualSpacing/>
        <w:rPr>
          <w:rFonts w:eastAsia="Times New Roman"/>
          <w:lang w:val="en-US"/>
        </w:rPr>
      </w:pPr>
      <w:r w:rsidRPr="002E4689">
        <w:rPr>
          <w:rFonts w:eastAsia="Times New Roman"/>
          <w:color w:val="000000"/>
        </w:rPr>
        <w:lastRenderedPageBreak/>
        <w:t xml:space="preserve">under subsection 11AF(1) of the </w:t>
      </w:r>
      <w:r w:rsidRPr="002E4689">
        <w:rPr>
          <w:rFonts w:eastAsia="Times New Roman"/>
          <w:i/>
          <w:iCs/>
          <w:color w:val="000000"/>
        </w:rPr>
        <w:t>Banking Act 1959</w:t>
      </w:r>
      <w:r w:rsidRPr="002E4689">
        <w:rPr>
          <w:rFonts w:eastAsia="Times New Roman"/>
          <w:color w:val="000000"/>
        </w:rPr>
        <w:t xml:space="preserve"> DETERMINE </w:t>
      </w:r>
      <w:r w:rsidRPr="002E4689">
        <w:rPr>
          <w:rFonts w:eastAsia="Times New Roman"/>
          <w:i/>
          <w:iCs/>
          <w:color w:val="000000"/>
        </w:rPr>
        <w:t>Prudential Standard CPS 220 Risk Management</w:t>
      </w:r>
      <w:r w:rsidRPr="002E4689">
        <w:rPr>
          <w:rFonts w:eastAsia="Times New Roman"/>
          <w:color w:val="000000"/>
        </w:rPr>
        <w:t xml:space="preserve"> in the form set out in the Schedule, to the extent that it applies to all ADIs and authorised banking NOHCs; </w:t>
      </w:r>
    </w:p>
    <w:p w14:paraId="1DABE6AF" w14:textId="77777777" w:rsidR="002E4689" w:rsidRPr="002E4689" w:rsidRDefault="002E4689" w:rsidP="002E4689">
      <w:pPr>
        <w:shd w:val="clear" w:color="auto" w:fill="FFFFFF"/>
        <w:spacing w:after="0"/>
        <w:ind w:left="709" w:hanging="720"/>
        <w:rPr>
          <w:rFonts w:eastAsia="Times New Roman"/>
          <w:lang w:val="en-US"/>
        </w:rPr>
      </w:pPr>
      <w:r w:rsidRPr="002E4689">
        <w:rPr>
          <w:rFonts w:eastAsia="Times New Roman"/>
          <w:color w:val="000000"/>
        </w:rPr>
        <w:t> </w:t>
      </w:r>
    </w:p>
    <w:p w14:paraId="66BD91AD" w14:textId="77777777" w:rsidR="002E4689" w:rsidRPr="002E4689" w:rsidRDefault="002E4689" w:rsidP="002E4689">
      <w:pPr>
        <w:numPr>
          <w:ilvl w:val="0"/>
          <w:numId w:val="40"/>
        </w:numPr>
        <w:shd w:val="clear" w:color="auto" w:fill="FFFFFF"/>
        <w:spacing w:after="0"/>
        <w:ind w:hanging="720"/>
        <w:contextualSpacing/>
        <w:rPr>
          <w:rFonts w:eastAsia="Times New Roman"/>
          <w:lang w:val="en-US"/>
        </w:rPr>
      </w:pPr>
      <w:r w:rsidRPr="002E4689">
        <w:rPr>
          <w:rFonts w:eastAsia="Times New Roman"/>
          <w:color w:val="000000"/>
        </w:rPr>
        <w:t xml:space="preserve">under subsection 32(1) of the </w:t>
      </w:r>
      <w:r w:rsidRPr="002E4689">
        <w:rPr>
          <w:rFonts w:eastAsia="Times New Roman"/>
          <w:i/>
          <w:iCs/>
          <w:color w:val="000000"/>
        </w:rPr>
        <w:t>Insurance Act 1973</w:t>
      </w:r>
      <w:r w:rsidRPr="002E4689">
        <w:rPr>
          <w:rFonts w:eastAsia="Times New Roman"/>
          <w:color w:val="000000"/>
        </w:rPr>
        <w:t xml:space="preserve"> DETERMINE </w:t>
      </w:r>
      <w:r w:rsidRPr="002E4689">
        <w:rPr>
          <w:rFonts w:eastAsia="Times New Roman"/>
          <w:i/>
          <w:iCs/>
          <w:color w:val="000000"/>
        </w:rPr>
        <w:t>Prudential Standard CPS 220 Risk Management</w:t>
      </w:r>
      <w:r w:rsidRPr="002E4689">
        <w:rPr>
          <w:rFonts w:eastAsia="Times New Roman"/>
          <w:color w:val="000000"/>
        </w:rPr>
        <w:t xml:space="preserve"> in the form set out in the Schedule, to the extent that it applies to all general insurers, authorised insurance NOHCs, and subsidiaries of general insurers and authorised insurance NOHCs; </w:t>
      </w:r>
    </w:p>
    <w:p w14:paraId="118A8C57" w14:textId="77777777" w:rsidR="002E4689" w:rsidRPr="002E4689" w:rsidRDefault="002E4689" w:rsidP="002E4689">
      <w:pPr>
        <w:shd w:val="clear" w:color="auto" w:fill="FFFFFF"/>
        <w:spacing w:after="0"/>
        <w:ind w:left="780" w:hanging="720"/>
        <w:rPr>
          <w:rFonts w:eastAsia="Times New Roman"/>
          <w:lang w:val="en-US"/>
        </w:rPr>
      </w:pPr>
      <w:r w:rsidRPr="002E4689">
        <w:rPr>
          <w:rFonts w:eastAsia="Times New Roman"/>
          <w:color w:val="000000"/>
        </w:rPr>
        <w:t> </w:t>
      </w:r>
    </w:p>
    <w:p w14:paraId="0B36AE11" w14:textId="77777777" w:rsidR="002E4689" w:rsidRPr="002E4689" w:rsidRDefault="002E4689" w:rsidP="002E4689">
      <w:pPr>
        <w:numPr>
          <w:ilvl w:val="0"/>
          <w:numId w:val="40"/>
        </w:numPr>
        <w:shd w:val="clear" w:color="auto" w:fill="FFFFFF"/>
        <w:spacing w:after="0"/>
        <w:ind w:hanging="720"/>
        <w:contextualSpacing/>
        <w:rPr>
          <w:rFonts w:eastAsia="Times New Roman"/>
          <w:color w:val="000000"/>
        </w:rPr>
      </w:pPr>
      <w:r w:rsidRPr="002E4689">
        <w:rPr>
          <w:rFonts w:eastAsia="Times New Roman"/>
          <w:color w:val="000000"/>
        </w:rPr>
        <w:t xml:space="preserve">under subsection 230A(1) of the </w:t>
      </w:r>
      <w:r w:rsidRPr="002E4689">
        <w:rPr>
          <w:rFonts w:eastAsia="Times New Roman"/>
          <w:i/>
          <w:iCs/>
          <w:color w:val="000000"/>
        </w:rPr>
        <w:t>Life Insurance Act 1995</w:t>
      </w:r>
      <w:r w:rsidRPr="002E4689">
        <w:rPr>
          <w:rFonts w:eastAsia="Times New Roman"/>
          <w:color w:val="000000"/>
        </w:rPr>
        <w:t xml:space="preserve"> DETERMINE </w:t>
      </w:r>
      <w:r w:rsidRPr="002E4689">
        <w:rPr>
          <w:rFonts w:eastAsia="Times New Roman"/>
          <w:i/>
          <w:iCs/>
          <w:color w:val="000000"/>
        </w:rPr>
        <w:t>Prudential Standard CPS 220 Risk Management</w:t>
      </w:r>
      <w:r w:rsidRPr="002E4689">
        <w:rPr>
          <w:rFonts w:eastAsia="Times New Roman"/>
          <w:color w:val="000000"/>
        </w:rPr>
        <w:t xml:space="preserve"> in the form set out in the Schedule, </w:t>
      </w:r>
      <w:r w:rsidR="00F4618A">
        <w:rPr>
          <w:rFonts w:eastAsia="Times New Roman"/>
          <w:color w:val="000000"/>
        </w:rPr>
        <w:t>which</w:t>
      </w:r>
      <w:r w:rsidRPr="002E4689">
        <w:rPr>
          <w:rFonts w:eastAsia="Times New Roman"/>
          <w:color w:val="000000"/>
        </w:rPr>
        <w:t xml:space="preserve"> applies to all life companies, friendly societies, registered life NOHCs, and subsidiaries of life companies and registered life NOHCs; and</w:t>
      </w:r>
    </w:p>
    <w:p w14:paraId="4BC06817" w14:textId="77777777" w:rsidR="002E4689" w:rsidRPr="002E4689" w:rsidRDefault="002E4689" w:rsidP="002E4689">
      <w:pPr>
        <w:shd w:val="clear" w:color="auto" w:fill="FFFFFF"/>
        <w:spacing w:after="0"/>
        <w:ind w:left="567" w:hanging="720"/>
        <w:rPr>
          <w:rFonts w:eastAsia="Times New Roman"/>
          <w:color w:val="000000"/>
        </w:rPr>
      </w:pPr>
    </w:p>
    <w:p w14:paraId="2F6610C0" w14:textId="77777777" w:rsidR="002E4689" w:rsidRPr="002E4689" w:rsidRDefault="00B162E5" w:rsidP="00072D51">
      <w:pPr>
        <w:shd w:val="clear" w:color="auto" w:fill="FFFFFF"/>
        <w:spacing w:after="0"/>
        <w:ind w:left="709" w:hanging="720"/>
        <w:rPr>
          <w:rFonts w:eastAsia="Times New Roman"/>
          <w:lang w:val="en-US"/>
        </w:rPr>
      </w:pPr>
      <w:r>
        <w:rPr>
          <w:rFonts w:eastAsia="Times New Roman"/>
          <w:color w:val="000000"/>
        </w:rPr>
        <w:t>(h)</w:t>
      </w:r>
      <w:r w:rsidR="002E4689" w:rsidRPr="002E4689">
        <w:rPr>
          <w:rFonts w:eastAsia="Times New Roman"/>
          <w:color w:val="000000"/>
        </w:rPr>
        <w:tab/>
      </w:r>
      <w:r w:rsidR="002E4689" w:rsidRPr="002E4689">
        <w:rPr>
          <w:rFonts w:eastAsia="Times New Roman"/>
          <w:color w:val="000000"/>
          <w:shd w:val="clear" w:color="auto" w:fill="FFFFFF"/>
        </w:rPr>
        <w:t xml:space="preserve">under subsection 92(1) of the </w:t>
      </w:r>
      <w:r w:rsidR="002E4689" w:rsidRPr="002E4689">
        <w:rPr>
          <w:rFonts w:eastAsia="Times New Roman"/>
          <w:i/>
          <w:iCs/>
          <w:color w:val="000000"/>
          <w:shd w:val="clear" w:color="auto" w:fill="FFFFFF"/>
        </w:rPr>
        <w:t>Priva</w:t>
      </w:r>
      <w:r w:rsidR="00072D51">
        <w:rPr>
          <w:rFonts w:eastAsia="Times New Roman"/>
          <w:i/>
          <w:iCs/>
          <w:color w:val="000000"/>
          <w:shd w:val="clear" w:color="auto" w:fill="FFFFFF"/>
        </w:rPr>
        <w:t xml:space="preserve">te Health Insurance (Prudential </w:t>
      </w:r>
      <w:r w:rsidR="002E4689" w:rsidRPr="002E4689">
        <w:rPr>
          <w:rFonts w:eastAsia="Times New Roman"/>
          <w:i/>
          <w:iCs/>
          <w:color w:val="000000"/>
          <w:shd w:val="clear" w:color="auto" w:fill="FFFFFF"/>
        </w:rPr>
        <w:t xml:space="preserve">Supervision) Act 2015 </w:t>
      </w:r>
      <w:r w:rsidR="002E4689" w:rsidRPr="002E4689">
        <w:rPr>
          <w:rFonts w:eastAsia="Times New Roman"/>
          <w:color w:val="000000"/>
          <w:shd w:val="clear" w:color="auto" w:fill="FFFFFF"/>
        </w:rPr>
        <w:t xml:space="preserve">DETERMINE </w:t>
      </w:r>
      <w:r w:rsidR="002E4689" w:rsidRPr="002E4689">
        <w:rPr>
          <w:rFonts w:eastAsia="Times New Roman"/>
          <w:i/>
          <w:iCs/>
          <w:color w:val="000000"/>
          <w:shd w:val="clear" w:color="auto" w:fill="FFFFFF"/>
        </w:rPr>
        <w:t>Prudential Standard CPS 220 Risk Management</w:t>
      </w:r>
      <w:r w:rsidR="002E4689" w:rsidRPr="002E4689">
        <w:rPr>
          <w:rFonts w:eastAsia="Times New Roman"/>
          <w:color w:val="000000"/>
          <w:shd w:val="clear" w:color="auto" w:fill="FFFFFF"/>
        </w:rPr>
        <w:t xml:space="preserve"> in the form set out in the Schedule, to the extent that it applies to all private health insurers.</w:t>
      </w:r>
      <w:r w:rsidR="002E4689" w:rsidRPr="002E4689">
        <w:rPr>
          <w:rFonts w:eastAsia="Times New Roman"/>
          <w:color w:val="000000"/>
        </w:rPr>
        <w:t xml:space="preserve">  </w:t>
      </w:r>
    </w:p>
    <w:p w14:paraId="799D59C8" w14:textId="77777777" w:rsidR="002E4689" w:rsidRPr="002E4689" w:rsidRDefault="002E4689" w:rsidP="002E4689">
      <w:pPr>
        <w:shd w:val="clear" w:color="auto" w:fill="FFFFFF"/>
        <w:spacing w:after="0"/>
        <w:ind w:left="709" w:hanging="709"/>
        <w:rPr>
          <w:rFonts w:eastAsia="Times New Roman"/>
          <w:lang w:val="en-US"/>
        </w:rPr>
      </w:pPr>
      <w:r w:rsidRPr="002E4689">
        <w:rPr>
          <w:rFonts w:eastAsia="Times New Roman"/>
        </w:rPr>
        <w:t> </w:t>
      </w:r>
    </w:p>
    <w:p w14:paraId="248A4B2A" w14:textId="77777777" w:rsidR="002E4689" w:rsidRPr="002E4689" w:rsidRDefault="002E4689" w:rsidP="002E4689">
      <w:pPr>
        <w:shd w:val="clear" w:color="auto" w:fill="FFFFFF"/>
        <w:spacing w:after="0"/>
        <w:jc w:val="left"/>
        <w:rPr>
          <w:rFonts w:eastAsia="Times New Roman"/>
          <w:lang w:val="en-US"/>
        </w:rPr>
      </w:pPr>
      <w:r w:rsidRPr="002E4689">
        <w:rPr>
          <w:rFonts w:eastAsia="Times New Roman"/>
        </w:rPr>
        <w:t xml:space="preserve">This instrument commences on </w:t>
      </w:r>
      <w:r w:rsidRPr="002E4689">
        <w:rPr>
          <w:rFonts w:eastAsia="Times New Roman"/>
          <w:shd w:val="clear" w:color="auto" w:fill="FFFFFF"/>
        </w:rPr>
        <w:t xml:space="preserve">1 </w:t>
      </w:r>
      <w:r w:rsidR="00F4618A">
        <w:rPr>
          <w:rFonts w:eastAsia="Times New Roman"/>
          <w:shd w:val="clear" w:color="auto" w:fill="FFFFFF"/>
        </w:rPr>
        <w:t>July 2019</w:t>
      </w:r>
    </w:p>
    <w:p w14:paraId="68724752" w14:textId="77777777" w:rsidR="002E4689" w:rsidRPr="002E4689" w:rsidRDefault="002E4689" w:rsidP="002E4689">
      <w:pPr>
        <w:shd w:val="clear" w:color="auto" w:fill="FFFFFF"/>
        <w:spacing w:after="0"/>
        <w:jc w:val="left"/>
        <w:rPr>
          <w:rFonts w:eastAsia="Times New Roman"/>
          <w:lang w:val="en-US"/>
        </w:rPr>
      </w:pPr>
      <w:r w:rsidRPr="002E4689">
        <w:rPr>
          <w:rFonts w:eastAsia="Times New Roman"/>
        </w:rPr>
        <w:t> </w:t>
      </w:r>
    </w:p>
    <w:p w14:paraId="0327166B" w14:textId="77777777" w:rsidR="002E4689" w:rsidRPr="002E4689" w:rsidRDefault="002507E7" w:rsidP="002507E7">
      <w:pPr>
        <w:pStyle w:val="NoSpacing"/>
        <w:rPr>
          <w:lang w:val="en-US"/>
        </w:rPr>
      </w:pPr>
      <w:r>
        <w:t xml:space="preserve">Dated: </w:t>
      </w:r>
      <w:r w:rsidR="008B5AFB">
        <w:t xml:space="preserve">3 </w:t>
      </w:r>
      <w:r w:rsidR="00135524">
        <w:t>May</w:t>
      </w:r>
      <w:r w:rsidR="00F4618A">
        <w:t xml:space="preserve"> 2019</w:t>
      </w:r>
      <w:r w:rsidR="002E4689" w:rsidRPr="002E4689">
        <w:t xml:space="preserve"> </w:t>
      </w:r>
    </w:p>
    <w:p w14:paraId="0D93C37E" w14:textId="77777777" w:rsidR="00C67CA7" w:rsidRDefault="00C67CA7" w:rsidP="002507E7">
      <w:pPr>
        <w:pStyle w:val="NoSpacing"/>
        <w:rPr>
          <w:i/>
          <w:iCs/>
        </w:rPr>
      </w:pPr>
    </w:p>
    <w:p w14:paraId="78BF6A3A" w14:textId="77777777" w:rsidR="00C67CA7" w:rsidRDefault="00C67CA7" w:rsidP="002507E7">
      <w:pPr>
        <w:pStyle w:val="NoSpacing"/>
        <w:rPr>
          <w:i/>
          <w:iCs/>
        </w:rPr>
      </w:pPr>
    </w:p>
    <w:p w14:paraId="625B1F6A" w14:textId="77777777" w:rsidR="008B5AFB" w:rsidRPr="00E94041" w:rsidRDefault="008B5AFB" w:rsidP="002507E7">
      <w:pPr>
        <w:pStyle w:val="NoSpacing"/>
        <w:rPr>
          <w:iCs/>
        </w:rPr>
      </w:pPr>
      <w:bookmarkStart w:id="0" w:name="_GoBack"/>
      <w:r w:rsidRPr="00E94041">
        <w:rPr>
          <w:iCs/>
        </w:rPr>
        <w:t>[Signed]</w:t>
      </w:r>
    </w:p>
    <w:bookmarkEnd w:id="0"/>
    <w:p w14:paraId="5CD11885" w14:textId="77777777" w:rsidR="00C67CA7" w:rsidRDefault="00C67CA7" w:rsidP="002507E7">
      <w:pPr>
        <w:pStyle w:val="NoSpacing"/>
        <w:rPr>
          <w:i/>
          <w:iCs/>
        </w:rPr>
      </w:pPr>
    </w:p>
    <w:p w14:paraId="5CA69F8D" w14:textId="77777777" w:rsidR="00C67CA7" w:rsidRDefault="00C67CA7" w:rsidP="002507E7">
      <w:pPr>
        <w:pStyle w:val="NoSpacing"/>
        <w:rPr>
          <w:i/>
          <w:iCs/>
        </w:rPr>
      </w:pPr>
    </w:p>
    <w:p w14:paraId="7F43BA03" w14:textId="77777777" w:rsidR="002E4689" w:rsidRPr="00C67CA7" w:rsidRDefault="00F4618A" w:rsidP="002507E7">
      <w:pPr>
        <w:pStyle w:val="NoSpacing"/>
        <w:rPr>
          <w:lang w:val="en-US"/>
        </w:rPr>
      </w:pPr>
      <w:r>
        <w:t>Pat Brennan</w:t>
      </w:r>
    </w:p>
    <w:p w14:paraId="64440477" w14:textId="77777777" w:rsidR="00F4618A" w:rsidRPr="002E4689" w:rsidRDefault="002507E7" w:rsidP="002507E7">
      <w:pPr>
        <w:pStyle w:val="NoSpacing"/>
        <w:rPr>
          <w:lang w:val="en-US"/>
        </w:rPr>
      </w:pPr>
      <w:r>
        <w:rPr>
          <w:lang w:val="en-US"/>
        </w:rPr>
        <w:tab/>
      </w:r>
    </w:p>
    <w:p w14:paraId="206C4158" w14:textId="77777777" w:rsidR="002E4689" w:rsidRDefault="00000B6A" w:rsidP="002507E7">
      <w:pPr>
        <w:pStyle w:val="NoSpacing"/>
      </w:pPr>
      <w:r>
        <w:t>Executive General Manager</w:t>
      </w:r>
    </w:p>
    <w:p w14:paraId="741386F6" w14:textId="77777777" w:rsidR="00000B6A" w:rsidRPr="002E4689" w:rsidRDefault="00000B6A" w:rsidP="002507E7">
      <w:pPr>
        <w:pStyle w:val="NoSpacing"/>
        <w:rPr>
          <w:lang w:val="en-US"/>
        </w:rPr>
      </w:pPr>
      <w:r>
        <w:t xml:space="preserve">Policy and Advice Division </w:t>
      </w:r>
    </w:p>
    <w:p w14:paraId="2C2D7BD6" w14:textId="77777777" w:rsidR="002E4689" w:rsidRDefault="002E4689" w:rsidP="002E4689">
      <w:pPr>
        <w:spacing w:after="120" w:line="288" w:lineRule="auto"/>
        <w:jc w:val="left"/>
        <w:rPr>
          <w:rFonts w:eastAsia="Times New Roman"/>
          <w:color w:val="000000"/>
        </w:rPr>
      </w:pPr>
    </w:p>
    <w:p w14:paraId="67F48CF1" w14:textId="77777777" w:rsidR="00F4618A" w:rsidRDefault="00F4618A" w:rsidP="001751E4">
      <w:pPr>
        <w:jc w:val="left"/>
        <w:rPr>
          <w:rFonts w:eastAsia="Times New Roman"/>
          <w:color w:val="000000"/>
        </w:rPr>
      </w:pPr>
      <w:r>
        <w:rPr>
          <w:rFonts w:eastAsia="Times New Roman"/>
          <w:color w:val="000000"/>
        </w:rPr>
        <w:br w:type="page"/>
      </w:r>
    </w:p>
    <w:p w14:paraId="2BCFEF57" w14:textId="77777777" w:rsidR="002E4689" w:rsidRPr="002E4689" w:rsidRDefault="002E4689" w:rsidP="002E4689">
      <w:pPr>
        <w:shd w:val="clear" w:color="auto" w:fill="FFFFFF"/>
        <w:spacing w:after="0"/>
        <w:jc w:val="left"/>
        <w:rPr>
          <w:rFonts w:eastAsia="Times New Roman"/>
          <w:b/>
          <w:lang w:val="en-US"/>
        </w:rPr>
      </w:pPr>
      <w:r w:rsidRPr="002E4689">
        <w:rPr>
          <w:rFonts w:eastAsia="Times New Roman"/>
          <w:b/>
          <w:color w:val="000000"/>
        </w:rPr>
        <w:lastRenderedPageBreak/>
        <w:t>Interpretation</w:t>
      </w:r>
    </w:p>
    <w:p w14:paraId="631DA4C2" w14:textId="77777777" w:rsidR="002E4689" w:rsidRPr="002E4689" w:rsidRDefault="002E4689" w:rsidP="002E4689">
      <w:pPr>
        <w:keepNext/>
        <w:shd w:val="clear" w:color="auto" w:fill="FFFFFF"/>
        <w:spacing w:before="120" w:after="0" w:line="260" w:lineRule="atLeast"/>
        <w:ind w:left="964" w:hanging="964"/>
        <w:rPr>
          <w:rFonts w:eastAsia="Times New Roman"/>
          <w:lang w:val="en-US"/>
        </w:rPr>
      </w:pPr>
      <w:r w:rsidRPr="002E4689">
        <w:rPr>
          <w:rFonts w:eastAsia="Times New Roman"/>
          <w:color w:val="000000"/>
        </w:rPr>
        <w:t>In this Determination:</w:t>
      </w:r>
    </w:p>
    <w:p w14:paraId="0346A39C" w14:textId="77777777" w:rsidR="002E4689" w:rsidRPr="002E4689" w:rsidRDefault="002E4689" w:rsidP="002E4689">
      <w:pPr>
        <w:shd w:val="clear" w:color="auto" w:fill="FFFFFF"/>
        <w:spacing w:before="120" w:after="0"/>
        <w:ind w:left="720" w:hanging="720"/>
        <w:rPr>
          <w:rFonts w:eastAsia="Times New Roman"/>
          <w:lang w:val="en-US"/>
        </w:rPr>
      </w:pPr>
      <w:r w:rsidRPr="002E4689">
        <w:rPr>
          <w:rFonts w:eastAsia="Times New Roman"/>
          <w:b/>
          <w:bCs/>
          <w:i/>
          <w:iCs/>
          <w:color w:val="000000"/>
        </w:rPr>
        <w:t xml:space="preserve">ADI </w:t>
      </w:r>
      <w:r w:rsidRPr="002E4689">
        <w:rPr>
          <w:rFonts w:eastAsia="Times New Roman"/>
          <w:color w:val="000000"/>
        </w:rPr>
        <w:t xml:space="preserve">has the meaning given in section 5 of the </w:t>
      </w:r>
      <w:r w:rsidRPr="002E4689">
        <w:rPr>
          <w:rFonts w:eastAsia="Times New Roman"/>
          <w:i/>
          <w:iCs/>
          <w:color w:val="000000"/>
        </w:rPr>
        <w:t>Banking Act 1959</w:t>
      </w:r>
      <w:r w:rsidRPr="002E4689">
        <w:rPr>
          <w:rFonts w:eastAsia="Times New Roman"/>
          <w:color w:val="000000"/>
        </w:rPr>
        <w:t>.</w:t>
      </w:r>
    </w:p>
    <w:p w14:paraId="47FF582F" w14:textId="77777777" w:rsidR="002E4689" w:rsidRPr="002E4689" w:rsidRDefault="002E4689" w:rsidP="002E4689">
      <w:pPr>
        <w:shd w:val="clear" w:color="auto" w:fill="FFFFFF"/>
        <w:spacing w:before="120" w:after="0"/>
        <w:rPr>
          <w:rFonts w:eastAsia="Times New Roman"/>
          <w:lang w:val="en-US"/>
        </w:rPr>
      </w:pPr>
      <w:r w:rsidRPr="002E4689">
        <w:rPr>
          <w:rFonts w:eastAsia="Times New Roman"/>
          <w:b/>
          <w:bCs/>
          <w:i/>
          <w:iCs/>
          <w:color w:val="000000"/>
        </w:rPr>
        <w:t>APRA</w:t>
      </w:r>
      <w:r w:rsidRPr="002E4689">
        <w:rPr>
          <w:rFonts w:eastAsia="Times New Roman"/>
          <w:color w:val="000000"/>
        </w:rPr>
        <w:t xml:space="preserve"> means the Australian Prudential Regulation Authority.</w:t>
      </w:r>
    </w:p>
    <w:p w14:paraId="29E6EBFA" w14:textId="77777777" w:rsidR="002E4689" w:rsidRPr="002E4689" w:rsidRDefault="002E4689" w:rsidP="002E4689">
      <w:pPr>
        <w:shd w:val="clear" w:color="auto" w:fill="FFFFFF"/>
        <w:spacing w:before="120" w:after="0"/>
        <w:rPr>
          <w:rFonts w:eastAsia="Times New Roman"/>
          <w:lang w:val="en-US"/>
        </w:rPr>
      </w:pPr>
      <w:r w:rsidRPr="002E4689">
        <w:rPr>
          <w:rFonts w:eastAsia="Times New Roman"/>
          <w:b/>
          <w:bCs/>
          <w:i/>
          <w:iCs/>
          <w:color w:val="000000"/>
        </w:rPr>
        <w:t>authorised banking NOHC</w:t>
      </w:r>
      <w:r w:rsidRPr="002E4689">
        <w:rPr>
          <w:rFonts w:eastAsia="Times New Roman"/>
          <w:color w:val="000000"/>
        </w:rPr>
        <w:t xml:space="preserve"> has the meaning given to the expression authorised NOHC in section 5 of the </w:t>
      </w:r>
      <w:r w:rsidRPr="002E4689">
        <w:rPr>
          <w:rFonts w:eastAsia="Times New Roman"/>
          <w:i/>
          <w:iCs/>
          <w:color w:val="000000"/>
        </w:rPr>
        <w:t>Banking Act</w:t>
      </w:r>
      <w:r w:rsidRPr="002E4689">
        <w:rPr>
          <w:rFonts w:eastAsia="Times New Roman"/>
          <w:color w:val="000000"/>
        </w:rPr>
        <w:t xml:space="preserve"> </w:t>
      </w:r>
      <w:r w:rsidRPr="002E4689">
        <w:rPr>
          <w:rFonts w:eastAsia="Times New Roman"/>
          <w:i/>
          <w:iCs/>
          <w:color w:val="000000"/>
        </w:rPr>
        <w:t>1959</w:t>
      </w:r>
      <w:r w:rsidRPr="002E4689">
        <w:rPr>
          <w:rFonts w:eastAsia="Times New Roman"/>
          <w:color w:val="000000"/>
        </w:rPr>
        <w:t>.</w:t>
      </w:r>
    </w:p>
    <w:p w14:paraId="1AF7ABB1" w14:textId="77777777" w:rsidR="002E4689" w:rsidRPr="002E4689" w:rsidRDefault="002E4689" w:rsidP="002E4689">
      <w:pPr>
        <w:shd w:val="clear" w:color="auto" w:fill="FFFFFF"/>
        <w:spacing w:before="120" w:after="0"/>
        <w:rPr>
          <w:rFonts w:eastAsia="Times New Roman"/>
          <w:lang w:val="en-US"/>
        </w:rPr>
      </w:pPr>
      <w:r w:rsidRPr="002E4689">
        <w:rPr>
          <w:rFonts w:eastAsia="Times New Roman"/>
          <w:b/>
          <w:bCs/>
          <w:i/>
          <w:iCs/>
          <w:color w:val="000000"/>
        </w:rPr>
        <w:t>authorised insurance NOHC</w:t>
      </w:r>
      <w:r w:rsidRPr="002E4689">
        <w:rPr>
          <w:rFonts w:eastAsia="Times New Roman"/>
          <w:b/>
          <w:bCs/>
          <w:color w:val="000000"/>
        </w:rPr>
        <w:t xml:space="preserve"> </w:t>
      </w:r>
      <w:r w:rsidRPr="002E4689">
        <w:rPr>
          <w:rFonts w:eastAsia="Times New Roman"/>
          <w:color w:val="000000"/>
        </w:rPr>
        <w:t xml:space="preserve">has the meaning given to the expression authorised NOHC in subsection 3(1) of the </w:t>
      </w:r>
      <w:r w:rsidRPr="002E4689">
        <w:rPr>
          <w:rFonts w:eastAsia="Times New Roman"/>
          <w:i/>
          <w:iCs/>
          <w:color w:val="000000"/>
        </w:rPr>
        <w:t>Insurance Act</w:t>
      </w:r>
      <w:r w:rsidRPr="002E4689">
        <w:rPr>
          <w:rFonts w:eastAsia="Times New Roman"/>
          <w:color w:val="000000"/>
        </w:rPr>
        <w:t xml:space="preserve"> </w:t>
      </w:r>
      <w:r w:rsidRPr="002E4689">
        <w:rPr>
          <w:rFonts w:eastAsia="Times New Roman"/>
          <w:i/>
          <w:iCs/>
          <w:color w:val="000000"/>
        </w:rPr>
        <w:t>1973</w:t>
      </w:r>
      <w:r w:rsidRPr="002E4689">
        <w:rPr>
          <w:rFonts w:eastAsia="Times New Roman"/>
          <w:color w:val="000000"/>
        </w:rPr>
        <w:t>.</w:t>
      </w:r>
    </w:p>
    <w:p w14:paraId="2A825EEC" w14:textId="77777777" w:rsidR="002E4689" w:rsidRPr="002E4689" w:rsidRDefault="002E4689" w:rsidP="002E4689">
      <w:pPr>
        <w:shd w:val="clear" w:color="auto" w:fill="FFFFFF"/>
        <w:spacing w:before="120" w:after="0"/>
        <w:ind w:left="720" w:hanging="720"/>
        <w:rPr>
          <w:rFonts w:eastAsia="Times New Roman"/>
          <w:lang w:val="en-US"/>
        </w:rPr>
      </w:pPr>
      <w:r w:rsidRPr="002E4689">
        <w:rPr>
          <w:rFonts w:eastAsia="Times New Roman"/>
          <w:b/>
          <w:bCs/>
          <w:i/>
          <w:iCs/>
          <w:color w:val="000000"/>
        </w:rPr>
        <w:t>friendly society</w:t>
      </w:r>
      <w:r w:rsidRPr="002E4689">
        <w:rPr>
          <w:rFonts w:eastAsia="Times New Roman"/>
          <w:color w:val="000000"/>
        </w:rPr>
        <w:t xml:space="preserve"> has the meaning given in section 16C of the </w:t>
      </w:r>
      <w:r w:rsidRPr="002E4689">
        <w:rPr>
          <w:rFonts w:eastAsia="Times New Roman"/>
          <w:i/>
          <w:iCs/>
          <w:color w:val="000000"/>
        </w:rPr>
        <w:t>Life Insurance Act 1995</w:t>
      </w:r>
      <w:r w:rsidRPr="002E4689">
        <w:rPr>
          <w:rFonts w:eastAsia="Times New Roman"/>
          <w:color w:val="000000"/>
        </w:rPr>
        <w:t>.</w:t>
      </w:r>
    </w:p>
    <w:p w14:paraId="6680515C" w14:textId="77777777" w:rsidR="002E4689" w:rsidRPr="002E4689" w:rsidRDefault="002E4689" w:rsidP="002E4689">
      <w:pPr>
        <w:shd w:val="clear" w:color="auto" w:fill="FFFFFF"/>
        <w:spacing w:before="120" w:after="0"/>
        <w:ind w:left="720" w:hanging="720"/>
        <w:rPr>
          <w:rFonts w:eastAsia="Times New Roman"/>
          <w:lang w:val="en-US"/>
        </w:rPr>
      </w:pPr>
      <w:r w:rsidRPr="002E4689">
        <w:rPr>
          <w:rFonts w:eastAsia="Times New Roman"/>
          <w:b/>
          <w:bCs/>
          <w:i/>
          <w:iCs/>
          <w:color w:val="000000"/>
        </w:rPr>
        <w:t>general insurer</w:t>
      </w:r>
      <w:r w:rsidRPr="002E4689">
        <w:rPr>
          <w:rFonts w:eastAsia="Times New Roman"/>
          <w:b/>
          <w:bCs/>
          <w:color w:val="000000"/>
        </w:rPr>
        <w:t xml:space="preserve"> </w:t>
      </w:r>
      <w:r w:rsidRPr="002E4689">
        <w:rPr>
          <w:rFonts w:eastAsia="Times New Roman"/>
          <w:color w:val="000000"/>
        </w:rPr>
        <w:t xml:space="preserve">has the meaning given in section 11 of the </w:t>
      </w:r>
      <w:r w:rsidRPr="002E4689">
        <w:rPr>
          <w:rFonts w:eastAsia="Times New Roman"/>
          <w:i/>
          <w:iCs/>
          <w:color w:val="000000"/>
        </w:rPr>
        <w:t>Insurance Act 1973</w:t>
      </w:r>
      <w:r w:rsidRPr="002E4689">
        <w:rPr>
          <w:rFonts w:eastAsia="Times New Roman"/>
          <w:color w:val="000000"/>
        </w:rPr>
        <w:t>.</w:t>
      </w:r>
    </w:p>
    <w:p w14:paraId="63BE1727" w14:textId="77777777" w:rsidR="002E4689" w:rsidRPr="002E4689" w:rsidRDefault="002E4689" w:rsidP="002E4689">
      <w:pPr>
        <w:shd w:val="clear" w:color="auto" w:fill="FFFFFF"/>
        <w:spacing w:before="120" w:after="0"/>
        <w:ind w:left="720" w:hanging="720"/>
        <w:rPr>
          <w:rFonts w:eastAsia="Times New Roman"/>
          <w:lang w:val="en-US"/>
        </w:rPr>
      </w:pPr>
      <w:r w:rsidRPr="002E4689">
        <w:rPr>
          <w:rFonts w:eastAsia="Times New Roman"/>
          <w:b/>
          <w:bCs/>
          <w:i/>
          <w:iCs/>
          <w:color w:val="000000"/>
        </w:rPr>
        <w:t>life company</w:t>
      </w:r>
      <w:r w:rsidRPr="002E4689">
        <w:rPr>
          <w:rFonts w:eastAsia="Times New Roman"/>
          <w:color w:val="000000"/>
        </w:rPr>
        <w:t xml:space="preserve"> has the meaning given in the Schedule to the </w:t>
      </w:r>
      <w:r w:rsidRPr="002E4689">
        <w:rPr>
          <w:rFonts w:eastAsia="Times New Roman"/>
          <w:i/>
          <w:iCs/>
          <w:color w:val="000000"/>
        </w:rPr>
        <w:t>Life Insurance Act 1995</w:t>
      </w:r>
      <w:r w:rsidRPr="002E4689">
        <w:rPr>
          <w:rFonts w:eastAsia="Times New Roman"/>
          <w:color w:val="000000"/>
        </w:rPr>
        <w:t>.</w:t>
      </w:r>
    </w:p>
    <w:p w14:paraId="0E8B201E" w14:textId="77777777" w:rsidR="002E4689" w:rsidRPr="002E4689" w:rsidRDefault="002E4689" w:rsidP="002E4689">
      <w:pPr>
        <w:shd w:val="clear" w:color="auto" w:fill="FFFFFF"/>
        <w:spacing w:before="120" w:after="0"/>
        <w:rPr>
          <w:rFonts w:eastAsia="Times New Roman"/>
          <w:i/>
          <w:iCs/>
          <w:color w:val="000000"/>
        </w:rPr>
      </w:pPr>
      <w:r w:rsidRPr="002E4689">
        <w:rPr>
          <w:rFonts w:eastAsia="Times New Roman"/>
          <w:b/>
          <w:i/>
          <w:lang w:val="en-US"/>
        </w:rPr>
        <w:t>private health insurer</w:t>
      </w:r>
      <w:r w:rsidRPr="002E4689">
        <w:rPr>
          <w:rFonts w:eastAsia="Times New Roman"/>
          <w:lang w:val="en-US"/>
        </w:rPr>
        <w:t xml:space="preserve"> </w:t>
      </w:r>
      <w:r w:rsidRPr="002E4689">
        <w:rPr>
          <w:rFonts w:eastAsia="Times New Roman"/>
          <w:color w:val="000000"/>
        </w:rPr>
        <w:t xml:space="preserve">has the meaning given in section 4(1) of </w:t>
      </w:r>
      <w:r w:rsidRPr="002E4689">
        <w:rPr>
          <w:rFonts w:eastAsia="Times New Roman"/>
          <w:i/>
          <w:iCs/>
          <w:color w:val="000000"/>
        </w:rPr>
        <w:t>Private Health Insurance (Prudential Supervision) Act 2015.</w:t>
      </w:r>
    </w:p>
    <w:p w14:paraId="0A5BD66D" w14:textId="77777777" w:rsidR="002E4689" w:rsidRPr="002E4689" w:rsidRDefault="002E4689" w:rsidP="002E4689">
      <w:pPr>
        <w:shd w:val="clear" w:color="auto" w:fill="FFFFFF"/>
        <w:spacing w:before="120" w:after="0"/>
        <w:rPr>
          <w:rFonts w:eastAsia="Times New Roman"/>
          <w:lang w:val="en-US"/>
        </w:rPr>
      </w:pPr>
      <w:r w:rsidRPr="002E4689">
        <w:rPr>
          <w:rFonts w:eastAsia="Times New Roman"/>
          <w:b/>
          <w:bCs/>
          <w:i/>
          <w:iCs/>
        </w:rPr>
        <w:t>registered life NOHC</w:t>
      </w:r>
      <w:r w:rsidRPr="002E4689">
        <w:rPr>
          <w:rFonts w:eastAsia="Times New Roman"/>
        </w:rPr>
        <w:t xml:space="preserve"> has the meaning given to the expression registered NOHC in the Schedule to the </w:t>
      </w:r>
      <w:r w:rsidRPr="002E4689">
        <w:rPr>
          <w:rFonts w:eastAsia="Times New Roman"/>
          <w:i/>
          <w:iCs/>
        </w:rPr>
        <w:t>Life Insurance Act 1995</w:t>
      </w:r>
      <w:r w:rsidRPr="002E4689">
        <w:rPr>
          <w:rFonts w:eastAsia="Times New Roman"/>
        </w:rPr>
        <w:t>.</w:t>
      </w:r>
    </w:p>
    <w:p w14:paraId="003DB791" w14:textId="77777777" w:rsidR="002E4689" w:rsidRPr="002E4689" w:rsidRDefault="002E4689" w:rsidP="002E4689">
      <w:pPr>
        <w:keepNext/>
        <w:shd w:val="clear" w:color="auto" w:fill="FFFFFF"/>
        <w:spacing w:before="480" w:after="0"/>
        <w:jc w:val="left"/>
        <w:rPr>
          <w:rFonts w:ascii="Arial" w:eastAsia="Times New Roman" w:hAnsi="Arial" w:cs="Arial"/>
          <w:sz w:val="36"/>
          <w:szCs w:val="36"/>
          <w:lang w:val="en-US"/>
        </w:rPr>
      </w:pPr>
      <w:r w:rsidRPr="002E4689">
        <w:rPr>
          <w:rFonts w:ascii="Arial" w:eastAsia="Times New Roman" w:hAnsi="Arial" w:cs="Arial"/>
          <w:b/>
          <w:bCs/>
          <w:color w:val="000000"/>
          <w:sz w:val="36"/>
          <w:szCs w:val="36"/>
        </w:rPr>
        <w:t xml:space="preserve">Schedule </w:t>
      </w:r>
    </w:p>
    <w:p w14:paraId="5AB7F058" w14:textId="77777777" w:rsidR="002E4689" w:rsidRPr="002E4689" w:rsidRDefault="002E4689" w:rsidP="002E4689">
      <w:pPr>
        <w:keepNext/>
        <w:shd w:val="clear" w:color="auto" w:fill="FFFFFF"/>
        <w:spacing w:before="60" w:after="0" w:line="200" w:lineRule="atLeast"/>
        <w:ind w:left="2410"/>
        <w:jc w:val="left"/>
        <w:rPr>
          <w:rFonts w:eastAsia="Times New Roman"/>
          <w:lang w:val="en-US"/>
        </w:rPr>
      </w:pPr>
      <w:r w:rsidRPr="002E4689">
        <w:rPr>
          <w:rFonts w:eastAsia="Times New Roman"/>
          <w:color w:val="000000"/>
        </w:rPr>
        <w:t> </w:t>
      </w:r>
    </w:p>
    <w:p w14:paraId="5D8C426D" w14:textId="77777777" w:rsidR="002E4689" w:rsidRPr="00C91AAB" w:rsidRDefault="002E4689" w:rsidP="002E4689">
      <w:pPr>
        <w:keepNext/>
        <w:shd w:val="clear" w:color="auto" w:fill="FFFFFF"/>
        <w:spacing w:after="600"/>
        <w:jc w:val="left"/>
        <w:rPr>
          <w:rFonts w:eastAsia="Times New Roman"/>
          <w:iCs/>
          <w:color w:val="000000"/>
        </w:rPr>
      </w:pPr>
      <w:r w:rsidRPr="002E4689">
        <w:rPr>
          <w:rFonts w:eastAsia="Times New Roman"/>
          <w:i/>
          <w:iCs/>
          <w:color w:val="000000"/>
        </w:rPr>
        <w:t xml:space="preserve">Prudential Standard CPS 220 Risk Management </w:t>
      </w:r>
      <w:r w:rsidRPr="00C91AAB">
        <w:rPr>
          <w:rFonts w:eastAsia="Times New Roman"/>
          <w:iCs/>
          <w:color w:val="000000"/>
        </w:rPr>
        <w:t>comprises the 1</w:t>
      </w:r>
      <w:r w:rsidR="00C27B43">
        <w:rPr>
          <w:rFonts w:eastAsia="Times New Roman"/>
          <w:iCs/>
          <w:color w:val="000000"/>
        </w:rPr>
        <w:t>4</w:t>
      </w:r>
      <w:r w:rsidRPr="00C91AAB">
        <w:rPr>
          <w:rFonts w:eastAsia="Times New Roman"/>
          <w:iCs/>
          <w:color w:val="000000"/>
        </w:rPr>
        <w:t xml:space="preserve"> pages commencing on the following page. </w:t>
      </w:r>
    </w:p>
    <w:p w14:paraId="68DD2B62" w14:textId="77777777" w:rsidR="002E4689" w:rsidRPr="002E4689" w:rsidRDefault="002E4689" w:rsidP="002E4689">
      <w:pPr>
        <w:rPr>
          <w:rFonts w:eastAsia="Times New Roman"/>
        </w:rPr>
      </w:pPr>
    </w:p>
    <w:p w14:paraId="07D63C00" w14:textId="77777777" w:rsidR="002E4689" w:rsidRDefault="002E4689" w:rsidP="003B52EB">
      <w:pPr>
        <w:spacing w:after="0"/>
      </w:pPr>
    </w:p>
    <w:p w14:paraId="40C886F8" w14:textId="77777777" w:rsidR="002E4689" w:rsidRPr="002E4689" w:rsidRDefault="002E4689" w:rsidP="002E4689"/>
    <w:p w14:paraId="67EEB00F" w14:textId="77777777" w:rsidR="002E4689" w:rsidRPr="002E4689" w:rsidRDefault="002E4689" w:rsidP="002E4689"/>
    <w:p w14:paraId="4AE512BB" w14:textId="77777777" w:rsidR="002E4689" w:rsidRPr="002E4689" w:rsidRDefault="002E4689" w:rsidP="002E4689"/>
    <w:p w14:paraId="510C5D42" w14:textId="77777777" w:rsidR="002E4689" w:rsidRPr="002E4689" w:rsidRDefault="002E4689" w:rsidP="002E4689"/>
    <w:p w14:paraId="62629832" w14:textId="77777777" w:rsidR="002E4689" w:rsidRDefault="002E4689" w:rsidP="002E4689"/>
    <w:p w14:paraId="7B75B397" w14:textId="77777777" w:rsidR="002E4689" w:rsidRDefault="002E4689" w:rsidP="002E4689">
      <w:pPr>
        <w:ind w:firstLine="567"/>
      </w:pPr>
    </w:p>
    <w:p w14:paraId="6D77AA9A" w14:textId="77777777" w:rsidR="002E4689" w:rsidRDefault="002E4689" w:rsidP="002E4689"/>
    <w:p w14:paraId="22D8D4CD" w14:textId="77777777" w:rsidR="002E4689" w:rsidRPr="002E4689" w:rsidRDefault="002E4689" w:rsidP="002E4689">
      <w:pPr>
        <w:sectPr w:rsidR="002E4689" w:rsidRPr="002E4689" w:rsidSect="009136B1">
          <w:headerReference w:type="default" r:id="rId14"/>
          <w:pgSz w:w="11906" w:h="16838" w:code="9"/>
          <w:pgMar w:top="1440" w:right="1797" w:bottom="1440" w:left="1797" w:header="709" w:footer="709" w:gutter="0"/>
          <w:cols w:space="708"/>
          <w:docGrid w:linePitch="360"/>
        </w:sectPr>
      </w:pPr>
    </w:p>
    <w:p w14:paraId="736883E0" w14:textId="77777777" w:rsidR="003B52EB" w:rsidRDefault="00506079" w:rsidP="003B52EB">
      <w:pPr>
        <w:spacing w:after="0"/>
      </w:pPr>
      <w:r>
        <w:rPr>
          <w:noProof/>
        </w:rPr>
        <w:lastRenderedPageBreak/>
        <w:drawing>
          <wp:inline distT="0" distB="0" distL="0" distR="0" wp14:anchorId="5EC71F0F" wp14:editId="17FF66B5">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0B982C8D" w14:textId="77777777" w:rsidR="00BC2D08" w:rsidRPr="00110917" w:rsidRDefault="006A6A52" w:rsidP="00476311">
      <w:pPr>
        <w:pStyle w:val="Title"/>
        <w:jc w:val="left"/>
      </w:pPr>
      <w:bookmarkStart w:id="1" w:name="_Toc326937696"/>
      <w:r w:rsidRPr="001F6B8D">
        <w:t>Prudential</w:t>
      </w:r>
      <w:r w:rsidRPr="009B6212">
        <w:t xml:space="preserve"> Standard</w:t>
      </w:r>
      <w:r w:rsidR="003111CA">
        <w:t xml:space="preserve"> CPS 220 Risk Management  </w:t>
      </w:r>
      <w:bookmarkEnd w:id="1"/>
    </w:p>
    <w:tbl>
      <w:tblPr>
        <w:tblStyle w:val="TableGrid"/>
        <w:tblW w:w="0" w:type="auto"/>
        <w:shd w:val="clear" w:color="auto" w:fill="DDDDDD"/>
        <w:tblLook w:val="04A0" w:firstRow="1" w:lastRow="0" w:firstColumn="1" w:lastColumn="0" w:noHBand="0" w:noVBand="1"/>
        <w:tblCaption w:val="CPS 220 Risk Management"/>
        <w:tblDescription w:val="This Prudential Standard requires an APRA-regulated institution and a Head of a Group to have systems for identifying, measuring, evaluating, monitoring, reporting, and controlling or mitigating material risks that may affect its ability, or the ability of the group it heads, to meet its obligations to depositors and/or policyholders. These systems, together with the structures, policies, processes and people supporting them, comprise an institution's or group's risk management framework."/>
      </w:tblPr>
      <w:tblGrid>
        <w:gridCol w:w="8302"/>
      </w:tblGrid>
      <w:tr w:rsidR="0048511B" w14:paraId="3D912CA1" w14:textId="77777777" w:rsidTr="00A97802">
        <w:trPr>
          <w:tblHeader/>
        </w:trPr>
        <w:tc>
          <w:tcPr>
            <w:tcW w:w="8528" w:type="dxa"/>
            <w:shd w:val="clear" w:color="auto" w:fill="DDDDDD"/>
          </w:tcPr>
          <w:p w14:paraId="67F1E095" w14:textId="77777777" w:rsidR="003C46D7" w:rsidRPr="00B37C03" w:rsidRDefault="003C46D7" w:rsidP="00656D42">
            <w:pPr>
              <w:pStyle w:val="BoxHeading"/>
            </w:pPr>
            <w:r w:rsidRPr="00B37C03">
              <w:t xml:space="preserve">Objectives and key requirements of this Prudential </w:t>
            </w:r>
            <w:r w:rsidRPr="00173A04">
              <w:t>Standard</w:t>
            </w:r>
          </w:p>
          <w:p w14:paraId="45419948" w14:textId="77777777" w:rsidR="00C670D7" w:rsidRDefault="00C670D7" w:rsidP="00C670D7">
            <w:r>
              <w:t>This Prudential Standard requires an APRA-regulated institution and a Head of a group to have systems for identifying, measuring, evaluating, monitoring, reporting, and controlling or mitigating material risks that may affect its ability, or the ability of the group it heads, to meet its obligations to depositors and/or policyholders. These systems, together with the structures, policies, processes and people supporting them, comprise an institution’s or group’s risk management framework.</w:t>
            </w:r>
          </w:p>
          <w:p w14:paraId="00A2413E" w14:textId="77777777" w:rsidR="00C670D7" w:rsidRDefault="00C670D7" w:rsidP="00C670D7">
            <w:r>
              <w:t>The Board of an APRA-regulated institution and the Board of a Head of a group, respectively, are ultimately responsible for having a risk management framework that is appropriate to the size, business mix and complexity of the institution or group it heads. The risk management framework must also be consistent with the institution’s or group’s strategic objectives and business plan.</w:t>
            </w:r>
          </w:p>
          <w:p w14:paraId="6BAD9215" w14:textId="77777777" w:rsidR="00173A04" w:rsidRDefault="00C670D7" w:rsidP="00C670D7">
            <w:r>
              <w:t>The key requirements of this Prudential Standard are that an APRA-regulated institution and a Head of a group must:</w:t>
            </w:r>
          </w:p>
          <w:p w14:paraId="7CCA100F" w14:textId="77777777" w:rsidR="00C670D7" w:rsidRDefault="00C670D7" w:rsidP="00C670D7">
            <w:pPr>
              <w:pStyle w:val="BoxBullet"/>
            </w:pPr>
            <w:r>
              <w:t>maintain a risk management framework that is appropriate to the size, business mix and complexity of the institution or group, as relevant;</w:t>
            </w:r>
          </w:p>
          <w:p w14:paraId="6ED7127F" w14:textId="77777777" w:rsidR="00C670D7" w:rsidRDefault="00C670D7" w:rsidP="00C670D7">
            <w:pPr>
              <w:pStyle w:val="BoxBullet"/>
            </w:pPr>
            <w:r>
              <w:t>maintain a Board-approved risk appetite statement;</w:t>
            </w:r>
          </w:p>
          <w:p w14:paraId="4BED8680" w14:textId="77777777" w:rsidR="00C670D7" w:rsidRDefault="00C670D7" w:rsidP="00C670D7">
            <w:pPr>
              <w:pStyle w:val="BoxBullet"/>
            </w:pPr>
            <w:r>
              <w:t>maintain a Board-approved risk management strategy that describes the key elements of the risk management framework that give effect to the approach to managing risk;</w:t>
            </w:r>
          </w:p>
          <w:p w14:paraId="724DB9C8" w14:textId="77777777" w:rsidR="00C670D7" w:rsidRDefault="00C670D7" w:rsidP="00C670D7">
            <w:pPr>
              <w:pStyle w:val="BoxBullet"/>
            </w:pPr>
            <w:r>
              <w:t>maintain a Board-approved business plan that sets out the approach for the implementation of the strategic objectives of the institution or group;</w:t>
            </w:r>
          </w:p>
          <w:p w14:paraId="2ADD3354" w14:textId="77777777" w:rsidR="00C670D7" w:rsidRDefault="00C670D7" w:rsidP="00C670D7">
            <w:pPr>
              <w:pStyle w:val="BoxBullet"/>
            </w:pPr>
            <w:r>
              <w:t>maintain adequate resources to ensure compliance with this Prudential Standard; and</w:t>
            </w:r>
          </w:p>
          <w:p w14:paraId="0306F928" w14:textId="77777777" w:rsidR="00C670D7" w:rsidRDefault="00C670D7" w:rsidP="00C670D7">
            <w:pPr>
              <w:pStyle w:val="BoxBullet"/>
            </w:pPr>
            <w:r>
              <w:t>notify APRA when it becomes aware of a significant breach of, or material deviation from, the risk management framework, or that the risk management framework does not adequately address a material risk.</w:t>
            </w:r>
          </w:p>
        </w:tc>
      </w:tr>
    </w:tbl>
    <w:p w14:paraId="0569DFB5" w14:textId="77777777" w:rsidR="00C67A76" w:rsidRDefault="00C67A76" w:rsidP="00C67A76">
      <w:pPr>
        <w:sectPr w:rsidR="00C67A76" w:rsidSect="002E4689">
          <w:headerReference w:type="default" r:id="rId16"/>
          <w:footerReference w:type="default" r:id="rId17"/>
          <w:pgSz w:w="11906" w:h="16838" w:code="9"/>
          <w:pgMar w:top="1440" w:right="1797" w:bottom="1440" w:left="1797" w:header="709" w:footer="709" w:gutter="0"/>
          <w:pgNumType w:start="1"/>
          <w:cols w:space="708"/>
          <w:docGrid w:linePitch="360"/>
        </w:sectPr>
      </w:pPr>
    </w:p>
    <w:p w14:paraId="49B7C43F" w14:textId="77777777" w:rsidR="00E07F40" w:rsidRPr="001F6B8D" w:rsidRDefault="00E07F40" w:rsidP="001F6B8D">
      <w:pPr>
        <w:pStyle w:val="Heading1"/>
      </w:pPr>
      <w:bookmarkStart w:id="2" w:name="_Toc314733116"/>
      <w:bookmarkStart w:id="3" w:name="_Toc341686774"/>
      <w:bookmarkStart w:id="4" w:name="_Toc454537689"/>
      <w:r w:rsidRPr="00B37C03">
        <w:lastRenderedPageBreak/>
        <w:t>Authority</w:t>
      </w:r>
      <w:bookmarkEnd w:id="2"/>
      <w:bookmarkEnd w:id="3"/>
      <w:bookmarkEnd w:id="4"/>
    </w:p>
    <w:p w14:paraId="29F08625" w14:textId="77777777" w:rsidR="00DA5E0B" w:rsidRDefault="00DA5E0B" w:rsidP="00DA5E0B">
      <w:pPr>
        <w:pStyle w:val="BodyText1"/>
      </w:pPr>
      <w:bookmarkStart w:id="5" w:name="_Toc314733118"/>
      <w:bookmarkStart w:id="6" w:name="_Toc341686775"/>
      <w:r w:rsidRPr="009E78BE">
        <w:t>This Prudential Standard is made</w:t>
      </w:r>
      <w:r w:rsidRPr="002E7425">
        <w:t xml:space="preserve"> </w:t>
      </w:r>
      <w:r w:rsidRPr="009E78BE">
        <w:t>under:</w:t>
      </w:r>
    </w:p>
    <w:p w14:paraId="0B570A71" w14:textId="77777777" w:rsidR="00DA5E0B" w:rsidRPr="00B808B1" w:rsidRDefault="00DA5E0B" w:rsidP="004E403B">
      <w:pPr>
        <w:pStyle w:val="BodyText2"/>
        <w:tabs>
          <w:tab w:val="clear" w:pos="1560"/>
          <w:tab w:val="num" w:pos="1134"/>
        </w:tabs>
        <w:ind w:left="1134"/>
      </w:pPr>
      <w:r w:rsidRPr="00B808B1">
        <w:t xml:space="preserve">section 11AF of the </w:t>
      </w:r>
      <w:r w:rsidRPr="00B808B1">
        <w:rPr>
          <w:i/>
        </w:rPr>
        <w:t>Banking Act 1959</w:t>
      </w:r>
      <w:r w:rsidRPr="00B808B1">
        <w:t xml:space="preserve"> (</w:t>
      </w:r>
      <w:r w:rsidRPr="00561C5D">
        <w:t>Banking Act</w:t>
      </w:r>
      <w:r w:rsidRPr="00B808B1">
        <w:t>);</w:t>
      </w:r>
    </w:p>
    <w:p w14:paraId="25385217" w14:textId="77777777" w:rsidR="00DA5E0B" w:rsidRDefault="00DA5E0B" w:rsidP="004E403B">
      <w:pPr>
        <w:pStyle w:val="BodyText2"/>
        <w:tabs>
          <w:tab w:val="clear" w:pos="1560"/>
          <w:tab w:val="num" w:pos="1134"/>
        </w:tabs>
        <w:ind w:left="1134"/>
      </w:pPr>
      <w:r>
        <w:t>section</w:t>
      </w:r>
      <w:r w:rsidRPr="0047482A">
        <w:t xml:space="preserve"> </w:t>
      </w:r>
      <w:r>
        <w:t>32</w:t>
      </w:r>
      <w:r w:rsidRPr="0047482A">
        <w:t xml:space="preserve"> </w:t>
      </w:r>
      <w:r>
        <w:t>of</w:t>
      </w:r>
      <w:r w:rsidRPr="0047482A">
        <w:t xml:space="preserve"> </w:t>
      </w:r>
      <w:r>
        <w:t>the</w:t>
      </w:r>
      <w:r w:rsidRPr="0047482A">
        <w:t xml:space="preserve"> </w:t>
      </w:r>
      <w:r>
        <w:rPr>
          <w:i/>
        </w:rPr>
        <w:t>Insurance</w:t>
      </w:r>
      <w:r w:rsidR="0047482A">
        <w:rPr>
          <w:i/>
        </w:rPr>
        <w:t xml:space="preserve"> </w:t>
      </w:r>
      <w:r>
        <w:rPr>
          <w:i/>
        </w:rPr>
        <w:t>Act</w:t>
      </w:r>
      <w:r w:rsidR="0047482A">
        <w:rPr>
          <w:i/>
        </w:rPr>
        <w:t xml:space="preserve"> </w:t>
      </w:r>
      <w:r>
        <w:rPr>
          <w:i/>
        </w:rPr>
        <w:t>1973</w:t>
      </w:r>
      <w:r w:rsidR="0047482A">
        <w:rPr>
          <w:i/>
        </w:rPr>
        <w:t xml:space="preserve"> </w:t>
      </w:r>
      <w:r>
        <w:t>(Insurance</w:t>
      </w:r>
      <w:r w:rsidRPr="0047482A">
        <w:t xml:space="preserve"> </w:t>
      </w:r>
      <w:r>
        <w:t xml:space="preserve">Act); </w:t>
      </w:r>
    </w:p>
    <w:p w14:paraId="7CB2094E" w14:textId="77777777" w:rsidR="007861AB" w:rsidRDefault="00DA5E0B" w:rsidP="004E403B">
      <w:pPr>
        <w:pStyle w:val="BodyText2"/>
        <w:tabs>
          <w:tab w:val="clear" w:pos="1560"/>
          <w:tab w:val="num" w:pos="1134"/>
        </w:tabs>
        <w:ind w:left="1134"/>
      </w:pPr>
      <w:r>
        <w:t>section</w:t>
      </w:r>
      <w:r w:rsidRPr="0047482A">
        <w:t xml:space="preserve"> </w:t>
      </w:r>
      <w:r>
        <w:t>230A</w:t>
      </w:r>
      <w:r w:rsidRPr="0047482A">
        <w:t xml:space="preserve"> </w:t>
      </w:r>
      <w:r>
        <w:t>of</w:t>
      </w:r>
      <w:r w:rsidRPr="0047482A">
        <w:t xml:space="preserve"> </w:t>
      </w:r>
      <w:r>
        <w:t>the</w:t>
      </w:r>
      <w:r w:rsidRPr="0047482A">
        <w:t xml:space="preserve"> </w:t>
      </w:r>
      <w:r>
        <w:rPr>
          <w:i/>
        </w:rPr>
        <w:t>Life</w:t>
      </w:r>
      <w:r w:rsidR="0009406F">
        <w:rPr>
          <w:i/>
        </w:rPr>
        <w:t xml:space="preserve"> </w:t>
      </w:r>
      <w:r>
        <w:rPr>
          <w:i/>
        </w:rPr>
        <w:t>Insurance</w:t>
      </w:r>
      <w:r w:rsidR="0009406F">
        <w:rPr>
          <w:i/>
        </w:rPr>
        <w:t xml:space="preserve"> </w:t>
      </w:r>
      <w:r>
        <w:rPr>
          <w:i/>
        </w:rPr>
        <w:t>Act 1995</w:t>
      </w:r>
      <w:r w:rsidR="0047482A">
        <w:rPr>
          <w:i/>
        </w:rPr>
        <w:t xml:space="preserve"> </w:t>
      </w:r>
      <w:r>
        <w:t>(Life</w:t>
      </w:r>
      <w:r w:rsidRPr="0047482A">
        <w:t xml:space="preserve"> </w:t>
      </w:r>
      <w:r>
        <w:t>Insurance</w:t>
      </w:r>
      <w:r w:rsidRPr="0047482A">
        <w:t xml:space="preserve"> </w:t>
      </w:r>
      <w:r>
        <w:t>Act)</w:t>
      </w:r>
      <w:r w:rsidR="007861AB">
        <w:t>;</w:t>
      </w:r>
      <w:r w:rsidR="007861AB" w:rsidRPr="007861AB">
        <w:t xml:space="preserve"> </w:t>
      </w:r>
      <w:r w:rsidR="007861AB">
        <w:t>and</w:t>
      </w:r>
    </w:p>
    <w:p w14:paraId="551BE414" w14:textId="77777777" w:rsidR="00DA5E0B" w:rsidRPr="009E78BE" w:rsidRDefault="007861AB" w:rsidP="004E403B">
      <w:pPr>
        <w:pStyle w:val="BodyText2"/>
        <w:tabs>
          <w:tab w:val="clear" w:pos="1560"/>
          <w:tab w:val="num" w:pos="1134"/>
        </w:tabs>
        <w:ind w:left="1134"/>
      </w:pPr>
      <w:r>
        <w:t xml:space="preserve">section 92 of the </w:t>
      </w:r>
      <w:r w:rsidRPr="00E9692F">
        <w:rPr>
          <w:i/>
        </w:rPr>
        <w:t>Private Health Insurance (Prudential Supervision) Act 2015</w:t>
      </w:r>
      <w:r>
        <w:t xml:space="preserve"> </w:t>
      </w:r>
      <w:r w:rsidRPr="00E9692F">
        <w:t>(</w:t>
      </w:r>
      <w:r w:rsidR="00754332">
        <w:t>PHIPS</w:t>
      </w:r>
      <w:r w:rsidRPr="00E9692F">
        <w:t xml:space="preserve"> Act)</w:t>
      </w:r>
      <w:r>
        <w:t>.</w:t>
      </w:r>
    </w:p>
    <w:p w14:paraId="2A09BF17" w14:textId="77777777" w:rsidR="00E07F40" w:rsidRDefault="00E07F40" w:rsidP="001F6B8D">
      <w:pPr>
        <w:pStyle w:val="Heading1"/>
      </w:pPr>
      <w:bookmarkStart w:id="7" w:name="_Toc454537690"/>
      <w:r w:rsidRPr="00B37C03">
        <w:t>Application</w:t>
      </w:r>
      <w:bookmarkEnd w:id="5"/>
      <w:bookmarkEnd w:id="6"/>
      <w:bookmarkEnd w:id="7"/>
    </w:p>
    <w:p w14:paraId="52F49771" w14:textId="77777777" w:rsidR="00DA5E0B" w:rsidRPr="00A26213" w:rsidRDefault="00DA5E0B" w:rsidP="00DA5E0B">
      <w:pPr>
        <w:pStyle w:val="BodyText1"/>
      </w:pPr>
      <w:r>
        <w:t>This Prudential Standard applies to all ‘APRA-regulated institutions’</w:t>
      </w:r>
      <w:r w:rsidRPr="00A26213">
        <w:rPr>
          <w:rStyle w:val="FootnoteReference"/>
          <w:iCs/>
        </w:rPr>
        <w:footnoteReference w:id="2"/>
      </w:r>
      <w:r>
        <w:t xml:space="preserve"> defined as:</w:t>
      </w:r>
    </w:p>
    <w:p w14:paraId="0C62ABD6" w14:textId="77777777" w:rsidR="00DA5E0B" w:rsidRDefault="00DA5E0B" w:rsidP="004E403B">
      <w:pPr>
        <w:pStyle w:val="BodyText2"/>
        <w:tabs>
          <w:tab w:val="clear" w:pos="1560"/>
          <w:tab w:val="num" w:pos="1134"/>
        </w:tabs>
        <w:ind w:left="1134"/>
      </w:pPr>
      <w:r w:rsidRPr="00DA5E0B">
        <w:rPr>
          <w:b/>
        </w:rPr>
        <w:t>authorised deposit-taking institutions</w:t>
      </w:r>
      <w:r>
        <w:t xml:space="preserve"> (</w:t>
      </w:r>
      <w:r w:rsidRPr="007747DC">
        <w:rPr>
          <w:b/>
        </w:rPr>
        <w:t>ADIs</w:t>
      </w:r>
      <w:r>
        <w:t>), including</w:t>
      </w:r>
      <w:r w:rsidRPr="0047482A">
        <w:t xml:space="preserve"> </w:t>
      </w:r>
      <w:r w:rsidRPr="00DA5E0B">
        <w:rPr>
          <w:b/>
        </w:rPr>
        <w:t>foreign</w:t>
      </w:r>
      <w:r w:rsidR="0047482A">
        <w:rPr>
          <w:b/>
        </w:rPr>
        <w:t xml:space="preserve"> </w:t>
      </w:r>
      <w:r w:rsidRPr="00DA5E0B">
        <w:rPr>
          <w:b/>
        </w:rPr>
        <w:t>ADIs</w:t>
      </w:r>
      <w:r>
        <w:t xml:space="preserve">, and </w:t>
      </w:r>
      <w:r w:rsidRPr="00DA5E0B">
        <w:rPr>
          <w:b/>
        </w:rPr>
        <w:t>non-operating holding companies</w:t>
      </w:r>
      <w:r>
        <w:t xml:space="preserve"> authorised under the Banking Act (authorised banking</w:t>
      </w:r>
      <w:r w:rsidRPr="0047482A">
        <w:t xml:space="preserve"> </w:t>
      </w:r>
      <w:r>
        <w:t>NOHCs);</w:t>
      </w:r>
    </w:p>
    <w:p w14:paraId="4066E5CB" w14:textId="77777777" w:rsidR="00DA5E0B" w:rsidRDefault="00DA5E0B" w:rsidP="004E403B">
      <w:pPr>
        <w:pStyle w:val="BodyText2"/>
        <w:tabs>
          <w:tab w:val="clear" w:pos="1560"/>
          <w:tab w:val="num" w:pos="1134"/>
        </w:tabs>
        <w:ind w:left="1134"/>
      </w:pPr>
      <w:r w:rsidRPr="0066109A">
        <w:rPr>
          <w:b/>
        </w:rPr>
        <w:t>general</w:t>
      </w:r>
      <w:r w:rsidR="0047482A">
        <w:rPr>
          <w:b/>
        </w:rPr>
        <w:t xml:space="preserve"> </w:t>
      </w:r>
      <w:r w:rsidRPr="0066109A">
        <w:rPr>
          <w:b/>
        </w:rPr>
        <w:t>insurers</w:t>
      </w:r>
      <w:r>
        <w:t>,</w:t>
      </w:r>
      <w:r w:rsidRPr="0047482A">
        <w:t xml:space="preserve"> </w:t>
      </w:r>
      <w:r>
        <w:t>including</w:t>
      </w:r>
      <w:r w:rsidRPr="0047482A">
        <w:t xml:space="preserve"> </w:t>
      </w:r>
      <w:r w:rsidRPr="00DA5E0B">
        <w:rPr>
          <w:b/>
        </w:rPr>
        <w:t>Category</w:t>
      </w:r>
      <w:r w:rsidR="0047482A">
        <w:rPr>
          <w:b/>
        </w:rPr>
        <w:t xml:space="preserve"> </w:t>
      </w:r>
      <w:r w:rsidRPr="00DA5E0B">
        <w:rPr>
          <w:b/>
        </w:rPr>
        <w:t>C</w:t>
      </w:r>
      <w:r w:rsidR="0047482A">
        <w:rPr>
          <w:b/>
        </w:rPr>
        <w:t xml:space="preserve"> </w:t>
      </w:r>
      <w:r w:rsidRPr="00DA5E0B">
        <w:rPr>
          <w:b/>
        </w:rPr>
        <w:t>insurers</w:t>
      </w:r>
      <w:r>
        <w:t>,</w:t>
      </w:r>
      <w:r w:rsidRPr="0047482A">
        <w:t xml:space="preserve"> </w:t>
      </w:r>
      <w:r w:rsidRPr="001A4FE3">
        <w:t>non-operating holding companies</w:t>
      </w:r>
      <w:r w:rsidRPr="0035352B">
        <w:t xml:space="preserve"> authorised under the Insurance Act (</w:t>
      </w:r>
      <w:r w:rsidRPr="007747DC">
        <w:t>authorised</w:t>
      </w:r>
      <w:r w:rsidRPr="0047482A">
        <w:t xml:space="preserve"> </w:t>
      </w:r>
      <w:r w:rsidRPr="007747DC">
        <w:t>insurance NOHC</w:t>
      </w:r>
      <w:r w:rsidRPr="0066109A">
        <w:t>s</w:t>
      </w:r>
      <w:r>
        <w:t xml:space="preserve">) and </w:t>
      </w:r>
      <w:r w:rsidRPr="00DA5E0B">
        <w:rPr>
          <w:b/>
        </w:rPr>
        <w:t>parent entities</w:t>
      </w:r>
      <w:r>
        <w:t xml:space="preserve"> of </w:t>
      </w:r>
      <w:r w:rsidRPr="00DA5E0B">
        <w:rPr>
          <w:b/>
        </w:rPr>
        <w:t>Level 2 insurance groups</w:t>
      </w:r>
      <w:r>
        <w:t>;</w:t>
      </w:r>
      <w:r w:rsidRPr="005111A3">
        <w:t xml:space="preserve"> </w:t>
      </w:r>
    </w:p>
    <w:p w14:paraId="468A674D" w14:textId="77777777" w:rsidR="00E862F9" w:rsidRDefault="00DA5E0B" w:rsidP="004E403B">
      <w:pPr>
        <w:pStyle w:val="BodyText2"/>
        <w:tabs>
          <w:tab w:val="clear" w:pos="1560"/>
          <w:tab w:val="num" w:pos="1134"/>
        </w:tabs>
        <w:ind w:left="1134"/>
      </w:pPr>
      <w:r w:rsidRPr="00DA5E0B">
        <w:rPr>
          <w:b/>
        </w:rPr>
        <w:t>life</w:t>
      </w:r>
      <w:r w:rsidR="0047482A">
        <w:rPr>
          <w:b/>
        </w:rPr>
        <w:t xml:space="preserve"> </w:t>
      </w:r>
      <w:r w:rsidRPr="00DA5E0B">
        <w:rPr>
          <w:b/>
        </w:rPr>
        <w:t>companies</w:t>
      </w:r>
      <w:r>
        <w:t>,</w:t>
      </w:r>
      <w:r w:rsidRPr="0047482A">
        <w:t xml:space="preserve"> </w:t>
      </w:r>
      <w:r>
        <w:t>including</w:t>
      </w:r>
      <w:r w:rsidRPr="0047482A">
        <w:t xml:space="preserve"> </w:t>
      </w:r>
      <w:r w:rsidRPr="00DA5E0B">
        <w:rPr>
          <w:b/>
        </w:rPr>
        <w:t>friendly</w:t>
      </w:r>
      <w:r w:rsidR="0047482A">
        <w:rPr>
          <w:b/>
        </w:rPr>
        <w:t xml:space="preserve"> </w:t>
      </w:r>
      <w:r w:rsidRPr="00DA5E0B">
        <w:rPr>
          <w:b/>
        </w:rPr>
        <w:t>societies</w:t>
      </w:r>
      <w:r w:rsidRPr="0047482A">
        <w:t xml:space="preserve"> </w:t>
      </w:r>
      <w:r>
        <w:t>and</w:t>
      </w:r>
      <w:r w:rsidRPr="0047482A">
        <w:t xml:space="preserve"> </w:t>
      </w:r>
      <w:r w:rsidRPr="00DA5E0B">
        <w:rPr>
          <w:b/>
        </w:rPr>
        <w:t>eligible</w:t>
      </w:r>
      <w:r w:rsidR="0047482A">
        <w:rPr>
          <w:b/>
        </w:rPr>
        <w:t xml:space="preserve"> </w:t>
      </w:r>
      <w:r w:rsidRPr="00DA5E0B">
        <w:rPr>
          <w:b/>
        </w:rPr>
        <w:t>foreign</w:t>
      </w:r>
      <w:r w:rsidR="0047482A">
        <w:rPr>
          <w:b/>
        </w:rPr>
        <w:t xml:space="preserve"> </w:t>
      </w:r>
      <w:r w:rsidRPr="00DA5E0B">
        <w:rPr>
          <w:b/>
        </w:rPr>
        <w:t>life</w:t>
      </w:r>
      <w:r w:rsidR="0047482A">
        <w:rPr>
          <w:b/>
        </w:rPr>
        <w:t xml:space="preserve"> </w:t>
      </w:r>
      <w:r w:rsidRPr="00DA5E0B">
        <w:rPr>
          <w:b/>
        </w:rPr>
        <w:t>insurance companies</w:t>
      </w:r>
      <w:r w:rsidRPr="0047482A">
        <w:t xml:space="preserve"> </w:t>
      </w:r>
      <w:r>
        <w:t>(EFLICs), and</w:t>
      </w:r>
      <w:r w:rsidRPr="0047482A">
        <w:t xml:space="preserve"> </w:t>
      </w:r>
      <w:r w:rsidRPr="001A4FE3">
        <w:t>non-operating holding companies</w:t>
      </w:r>
      <w:r w:rsidRPr="0047482A">
        <w:t xml:space="preserve"> registered under the Life Insurance Act (</w:t>
      </w:r>
      <w:r>
        <w:t>registered life</w:t>
      </w:r>
      <w:r w:rsidRPr="0047482A">
        <w:t xml:space="preserve"> </w:t>
      </w:r>
      <w:r>
        <w:t>NOHCs)</w:t>
      </w:r>
      <w:r w:rsidR="007861AB">
        <w:t>; and</w:t>
      </w:r>
    </w:p>
    <w:p w14:paraId="46A9C48C" w14:textId="77777777" w:rsidR="00E862F9" w:rsidRDefault="007861AB" w:rsidP="004E403B">
      <w:pPr>
        <w:pStyle w:val="BodyText2"/>
        <w:tabs>
          <w:tab w:val="clear" w:pos="1560"/>
          <w:tab w:val="num" w:pos="1134"/>
        </w:tabs>
        <w:ind w:left="1134"/>
      </w:pPr>
      <w:r w:rsidRPr="00216172">
        <w:rPr>
          <w:b/>
          <w:spacing w:val="-1"/>
        </w:rPr>
        <w:t>private health insurers</w:t>
      </w:r>
      <w:r w:rsidR="00AF4539" w:rsidRPr="00216172">
        <w:rPr>
          <w:b/>
          <w:spacing w:val="-1"/>
        </w:rPr>
        <w:t xml:space="preserve"> </w:t>
      </w:r>
      <w:r w:rsidR="00AF4539" w:rsidRPr="00216172">
        <w:rPr>
          <w:spacing w:val="-1"/>
        </w:rPr>
        <w:t>registered under the PHIPS Act</w:t>
      </w:r>
      <w:r w:rsidRPr="00216172">
        <w:rPr>
          <w:spacing w:val="-1"/>
        </w:rPr>
        <w:t>.</w:t>
      </w:r>
      <w:r w:rsidDel="007861AB">
        <w:t xml:space="preserve"> </w:t>
      </w:r>
    </w:p>
    <w:p w14:paraId="79E604F3" w14:textId="77777777" w:rsidR="00DA5E0B" w:rsidRDefault="00DA5E0B">
      <w:pPr>
        <w:pStyle w:val="BodyText1"/>
      </w:pPr>
      <w:r w:rsidRPr="001234E6">
        <w:t>APRA-regulated</w:t>
      </w:r>
      <w:r w:rsidRPr="00C92853">
        <w:t xml:space="preserve"> </w:t>
      </w:r>
      <w:r w:rsidRPr="001234E6">
        <w:t>institutions</w:t>
      </w:r>
      <w:r w:rsidRPr="00C92853">
        <w:t xml:space="preserve"> </w:t>
      </w:r>
      <w:r w:rsidRPr="001234E6">
        <w:t>must</w:t>
      </w:r>
      <w:r w:rsidRPr="00C92853">
        <w:t xml:space="preserve"> </w:t>
      </w:r>
      <w:r w:rsidRPr="001234E6">
        <w:t>comply</w:t>
      </w:r>
      <w:r w:rsidRPr="00C92853">
        <w:t xml:space="preserve"> </w:t>
      </w:r>
      <w:r w:rsidRPr="001234E6">
        <w:t>with</w:t>
      </w:r>
      <w:r w:rsidRPr="00C92853">
        <w:t xml:space="preserve"> </w:t>
      </w:r>
      <w:r w:rsidRPr="001234E6">
        <w:t>this</w:t>
      </w:r>
      <w:r w:rsidRPr="00C92853">
        <w:t xml:space="preserve"> </w:t>
      </w:r>
      <w:r w:rsidRPr="001234E6">
        <w:t>Prudential</w:t>
      </w:r>
      <w:r w:rsidRPr="00C92853">
        <w:t xml:space="preserve"> </w:t>
      </w:r>
      <w:r w:rsidRPr="001234E6">
        <w:t>Standard</w:t>
      </w:r>
      <w:r w:rsidRPr="00C92853">
        <w:t xml:space="preserve"> </w:t>
      </w:r>
      <w:r w:rsidRPr="001234E6">
        <w:t>in</w:t>
      </w:r>
      <w:r w:rsidRPr="00C92853">
        <w:t xml:space="preserve"> </w:t>
      </w:r>
      <w:r w:rsidRPr="001234E6">
        <w:t>its</w:t>
      </w:r>
      <w:r w:rsidRPr="00C92853">
        <w:t xml:space="preserve"> </w:t>
      </w:r>
      <w:r w:rsidRPr="001234E6">
        <w:t>entirety,</w:t>
      </w:r>
      <w:r w:rsidRPr="00C92853">
        <w:t xml:space="preserve"> </w:t>
      </w:r>
      <w:r w:rsidRPr="001234E6">
        <w:t>unless</w:t>
      </w:r>
      <w:r w:rsidRPr="00C92853">
        <w:t xml:space="preserve"> </w:t>
      </w:r>
      <w:r w:rsidRPr="001234E6">
        <w:t>otherwise</w:t>
      </w:r>
      <w:r w:rsidRPr="00C92853">
        <w:t xml:space="preserve"> </w:t>
      </w:r>
      <w:r w:rsidRPr="001234E6">
        <w:t>expressly</w:t>
      </w:r>
      <w:r w:rsidRPr="00C92853">
        <w:t xml:space="preserve"> </w:t>
      </w:r>
      <w:r w:rsidRPr="001234E6">
        <w:t>indicated.</w:t>
      </w:r>
      <w:r w:rsidRPr="00C92853">
        <w:t xml:space="preserve"> </w:t>
      </w:r>
      <w:r>
        <w:t>The</w:t>
      </w:r>
      <w:r w:rsidRPr="00C92853">
        <w:t xml:space="preserve"> </w:t>
      </w:r>
      <w:r>
        <w:t>obligations</w:t>
      </w:r>
      <w:r w:rsidRPr="00C92853">
        <w:t xml:space="preserve"> </w:t>
      </w:r>
      <w:r>
        <w:t>imposed</w:t>
      </w:r>
      <w:r w:rsidRPr="00C92853">
        <w:t xml:space="preserve"> by </w:t>
      </w:r>
      <w:r>
        <w:t>this</w:t>
      </w:r>
      <w:r w:rsidRPr="00C92853">
        <w:t xml:space="preserve"> </w:t>
      </w:r>
      <w:r>
        <w:t>Prudential</w:t>
      </w:r>
      <w:r w:rsidRPr="00C92853">
        <w:t xml:space="preserve"> </w:t>
      </w:r>
      <w:r>
        <w:t>Standard</w:t>
      </w:r>
      <w:r w:rsidRPr="00C92853">
        <w:t xml:space="preserve"> </w:t>
      </w:r>
      <w:r>
        <w:t>on,</w:t>
      </w:r>
      <w:r w:rsidRPr="00C92853">
        <w:t xml:space="preserve"> </w:t>
      </w:r>
      <w:r>
        <w:t>or</w:t>
      </w:r>
      <w:r w:rsidRPr="00C92853">
        <w:t xml:space="preserve"> </w:t>
      </w:r>
      <w:r>
        <w:t>in</w:t>
      </w:r>
      <w:r w:rsidRPr="00C92853">
        <w:t xml:space="preserve"> </w:t>
      </w:r>
      <w:r>
        <w:t>relation</w:t>
      </w:r>
      <w:r w:rsidRPr="00C92853">
        <w:t xml:space="preserve"> </w:t>
      </w:r>
      <w:r>
        <w:t>to,</w:t>
      </w:r>
      <w:r w:rsidRPr="00C92853">
        <w:t xml:space="preserve"> </w:t>
      </w:r>
      <w:r>
        <w:t>a</w:t>
      </w:r>
      <w:r w:rsidRPr="00C92853">
        <w:t xml:space="preserve"> </w:t>
      </w:r>
      <w:r w:rsidRPr="00130B45">
        <w:t>foreign</w:t>
      </w:r>
      <w:r w:rsidRPr="00C92853">
        <w:t xml:space="preserve"> </w:t>
      </w:r>
      <w:r w:rsidRPr="00130B45">
        <w:t>ADI</w:t>
      </w:r>
      <w:r w:rsidRPr="004D1BD0">
        <w:t>,</w:t>
      </w:r>
      <w:r w:rsidRPr="00C92853">
        <w:t xml:space="preserve"> </w:t>
      </w:r>
      <w:r w:rsidRPr="004D1BD0">
        <w:t>a</w:t>
      </w:r>
      <w:r w:rsidRPr="00C92853">
        <w:t xml:space="preserve"> </w:t>
      </w:r>
      <w:r w:rsidRPr="00130B45">
        <w:t>Category</w:t>
      </w:r>
      <w:r w:rsidRPr="00C92853">
        <w:t xml:space="preserve"> </w:t>
      </w:r>
      <w:r w:rsidRPr="00130B45">
        <w:t>C</w:t>
      </w:r>
      <w:r w:rsidRPr="00C92853">
        <w:t xml:space="preserve"> </w:t>
      </w:r>
      <w:r w:rsidRPr="00130B45">
        <w:t>insurer</w:t>
      </w:r>
      <w:r w:rsidRPr="00C92853">
        <w:t xml:space="preserve"> </w:t>
      </w:r>
      <w:r w:rsidRPr="004D1BD0">
        <w:t>or</w:t>
      </w:r>
      <w:r w:rsidRPr="00C92853">
        <w:t xml:space="preserve"> </w:t>
      </w:r>
      <w:r w:rsidRPr="004D1BD0">
        <w:t>an</w:t>
      </w:r>
      <w:r w:rsidRPr="00C92853">
        <w:t xml:space="preserve"> </w:t>
      </w:r>
      <w:r w:rsidRPr="004D1BD0">
        <w:t>EFLIC</w:t>
      </w:r>
      <w:r w:rsidRPr="00C92853">
        <w:t xml:space="preserve"> </w:t>
      </w:r>
      <w:r>
        <w:t>apply</w:t>
      </w:r>
      <w:r w:rsidRPr="00C92853">
        <w:t xml:space="preserve"> only in </w:t>
      </w:r>
      <w:r>
        <w:t>relation</w:t>
      </w:r>
      <w:r w:rsidRPr="00C92853">
        <w:t xml:space="preserve"> </w:t>
      </w:r>
      <w:r>
        <w:t>to</w:t>
      </w:r>
      <w:r w:rsidRPr="00C92853">
        <w:t xml:space="preserve"> </w:t>
      </w:r>
      <w:r>
        <w:t>the</w:t>
      </w:r>
      <w:r w:rsidRPr="00C92853">
        <w:t xml:space="preserve"> </w:t>
      </w:r>
      <w:r>
        <w:t>Australian</w:t>
      </w:r>
      <w:r w:rsidRPr="00C92853">
        <w:t xml:space="preserve"> </w:t>
      </w:r>
      <w:r>
        <w:t>branch</w:t>
      </w:r>
      <w:r w:rsidRPr="00C92853">
        <w:t xml:space="preserve"> </w:t>
      </w:r>
      <w:r>
        <w:t>operations</w:t>
      </w:r>
      <w:r w:rsidRPr="00C92853">
        <w:t xml:space="preserve"> of </w:t>
      </w:r>
      <w:r>
        <w:t>that</w:t>
      </w:r>
      <w:r w:rsidRPr="00C92853">
        <w:t xml:space="preserve"> </w:t>
      </w:r>
      <w:r>
        <w:t>institution.</w:t>
      </w:r>
    </w:p>
    <w:p w14:paraId="0858D32B" w14:textId="77777777" w:rsidR="00DA5E0B" w:rsidRPr="000067BF" w:rsidRDefault="00DA5E0B" w:rsidP="00DA5E0B">
      <w:pPr>
        <w:pStyle w:val="BodyText1"/>
      </w:pPr>
      <w:r w:rsidRPr="000067BF">
        <w:t>Where</w:t>
      </w:r>
      <w:r w:rsidRPr="00C92853">
        <w:t xml:space="preserve"> </w:t>
      </w:r>
      <w:r w:rsidRPr="000067BF">
        <w:t>an</w:t>
      </w:r>
      <w:r w:rsidRPr="00C92853">
        <w:t xml:space="preserve"> </w:t>
      </w:r>
      <w:r w:rsidRPr="000067BF">
        <w:t>APRA-regulated</w:t>
      </w:r>
      <w:r w:rsidRPr="00C92853">
        <w:t xml:space="preserve"> </w:t>
      </w:r>
      <w:r w:rsidRPr="000067BF">
        <w:t>institution</w:t>
      </w:r>
      <w:r w:rsidRPr="00C92853">
        <w:t xml:space="preserve"> </w:t>
      </w:r>
      <w:r w:rsidRPr="000067BF">
        <w:t>is</w:t>
      </w:r>
      <w:r w:rsidRPr="00C92853">
        <w:t xml:space="preserve"> </w:t>
      </w:r>
      <w:r w:rsidRPr="000067BF">
        <w:t>the</w:t>
      </w:r>
      <w:r w:rsidRPr="00C92853">
        <w:t xml:space="preserve"> ‘</w:t>
      </w:r>
      <w:r w:rsidRPr="000067BF">
        <w:t>Head</w:t>
      </w:r>
      <w:r w:rsidRPr="00C92853">
        <w:t xml:space="preserve"> </w:t>
      </w:r>
      <w:r w:rsidRPr="000067BF">
        <w:t>of</w:t>
      </w:r>
      <w:r w:rsidRPr="00C92853">
        <w:t xml:space="preserve"> </w:t>
      </w:r>
      <w:r w:rsidRPr="000067BF">
        <w:t>a</w:t>
      </w:r>
      <w:r w:rsidRPr="00C92853">
        <w:t xml:space="preserve"> </w:t>
      </w:r>
      <w:r w:rsidRPr="000067BF">
        <w:t>group’,</w:t>
      </w:r>
      <w:r w:rsidRPr="000067BF">
        <w:rPr>
          <w:rStyle w:val="FootnoteReference"/>
        </w:rPr>
        <w:footnoteReference w:id="3"/>
      </w:r>
      <w:r>
        <w:t xml:space="preserve"> </w:t>
      </w:r>
      <w:r w:rsidRPr="000067BF">
        <w:t>it must</w:t>
      </w:r>
      <w:r>
        <w:t xml:space="preserve"> </w:t>
      </w:r>
      <w:r w:rsidRPr="000067BF">
        <w:t>comply with</w:t>
      </w:r>
      <w:r w:rsidRPr="00C92853">
        <w:t xml:space="preserve"> </w:t>
      </w:r>
      <w:r w:rsidRPr="000067BF">
        <w:t>a</w:t>
      </w:r>
      <w:r w:rsidRPr="00C92853">
        <w:t xml:space="preserve"> </w:t>
      </w:r>
      <w:r w:rsidRPr="000067BF">
        <w:t xml:space="preserve">requirement of this Prudential Standard: </w:t>
      </w:r>
    </w:p>
    <w:p w14:paraId="52A9D9E2" w14:textId="77777777" w:rsidR="00DA5E0B" w:rsidRPr="009E78BE" w:rsidRDefault="00DA5E0B" w:rsidP="004E403B">
      <w:pPr>
        <w:pStyle w:val="BodyText2"/>
        <w:tabs>
          <w:tab w:val="clear" w:pos="1560"/>
          <w:tab w:val="num" w:pos="1134"/>
        </w:tabs>
        <w:ind w:left="1134"/>
      </w:pPr>
      <w:r w:rsidRPr="009E78BE">
        <w:t>in its capacity</w:t>
      </w:r>
      <w:r>
        <w:t xml:space="preserve"> as an APRA-regulated institution</w:t>
      </w:r>
      <w:r w:rsidR="00280209">
        <w:t>;</w:t>
      </w:r>
    </w:p>
    <w:p w14:paraId="591894F5" w14:textId="77777777" w:rsidR="00DA5E0B" w:rsidRPr="002E7425" w:rsidRDefault="00DA5E0B" w:rsidP="004E403B">
      <w:pPr>
        <w:pStyle w:val="BodyText2"/>
        <w:tabs>
          <w:tab w:val="clear" w:pos="1560"/>
          <w:tab w:val="num" w:pos="1134"/>
        </w:tabs>
        <w:ind w:left="1134"/>
      </w:pPr>
      <w:r w:rsidRPr="009E78BE">
        <w:t>by ensur</w:t>
      </w:r>
      <w:r w:rsidRPr="002E7425">
        <w:t xml:space="preserve">ing </w:t>
      </w:r>
      <w:r w:rsidRPr="009E78BE">
        <w:t>that</w:t>
      </w:r>
      <w:r w:rsidRPr="002E7425">
        <w:t xml:space="preserve"> </w:t>
      </w:r>
      <w:r w:rsidRPr="009E78BE">
        <w:t>the</w:t>
      </w:r>
      <w:r w:rsidRPr="002E7425">
        <w:t xml:space="preserve"> </w:t>
      </w:r>
      <w:r w:rsidRPr="009E78BE">
        <w:t>requirement</w:t>
      </w:r>
      <w:r w:rsidRPr="002E7425">
        <w:t xml:space="preserve"> is </w:t>
      </w:r>
      <w:r w:rsidRPr="009E78BE">
        <w:t>applied</w:t>
      </w:r>
      <w:r w:rsidRPr="002E7425">
        <w:t xml:space="preserve"> </w:t>
      </w:r>
      <w:r w:rsidRPr="009E78BE">
        <w:t>appropriately throughout</w:t>
      </w:r>
      <w:r w:rsidRPr="002E7425">
        <w:t xml:space="preserve"> </w:t>
      </w:r>
      <w:r w:rsidRPr="009E78BE">
        <w:t>the</w:t>
      </w:r>
      <w:r w:rsidRPr="002E7425">
        <w:t xml:space="preserve"> </w:t>
      </w:r>
      <w:r w:rsidRPr="009E78BE">
        <w:t>group, including in relation to institutions that are not APRA-regulated;</w:t>
      </w:r>
      <w:r w:rsidRPr="002E7425" w:rsidDel="00640CBC">
        <w:rPr>
          <w:rStyle w:val="FootnoteReference"/>
        </w:rPr>
        <w:t xml:space="preserve"> </w:t>
      </w:r>
      <w:r w:rsidRPr="009E78BE">
        <w:t xml:space="preserve"> and</w:t>
      </w:r>
    </w:p>
    <w:p w14:paraId="1F175D63" w14:textId="77777777" w:rsidR="00DA5E0B" w:rsidRDefault="00DA5E0B" w:rsidP="004E403B">
      <w:pPr>
        <w:pStyle w:val="BodyText2"/>
        <w:tabs>
          <w:tab w:val="clear" w:pos="1560"/>
          <w:tab w:val="num" w:pos="1134"/>
        </w:tabs>
        <w:ind w:left="1134"/>
      </w:pPr>
      <w:r w:rsidRPr="002E7425">
        <w:t>on a group basis.</w:t>
      </w:r>
    </w:p>
    <w:p w14:paraId="5E666565" w14:textId="77777777" w:rsidR="00DA5E0B" w:rsidRPr="002E7425" w:rsidRDefault="00DA5E0B" w:rsidP="00DA5E0B">
      <w:pPr>
        <w:pStyle w:val="BodyText1"/>
        <w:numPr>
          <w:ilvl w:val="0"/>
          <w:numId w:val="0"/>
        </w:numPr>
        <w:ind w:left="567"/>
      </w:pPr>
      <w:r>
        <w:t xml:space="preserve">In applying the requirements of this Prudential Standard on a group basis, references in paragraphs </w:t>
      </w:r>
      <w:r w:rsidR="0067326D">
        <w:t>9</w:t>
      </w:r>
      <w:r>
        <w:t xml:space="preserve">, </w:t>
      </w:r>
      <w:r w:rsidR="0067326D">
        <w:t>19</w:t>
      </w:r>
      <w:r>
        <w:t xml:space="preserve"> to </w:t>
      </w:r>
      <w:r w:rsidR="00AC730E">
        <w:t>5</w:t>
      </w:r>
      <w:r w:rsidR="0067326D">
        <w:t>6</w:t>
      </w:r>
      <w:r>
        <w:t>,</w:t>
      </w:r>
      <w:r>
        <w:rPr>
          <w:rStyle w:val="CommentReference"/>
          <w:rFonts w:asciiTheme="minorHAnsi" w:eastAsiaTheme="minorHAnsi" w:hAnsiTheme="minorHAnsi"/>
        </w:rPr>
        <w:t xml:space="preserve"> </w:t>
      </w:r>
      <w:r w:rsidRPr="00AB6C80">
        <w:t>and Attachment A</w:t>
      </w:r>
      <w:r>
        <w:t xml:space="preserve"> to an ‘APRA-regulated institution’ should be read as ‘Head of a group’ and references to ‘institution’ should be read as ‘group’.</w:t>
      </w:r>
    </w:p>
    <w:p w14:paraId="194CCA02" w14:textId="77777777" w:rsidR="00DA5E0B" w:rsidRDefault="00DA5E0B" w:rsidP="004D5C40">
      <w:pPr>
        <w:pStyle w:val="BodyText1"/>
      </w:pPr>
      <w:r>
        <w:t xml:space="preserve">This </w:t>
      </w:r>
      <w:r w:rsidR="00A13048">
        <w:t xml:space="preserve">Prudential Standard </w:t>
      </w:r>
      <w:r w:rsidR="007E7932">
        <w:t xml:space="preserve">commences on </w:t>
      </w:r>
      <w:r w:rsidR="006A55FF">
        <w:t xml:space="preserve">1 </w:t>
      </w:r>
      <w:r w:rsidR="001655F3">
        <w:t>July 2019</w:t>
      </w:r>
      <w:r w:rsidR="006A55FF">
        <w:t>.</w:t>
      </w:r>
    </w:p>
    <w:p w14:paraId="31EE5AEF" w14:textId="77777777" w:rsidR="00A31072" w:rsidRDefault="00A31072" w:rsidP="00A31072">
      <w:pPr>
        <w:pStyle w:val="Heading1"/>
        <w:rPr>
          <w:rFonts w:cs="Arial"/>
        </w:rPr>
      </w:pPr>
      <w:bookmarkStart w:id="8" w:name="_Toc334004035"/>
      <w:bookmarkStart w:id="9" w:name="_Toc454537691"/>
      <w:r>
        <w:t>Interpretation</w:t>
      </w:r>
      <w:bookmarkEnd w:id="8"/>
      <w:bookmarkEnd w:id="9"/>
    </w:p>
    <w:p w14:paraId="2023631C" w14:textId="77777777" w:rsidR="00CF4266" w:rsidRDefault="00CF4266" w:rsidP="0047482A">
      <w:pPr>
        <w:pStyle w:val="BodyText1"/>
      </w:pPr>
      <w:r>
        <w:t>In this Prudential Standard:</w:t>
      </w:r>
    </w:p>
    <w:p w14:paraId="089DEC50" w14:textId="77777777" w:rsidR="00A31072" w:rsidRDefault="00CF4266" w:rsidP="004E403B">
      <w:pPr>
        <w:pStyle w:val="BodyText2"/>
        <w:tabs>
          <w:tab w:val="clear" w:pos="1560"/>
          <w:tab w:val="left" w:pos="1134"/>
        </w:tabs>
        <w:ind w:left="1134"/>
      </w:pPr>
      <w:r w:rsidRPr="004E403B">
        <w:t>t</w:t>
      </w:r>
      <w:r w:rsidR="00A31072" w:rsidRPr="004E403B">
        <w:t>erms</w:t>
      </w:r>
      <w:r w:rsidR="00A31072" w:rsidRPr="00C213CF">
        <w:t xml:space="preserve"> that are defined in</w:t>
      </w:r>
      <w:r w:rsidR="00A31072" w:rsidRPr="00C92853">
        <w:t xml:space="preserve"> </w:t>
      </w:r>
      <w:r w:rsidR="00A31072" w:rsidRPr="00A31072">
        <w:rPr>
          <w:i/>
        </w:rPr>
        <w:t>Prudential</w:t>
      </w:r>
      <w:r w:rsidR="00C213CF">
        <w:t xml:space="preserve"> </w:t>
      </w:r>
      <w:r w:rsidR="00A31072" w:rsidRPr="00A31072">
        <w:rPr>
          <w:i/>
        </w:rPr>
        <w:t>Standard</w:t>
      </w:r>
      <w:r w:rsidR="00C213CF">
        <w:t xml:space="preserve"> </w:t>
      </w:r>
      <w:r w:rsidR="00A31072" w:rsidRPr="00A31072">
        <w:rPr>
          <w:i/>
        </w:rPr>
        <w:t>3PS</w:t>
      </w:r>
      <w:r w:rsidR="00A31072" w:rsidRPr="00C213CF">
        <w:t xml:space="preserve"> </w:t>
      </w:r>
      <w:r w:rsidR="00A31072" w:rsidRPr="00A31072">
        <w:rPr>
          <w:i/>
        </w:rPr>
        <w:t>001</w:t>
      </w:r>
      <w:r w:rsidR="00C213CF">
        <w:t xml:space="preserve"> </w:t>
      </w:r>
      <w:r w:rsidR="00A31072" w:rsidRPr="00A31072">
        <w:rPr>
          <w:i/>
        </w:rPr>
        <w:t>Definitions</w:t>
      </w:r>
      <w:r w:rsidR="00A31072">
        <w:t>,</w:t>
      </w:r>
      <w:r w:rsidR="00A31072" w:rsidRPr="00C92853">
        <w:t xml:space="preserve"> </w:t>
      </w:r>
      <w:r w:rsidR="00A31072" w:rsidRPr="00A31072">
        <w:rPr>
          <w:i/>
        </w:rPr>
        <w:t>Prudential</w:t>
      </w:r>
      <w:r w:rsidR="00A31072" w:rsidRPr="00C213CF">
        <w:t xml:space="preserve"> </w:t>
      </w:r>
      <w:r w:rsidR="00A31072" w:rsidRPr="00A31072">
        <w:rPr>
          <w:i/>
        </w:rPr>
        <w:t>Standard</w:t>
      </w:r>
      <w:r w:rsidR="00A31072" w:rsidRPr="00C213CF">
        <w:t xml:space="preserve"> </w:t>
      </w:r>
      <w:r w:rsidR="00A31072" w:rsidRPr="00A31072">
        <w:rPr>
          <w:i/>
        </w:rPr>
        <w:t>APS 001</w:t>
      </w:r>
      <w:r w:rsidR="00A31072" w:rsidRPr="00C213CF">
        <w:t xml:space="preserve"> </w:t>
      </w:r>
      <w:r w:rsidR="00A31072" w:rsidRPr="00A31072">
        <w:rPr>
          <w:i/>
        </w:rPr>
        <w:t>Definitions</w:t>
      </w:r>
      <w:r w:rsidR="00A31072" w:rsidRPr="00C92853">
        <w:t xml:space="preserve"> </w:t>
      </w:r>
      <w:r w:rsidR="00A31072" w:rsidRPr="00C213CF">
        <w:t>(APS 001)</w:t>
      </w:r>
      <w:r w:rsidR="00A31072">
        <w:t>,</w:t>
      </w:r>
      <w:r w:rsidR="00A31072" w:rsidRPr="00C92853">
        <w:t xml:space="preserve"> </w:t>
      </w:r>
      <w:r w:rsidR="00A31072" w:rsidRPr="00A31072">
        <w:rPr>
          <w:i/>
        </w:rPr>
        <w:t>Prudential</w:t>
      </w:r>
      <w:r w:rsidR="00A31072" w:rsidRPr="00C213CF">
        <w:t xml:space="preserve"> </w:t>
      </w:r>
      <w:r w:rsidR="00A31072" w:rsidRPr="00A31072">
        <w:rPr>
          <w:i/>
        </w:rPr>
        <w:t>Standard</w:t>
      </w:r>
      <w:r w:rsidR="00A31072" w:rsidRPr="00C213CF">
        <w:t xml:space="preserve"> </w:t>
      </w:r>
      <w:r w:rsidR="00A31072" w:rsidRPr="00A31072">
        <w:rPr>
          <w:i/>
        </w:rPr>
        <w:t>GPS</w:t>
      </w:r>
      <w:r w:rsidR="00C213CF">
        <w:rPr>
          <w:i/>
        </w:rPr>
        <w:t xml:space="preserve"> </w:t>
      </w:r>
      <w:r w:rsidR="00A31072" w:rsidRPr="00A31072">
        <w:rPr>
          <w:i/>
        </w:rPr>
        <w:t>001</w:t>
      </w:r>
      <w:r w:rsidR="00A31072" w:rsidRPr="00C213CF">
        <w:t xml:space="preserve"> </w:t>
      </w:r>
      <w:r w:rsidR="00A31072" w:rsidRPr="00A31072">
        <w:rPr>
          <w:i/>
        </w:rPr>
        <w:t>Definitions</w:t>
      </w:r>
      <w:r w:rsidR="00A31072" w:rsidRPr="00C213CF">
        <w:t xml:space="preserve"> (GPS 001)</w:t>
      </w:r>
      <w:r w:rsidR="00AC5B0A">
        <w:t>,</w:t>
      </w:r>
      <w:r w:rsidR="00A31072" w:rsidRPr="00C213CF">
        <w:t xml:space="preserve"> </w:t>
      </w:r>
      <w:r w:rsidR="00A31072" w:rsidRPr="00A31072">
        <w:rPr>
          <w:i/>
        </w:rPr>
        <w:t>Prudential</w:t>
      </w:r>
      <w:r w:rsidR="00A31072" w:rsidRPr="00C213CF">
        <w:t xml:space="preserve"> </w:t>
      </w:r>
      <w:r w:rsidR="00A31072" w:rsidRPr="00A31072">
        <w:rPr>
          <w:i/>
        </w:rPr>
        <w:t>Standard</w:t>
      </w:r>
      <w:r w:rsidR="00A31072" w:rsidRPr="00C213CF">
        <w:t xml:space="preserve"> </w:t>
      </w:r>
      <w:r w:rsidR="00A31072" w:rsidRPr="00A31072">
        <w:rPr>
          <w:i/>
        </w:rPr>
        <w:t>LPS</w:t>
      </w:r>
      <w:r w:rsidR="00A31072" w:rsidRPr="00C213CF">
        <w:t xml:space="preserve"> </w:t>
      </w:r>
      <w:r w:rsidR="00A31072" w:rsidRPr="00A31072">
        <w:rPr>
          <w:i/>
        </w:rPr>
        <w:t>001</w:t>
      </w:r>
      <w:r w:rsidR="00A31072" w:rsidRPr="00C213CF">
        <w:t xml:space="preserve"> </w:t>
      </w:r>
      <w:r w:rsidR="00A31072" w:rsidRPr="00A31072">
        <w:rPr>
          <w:i/>
        </w:rPr>
        <w:t>Definitions</w:t>
      </w:r>
      <w:r w:rsidR="00BD06B2">
        <w:t xml:space="preserve"> </w:t>
      </w:r>
      <w:r w:rsidR="00AC5B0A">
        <w:t xml:space="preserve">or </w:t>
      </w:r>
      <w:r w:rsidR="00AC5B0A" w:rsidRPr="004D5C40">
        <w:rPr>
          <w:i/>
        </w:rPr>
        <w:t>Prudential</w:t>
      </w:r>
      <w:r w:rsidR="00AC5B0A" w:rsidRPr="004D5C40">
        <w:t xml:space="preserve"> </w:t>
      </w:r>
      <w:r w:rsidR="00AC5B0A" w:rsidRPr="004D5C40">
        <w:rPr>
          <w:i/>
        </w:rPr>
        <w:t>Standard</w:t>
      </w:r>
      <w:r w:rsidR="00AC5B0A" w:rsidRPr="004D5C40">
        <w:t xml:space="preserve"> </w:t>
      </w:r>
      <w:r w:rsidR="00AC5B0A" w:rsidRPr="004D5C40">
        <w:rPr>
          <w:i/>
        </w:rPr>
        <w:t>HPS</w:t>
      </w:r>
      <w:r w:rsidR="00AC5B0A" w:rsidRPr="004D5C40">
        <w:t xml:space="preserve"> </w:t>
      </w:r>
      <w:r w:rsidR="00AC5B0A" w:rsidRPr="004D5C40">
        <w:rPr>
          <w:i/>
        </w:rPr>
        <w:t>001</w:t>
      </w:r>
      <w:r w:rsidR="00AC5B0A" w:rsidRPr="004D5C40">
        <w:t xml:space="preserve"> </w:t>
      </w:r>
      <w:r w:rsidR="00AC5B0A" w:rsidRPr="004D5C40">
        <w:rPr>
          <w:i/>
        </w:rPr>
        <w:t>Definitions</w:t>
      </w:r>
      <w:r w:rsidR="00AC5B0A" w:rsidRPr="004D5C40">
        <w:t xml:space="preserve"> </w:t>
      </w:r>
      <w:r w:rsidR="00A31072" w:rsidRPr="00C213CF">
        <w:t>appear in bold the first time they are used</w:t>
      </w:r>
      <w:r w:rsidR="00B948DF">
        <w:t>; and</w:t>
      </w:r>
    </w:p>
    <w:p w14:paraId="2D7F62F3" w14:textId="77777777" w:rsidR="00CF4266" w:rsidRPr="00D81FD5" w:rsidRDefault="00CF4266" w:rsidP="004E403B">
      <w:pPr>
        <w:pStyle w:val="BodyText2"/>
        <w:tabs>
          <w:tab w:val="clear" w:pos="1560"/>
          <w:tab w:val="left" w:pos="1134"/>
        </w:tabs>
        <w:ind w:left="1134"/>
      </w:pPr>
      <w:r w:rsidRPr="00CF4266">
        <w:rPr>
          <w:iCs/>
        </w:rPr>
        <w:t>unless the contrary intention appears, a reference to an Act, Regulations or Prudential Standard is a reference to the Act, Regulations or Prudential Standard as in force from time to time</w:t>
      </w:r>
      <w:r w:rsidR="00B948DF">
        <w:rPr>
          <w:iCs/>
        </w:rPr>
        <w:t>.</w:t>
      </w:r>
    </w:p>
    <w:p w14:paraId="0B03CC5D" w14:textId="77777777" w:rsidR="00305E38" w:rsidRPr="00305E38" w:rsidRDefault="00A31072" w:rsidP="00CF4266">
      <w:pPr>
        <w:pStyle w:val="BodyText1"/>
      </w:pPr>
      <w:r>
        <w:t>Where</w:t>
      </w:r>
      <w:r w:rsidRPr="00C92853">
        <w:t xml:space="preserve"> </w:t>
      </w:r>
      <w:r>
        <w:t>this</w:t>
      </w:r>
      <w:r w:rsidRPr="00C92853">
        <w:t xml:space="preserve"> </w:t>
      </w:r>
      <w:r>
        <w:t>Prudential</w:t>
      </w:r>
      <w:r w:rsidRPr="00C92853">
        <w:t xml:space="preserve"> </w:t>
      </w:r>
      <w:r>
        <w:t>Standard</w:t>
      </w:r>
      <w:r w:rsidRPr="00C92853">
        <w:t xml:space="preserve"> </w:t>
      </w:r>
      <w:r>
        <w:t>provides</w:t>
      </w:r>
      <w:r w:rsidRPr="00C92853">
        <w:t xml:space="preserve"> </w:t>
      </w:r>
      <w:r>
        <w:t>for</w:t>
      </w:r>
      <w:r w:rsidRPr="00C92853">
        <w:t xml:space="preserve"> </w:t>
      </w:r>
      <w:r>
        <w:t>APRA</w:t>
      </w:r>
      <w:r w:rsidRPr="00C92853">
        <w:t xml:space="preserve"> </w:t>
      </w:r>
      <w:r>
        <w:t>to</w:t>
      </w:r>
      <w:r w:rsidRPr="00C92853">
        <w:t xml:space="preserve"> </w:t>
      </w:r>
      <w:r>
        <w:t>exercise</w:t>
      </w:r>
      <w:r w:rsidRPr="00C92853">
        <w:t xml:space="preserve"> </w:t>
      </w:r>
      <w:r>
        <w:t>a</w:t>
      </w:r>
      <w:r w:rsidRPr="00C92853">
        <w:t xml:space="preserve"> </w:t>
      </w:r>
      <w:r>
        <w:t>power</w:t>
      </w:r>
      <w:r w:rsidRPr="00C92853">
        <w:t xml:space="preserve"> </w:t>
      </w:r>
      <w:r>
        <w:t>or</w:t>
      </w:r>
      <w:r w:rsidRPr="00C92853">
        <w:t xml:space="preserve"> </w:t>
      </w:r>
      <w:r>
        <w:t>discretion, this power or discretion is to be exercised in writing.</w:t>
      </w:r>
    </w:p>
    <w:p w14:paraId="2BC3B539" w14:textId="77777777" w:rsidR="00A31072" w:rsidRPr="00A26213" w:rsidRDefault="00A31072" w:rsidP="00A31072">
      <w:pPr>
        <w:pStyle w:val="BodyText1"/>
      </w:pPr>
      <w:bookmarkStart w:id="10" w:name="_Ref333998292"/>
      <w:bookmarkStart w:id="11" w:name="_Ref301338036"/>
      <w:bookmarkStart w:id="12" w:name="_Ref329165215"/>
      <w:r w:rsidRPr="003F7F13">
        <w:t>For</w:t>
      </w:r>
      <w:r w:rsidRPr="00C92853">
        <w:t xml:space="preserve"> </w:t>
      </w:r>
      <w:r w:rsidRPr="003F7F13">
        <w:t>the</w:t>
      </w:r>
      <w:r w:rsidRPr="00C92853">
        <w:t xml:space="preserve"> </w:t>
      </w:r>
      <w:r w:rsidRPr="003F7F13">
        <w:t>purposes</w:t>
      </w:r>
      <w:r w:rsidRPr="00C92853">
        <w:t xml:space="preserve"> </w:t>
      </w:r>
      <w:r w:rsidRPr="003F7F13">
        <w:t>of</w:t>
      </w:r>
      <w:r w:rsidRPr="00C92853">
        <w:t xml:space="preserve"> </w:t>
      </w:r>
      <w:r w:rsidRPr="003F7F13">
        <w:t>this</w:t>
      </w:r>
      <w:r w:rsidRPr="00C92853">
        <w:t xml:space="preserve"> </w:t>
      </w:r>
      <w:r w:rsidRPr="003F7F13">
        <w:t>Prudential</w:t>
      </w:r>
      <w:r w:rsidRPr="00C92853">
        <w:t xml:space="preserve"> </w:t>
      </w:r>
      <w:r w:rsidRPr="003F7F13">
        <w:t>Standard:</w:t>
      </w:r>
    </w:p>
    <w:p w14:paraId="0E0C1058" w14:textId="77777777" w:rsidR="00A31072" w:rsidRPr="00A26213" w:rsidRDefault="00A31072" w:rsidP="00A31072">
      <w:pPr>
        <w:pStyle w:val="BodyText1"/>
        <w:numPr>
          <w:ilvl w:val="0"/>
          <w:numId w:val="0"/>
        </w:numPr>
        <w:ind w:left="567"/>
      </w:pPr>
      <w:r w:rsidRPr="00A26213">
        <w:t xml:space="preserve">‘group’ means a Level 2 group or a </w:t>
      </w:r>
      <w:r w:rsidRPr="00A26213">
        <w:rPr>
          <w:b/>
        </w:rPr>
        <w:t>Level 3 group</w:t>
      </w:r>
      <w:r w:rsidRPr="00A26213">
        <w:t>, as relevant;</w:t>
      </w:r>
    </w:p>
    <w:p w14:paraId="7FDBC220" w14:textId="77777777" w:rsidR="00A31072" w:rsidRPr="00A26213" w:rsidRDefault="00A31072" w:rsidP="00A31072">
      <w:pPr>
        <w:pStyle w:val="BodyText1"/>
        <w:numPr>
          <w:ilvl w:val="0"/>
          <w:numId w:val="0"/>
        </w:numPr>
        <w:ind w:left="567"/>
      </w:pPr>
      <w:r w:rsidRPr="00A26213">
        <w:t xml:space="preserve">‘Head of a group’ means a Level 2 Head or </w:t>
      </w:r>
      <w:r w:rsidRPr="00A26213">
        <w:rPr>
          <w:b/>
        </w:rPr>
        <w:t>Level 3 Head</w:t>
      </w:r>
      <w:r w:rsidRPr="00A26213">
        <w:t>, as relevant;</w:t>
      </w:r>
    </w:p>
    <w:p w14:paraId="2CB354BD" w14:textId="77777777" w:rsidR="00A31072" w:rsidRPr="00A26213" w:rsidRDefault="00A31072" w:rsidP="00A31072">
      <w:pPr>
        <w:pStyle w:val="BodyText1"/>
        <w:numPr>
          <w:ilvl w:val="0"/>
          <w:numId w:val="0"/>
        </w:numPr>
        <w:ind w:left="567"/>
      </w:pPr>
      <w:r w:rsidRPr="00A26213">
        <w:t xml:space="preserve">‘Level 2 group’ </w:t>
      </w:r>
      <w:r>
        <w:t>means the entities that comprise</w:t>
      </w:r>
      <w:r w:rsidRPr="00A26213">
        <w:t>:</w:t>
      </w:r>
    </w:p>
    <w:p w14:paraId="76C6AE19" w14:textId="77777777" w:rsidR="00A31072" w:rsidRPr="00A26213" w:rsidRDefault="00A31072" w:rsidP="004E403B">
      <w:pPr>
        <w:pStyle w:val="BodyText2"/>
        <w:tabs>
          <w:tab w:val="clear" w:pos="1560"/>
          <w:tab w:val="num" w:pos="1134"/>
        </w:tabs>
        <w:ind w:left="1134"/>
      </w:pPr>
      <w:r w:rsidRPr="00A26213">
        <w:rPr>
          <w:b/>
        </w:rPr>
        <w:t>Level 2</w:t>
      </w:r>
      <w:r w:rsidRPr="00A26213">
        <w:t xml:space="preserve"> as defined in APS 001; or</w:t>
      </w:r>
    </w:p>
    <w:p w14:paraId="3F11F450" w14:textId="77777777" w:rsidR="00A31072" w:rsidRDefault="00A31072" w:rsidP="004E403B">
      <w:pPr>
        <w:pStyle w:val="BodyText2"/>
        <w:tabs>
          <w:tab w:val="clear" w:pos="1560"/>
          <w:tab w:val="num" w:pos="1134"/>
        </w:tabs>
        <w:ind w:left="1134"/>
      </w:pPr>
      <w:r w:rsidRPr="00A26213">
        <w:t>a Level 2 insurance group as defined in GPS 001</w:t>
      </w:r>
      <w:r>
        <w:t>;</w:t>
      </w:r>
    </w:p>
    <w:p w14:paraId="2ED66506" w14:textId="77777777" w:rsidR="00A31072" w:rsidRPr="00A26213" w:rsidRDefault="00A31072" w:rsidP="00A31072">
      <w:pPr>
        <w:pStyle w:val="BodyText1"/>
        <w:numPr>
          <w:ilvl w:val="0"/>
          <w:numId w:val="0"/>
        </w:numPr>
        <w:ind w:left="567"/>
      </w:pPr>
      <w:r w:rsidRPr="00A26213">
        <w:t>‘Level 2 Head’ means:</w:t>
      </w:r>
    </w:p>
    <w:p w14:paraId="71EE675A" w14:textId="77777777" w:rsidR="00A31072" w:rsidRPr="00A26213" w:rsidRDefault="00A31072" w:rsidP="004E403B">
      <w:pPr>
        <w:pStyle w:val="BodyText2"/>
        <w:numPr>
          <w:ilvl w:val="1"/>
          <w:numId w:val="23"/>
        </w:numPr>
        <w:tabs>
          <w:tab w:val="clear" w:pos="1560"/>
          <w:tab w:val="num" w:pos="1134"/>
        </w:tabs>
        <w:ind w:left="1134"/>
      </w:pPr>
      <w:r w:rsidRPr="00A26213">
        <w:t xml:space="preserve">where an ADI that is a member of a Level 2 group is not a </w:t>
      </w:r>
      <w:r w:rsidRPr="00A31072">
        <w:rPr>
          <w:b/>
        </w:rPr>
        <w:t>subsidiary</w:t>
      </w:r>
      <w:r w:rsidRPr="00A26213">
        <w:t xml:space="preserve"> of an authorised banking NOHC or another ADI, that ADI; </w:t>
      </w:r>
    </w:p>
    <w:p w14:paraId="61FFCF2B" w14:textId="77777777" w:rsidR="00A31072" w:rsidRPr="00A26213" w:rsidRDefault="00A31072" w:rsidP="004E403B">
      <w:pPr>
        <w:pStyle w:val="BodyText2"/>
        <w:numPr>
          <w:ilvl w:val="1"/>
          <w:numId w:val="23"/>
        </w:numPr>
        <w:tabs>
          <w:tab w:val="clear" w:pos="1560"/>
          <w:tab w:val="num" w:pos="1134"/>
        </w:tabs>
        <w:ind w:left="1134"/>
      </w:pPr>
      <w:r w:rsidRPr="00A26213">
        <w:t>where an ADI that is a member of a Level 2 group is a subsidiary of an authorised banking NOHC, that authorised banking NOHC; or</w:t>
      </w:r>
    </w:p>
    <w:p w14:paraId="2DBB9EFB" w14:textId="77777777" w:rsidR="00A31072" w:rsidRPr="000065BE" w:rsidRDefault="00A31072" w:rsidP="004E403B">
      <w:pPr>
        <w:pStyle w:val="BodyText2"/>
        <w:numPr>
          <w:ilvl w:val="1"/>
          <w:numId w:val="23"/>
        </w:numPr>
        <w:tabs>
          <w:tab w:val="clear" w:pos="1560"/>
          <w:tab w:val="num" w:pos="1134"/>
        </w:tabs>
        <w:ind w:left="1134"/>
      </w:pPr>
      <w:r w:rsidRPr="00A26213">
        <w:t>the parent entity of a Level 2 insurance group as defined in GPS 001</w:t>
      </w:r>
      <w:r>
        <w:t>.</w:t>
      </w:r>
    </w:p>
    <w:p w14:paraId="11CECE6A" w14:textId="77777777" w:rsidR="00A31072" w:rsidRDefault="00A31072" w:rsidP="00A31072">
      <w:pPr>
        <w:pStyle w:val="Heading1"/>
      </w:pPr>
      <w:bookmarkStart w:id="13" w:name="_Toc454537692"/>
      <w:bookmarkEnd w:id="10"/>
      <w:bookmarkEnd w:id="11"/>
      <w:bookmarkEnd w:id="12"/>
      <w:r>
        <w:t>The role</w:t>
      </w:r>
      <w:r>
        <w:rPr>
          <w:spacing w:val="1"/>
        </w:rPr>
        <w:t xml:space="preserve"> </w:t>
      </w:r>
      <w:r w:rsidRPr="009E78BE">
        <w:t>of</w:t>
      </w:r>
      <w:r>
        <w:t xml:space="preserve"> the </w:t>
      </w:r>
      <w:r w:rsidRPr="00070308">
        <w:t>Board</w:t>
      </w:r>
      <w:bookmarkEnd w:id="13"/>
    </w:p>
    <w:p w14:paraId="45D17A12" w14:textId="77777777" w:rsidR="00A31072" w:rsidRDefault="00A31072" w:rsidP="00A31072">
      <w:pPr>
        <w:pStyle w:val="BodyText1"/>
      </w:pPr>
      <w:bookmarkStart w:id="14" w:name="_Ref444255284"/>
      <w:bookmarkStart w:id="15" w:name="_Ref446488799"/>
      <w:bookmarkStart w:id="16" w:name="_Ref347503518"/>
      <w:r>
        <w:t>The</w:t>
      </w:r>
      <w:r w:rsidRPr="00C92853">
        <w:t xml:space="preserve"> </w:t>
      </w:r>
      <w:r w:rsidRPr="00070308">
        <w:rPr>
          <w:b/>
          <w:bCs/>
        </w:rPr>
        <w:t>Board</w:t>
      </w:r>
      <w:r w:rsidRPr="00D81FD5">
        <w:rPr>
          <w:rStyle w:val="FootnoteReference"/>
          <w:bCs/>
        </w:rPr>
        <w:footnoteReference w:id="4"/>
      </w:r>
      <w:r w:rsidRPr="00C92853">
        <w:rPr>
          <w:b/>
        </w:rPr>
        <w:t xml:space="preserve"> </w:t>
      </w:r>
      <w:r>
        <w:t>of</w:t>
      </w:r>
      <w:r w:rsidRPr="00C92853">
        <w:t xml:space="preserve"> </w:t>
      </w:r>
      <w:r>
        <w:t>an</w:t>
      </w:r>
      <w:r w:rsidRPr="00C92853">
        <w:t xml:space="preserve"> </w:t>
      </w:r>
      <w:r>
        <w:t>APRA-regulated</w:t>
      </w:r>
      <w:r w:rsidRPr="00C92853">
        <w:t xml:space="preserve"> </w:t>
      </w:r>
      <w:r>
        <w:t>institution</w:t>
      </w:r>
      <w:r w:rsidRPr="00C92853">
        <w:t xml:space="preserve"> </w:t>
      </w:r>
      <w:r>
        <w:t>is</w:t>
      </w:r>
      <w:r w:rsidRPr="00C92853">
        <w:t xml:space="preserve"> </w:t>
      </w:r>
      <w:r>
        <w:t>ultimately</w:t>
      </w:r>
      <w:r w:rsidRPr="00C92853">
        <w:t xml:space="preserve"> </w:t>
      </w:r>
      <w:r>
        <w:t>responsible</w:t>
      </w:r>
      <w:r w:rsidRPr="00C92853">
        <w:t xml:space="preserve"> </w:t>
      </w:r>
      <w:r>
        <w:t>for</w:t>
      </w:r>
      <w:r w:rsidRPr="00C92853">
        <w:t xml:space="preserve"> </w:t>
      </w:r>
      <w:r>
        <w:t>the</w:t>
      </w:r>
      <w:r w:rsidRPr="00C92853">
        <w:t xml:space="preserve"> </w:t>
      </w:r>
      <w:r>
        <w:t>institution’s</w:t>
      </w:r>
      <w:r w:rsidRPr="00C92853">
        <w:t xml:space="preserve"> </w:t>
      </w:r>
      <w:r w:rsidRPr="00501974">
        <w:rPr>
          <w:b/>
        </w:rPr>
        <w:t>risk</w:t>
      </w:r>
      <w:r w:rsidRPr="00C92853">
        <w:rPr>
          <w:b/>
        </w:rPr>
        <w:t xml:space="preserve"> </w:t>
      </w:r>
      <w:r w:rsidRPr="00501974">
        <w:rPr>
          <w:b/>
        </w:rPr>
        <w:t>management</w:t>
      </w:r>
      <w:r w:rsidRPr="00C92853">
        <w:rPr>
          <w:b/>
        </w:rPr>
        <w:t xml:space="preserve"> </w:t>
      </w:r>
      <w:r w:rsidRPr="00501974">
        <w:rPr>
          <w:b/>
        </w:rPr>
        <w:t>framework</w:t>
      </w:r>
      <w:r>
        <w:t xml:space="preserve"> and is responsible for the oversight of its operation by management. </w:t>
      </w:r>
      <w:r w:rsidRPr="00C92853">
        <w:t xml:space="preserve">In </w:t>
      </w:r>
      <w:r>
        <w:t>particular,</w:t>
      </w:r>
      <w:r w:rsidRPr="00C92853">
        <w:t xml:space="preserve"> </w:t>
      </w:r>
      <w:r>
        <w:t>the</w:t>
      </w:r>
      <w:r w:rsidRPr="00C92853">
        <w:t xml:space="preserve"> </w:t>
      </w:r>
      <w:r w:rsidRPr="00070308">
        <w:t>Board</w:t>
      </w:r>
      <w:r w:rsidRPr="00C92853">
        <w:t xml:space="preserve"> </w:t>
      </w:r>
      <w:r>
        <w:t xml:space="preserve">must </w:t>
      </w:r>
      <w:r w:rsidRPr="00F16983">
        <w:rPr>
          <w:b/>
        </w:rPr>
        <w:t>ensure</w:t>
      </w:r>
      <w:r>
        <w:t xml:space="preserve"> that</w:t>
      </w:r>
      <w:bookmarkEnd w:id="14"/>
      <w:r>
        <w:t>:</w:t>
      </w:r>
      <w:bookmarkEnd w:id="15"/>
    </w:p>
    <w:p w14:paraId="1044DBE9" w14:textId="77777777" w:rsidR="00A31072" w:rsidRPr="00F0011F" w:rsidRDefault="00A31072" w:rsidP="004E403B">
      <w:pPr>
        <w:pStyle w:val="BodyText2"/>
        <w:tabs>
          <w:tab w:val="clear" w:pos="1560"/>
          <w:tab w:val="num" w:pos="1134"/>
        </w:tabs>
        <w:ind w:left="1134"/>
      </w:pPr>
      <w:r w:rsidRPr="00F0011F">
        <w:t xml:space="preserve">it sets the risk appetite within which it expects management to operate and approves the institution’s risk appetite statement and </w:t>
      </w:r>
      <w:r w:rsidRPr="0000503E">
        <w:rPr>
          <w:b/>
        </w:rPr>
        <w:t>risk management</w:t>
      </w:r>
      <w:r w:rsidR="0009406F" w:rsidRPr="0000503E">
        <w:rPr>
          <w:b/>
        </w:rPr>
        <w:t xml:space="preserve"> </w:t>
      </w:r>
      <w:r w:rsidRPr="0000503E">
        <w:rPr>
          <w:b/>
        </w:rPr>
        <w:t>strategy</w:t>
      </w:r>
      <w:r w:rsidRPr="00F0011F">
        <w:t xml:space="preserve"> (RMS);</w:t>
      </w:r>
    </w:p>
    <w:p w14:paraId="3CB5252E" w14:textId="77777777" w:rsidR="00A31072" w:rsidRDefault="00A31072" w:rsidP="004E403B">
      <w:pPr>
        <w:pStyle w:val="BodyText2"/>
        <w:tabs>
          <w:tab w:val="clear" w:pos="1560"/>
          <w:tab w:val="num" w:pos="1134"/>
        </w:tabs>
        <w:ind w:left="1134"/>
      </w:pPr>
      <w:r>
        <w:t>it forms a view of the risk culture in the institution, and the extent to which that culture supports the ability of the institution to operate consistently within its risk appetite, identify any desirable changes to the risk culture and ensures the institution takes steps to address those changes;</w:t>
      </w:r>
    </w:p>
    <w:p w14:paraId="0C601DA5" w14:textId="77777777" w:rsidR="00A31072" w:rsidRDefault="00A31072" w:rsidP="004E403B">
      <w:pPr>
        <w:pStyle w:val="BodyText2"/>
        <w:tabs>
          <w:tab w:val="clear" w:pos="1560"/>
          <w:tab w:val="num" w:pos="1134"/>
        </w:tabs>
        <w:ind w:left="1134"/>
      </w:pPr>
      <w:r w:rsidRPr="00070308">
        <w:rPr>
          <w:b/>
        </w:rPr>
        <w:t>senior</w:t>
      </w:r>
      <w:r w:rsidR="0047482A">
        <w:rPr>
          <w:b/>
        </w:rPr>
        <w:t xml:space="preserve"> </w:t>
      </w:r>
      <w:r w:rsidRPr="00070308">
        <w:rPr>
          <w:b/>
        </w:rPr>
        <w:t>management</w:t>
      </w:r>
      <w:r w:rsidRPr="0047482A">
        <w:t xml:space="preserve"> </w:t>
      </w:r>
      <w:r w:rsidRPr="00151106">
        <w:t>of the institution</w:t>
      </w:r>
      <w:r w:rsidRPr="0047482A">
        <w:t xml:space="preserve"> </w:t>
      </w:r>
      <w:r>
        <w:t>monitor</w:t>
      </w:r>
      <w:r w:rsidRPr="0047482A">
        <w:t xml:space="preserve"> </w:t>
      </w:r>
      <w:r>
        <w:t>and</w:t>
      </w:r>
      <w:r w:rsidRPr="0047482A">
        <w:t xml:space="preserve"> </w:t>
      </w:r>
      <w:r>
        <w:t>manage</w:t>
      </w:r>
      <w:r w:rsidRPr="0047482A">
        <w:t xml:space="preserve"> </w:t>
      </w:r>
      <w:r>
        <w:t>all</w:t>
      </w:r>
      <w:r w:rsidRPr="0047482A">
        <w:t xml:space="preserve"> </w:t>
      </w:r>
      <w:r w:rsidRPr="00377DB8">
        <w:t>material</w:t>
      </w:r>
      <w:r w:rsidRPr="0047482A">
        <w:t xml:space="preserve"> </w:t>
      </w:r>
      <w:r>
        <w:t>risks</w:t>
      </w:r>
      <w:r w:rsidRPr="0047482A">
        <w:t xml:space="preserve"> </w:t>
      </w:r>
      <w:r>
        <w:t>consistent</w:t>
      </w:r>
      <w:r w:rsidRPr="0047482A">
        <w:t xml:space="preserve"> </w:t>
      </w:r>
      <w:r>
        <w:t>with</w:t>
      </w:r>
      <w:r w:rsidRPr="0047482A">
        <w:t xml:space="preserve"> </w:t>
      </w:r>
      <w:r>
        <w:t>the</w:t>
      </w:r>
      <w:r w:rsidRPr="0047482A">
        <w:t xml:space="preserve"> </w:t>
      </w:r>
      <w:r>
        <w:t>strategic</w:t>
      </w:r>
      <w:r w:rsidRPr="0047482A">
        <w:t xml:space="preserve"> </w:t>
      </w:r>
      <w:r>
        <w:t>objectives,</w:t>
      </w:r>
      <w:r w:rsidRPr="0047482A">
        <w:t xml:space="preserve"> </w:t>
      </w:r>
      <w:r>
        <w:t>risk</w:t>
      </w:r>
      <w:r w:rsidRPr="0047482A">
        <w:t xml:space="preserve"> </w:t>
      </w:r>
      <w:r>
        <w:t>appetite</w:t>
      </w:r>
      <w:r w:rsidRPr="0047482A">
        <w:t xml:space="preserve"> </w:t>
      </w:r>
      <w:r>
        <w:t xml:space="preserve">statement and policies approved </w:t>
      </w:r>
      <w:r w:rsidRPr="0047482A">
        <w:t xml:space="preserve">by </w:t>
      </w:r>
      <w:r>
        <w:t>the</w:t>
      </w:r>
      <w:r w:rsidRPr="0047482A">
        <w:t xml:space="preserve"> </w:t>
      </w:r>
      <w:r w:rsidRPr="00070308">
        <w:t>Board</w:t>
      </w:r>
      <w:r>
        <w:t>;</w:t>
      </w:r>
    </w:p>
    <w:p w14:paraId="5E5E04CD" w14:textId="77777777" w:rsidR="00A31072" w:rsidRDefault="00A31072" w:rsidP="004E403B">
      <w:pPr>
        <w:pStyle w:val="BodyText2"/>
        <w:tabs>
          <w:tab w:val="clear" w:pos="1560"/>
          <w:tab w:val="num" w:pos="1134"/>
        </w:tabs>
        <w:ind w:left="1134"/>
      </w:pPr>
      <w:r>
        <w:t>the</w:t>
      </w:r>
      <w:r w:rsidRPr="0047482A">
        <w:t xml:space="preserve"> </w:t>
      </w:r>
      <w:r>
        <w:t>operational</w:t>
      </w:r>
      <w:r w:rsidRPr="0047482A">
        <w:t xml:space="preserve"> </w:t>
      </w:r>
      <w:r>
        <w:t>structure</w:t>
      </w:r>
      <w:r w:rsidRPr="0047482A">
        <w:t xml:space="preserve"> </w:t>
      </w:r>
      <w:r>
        <w:t>of</w:t>
      </w:r>
      <w:r w:rsidRPr="0047482A">
        <w:t xml:space="preserve"> </w:t>
      </w:r>
      <w:r>
        <w:t>the</w:t>
      </w:r>
      <w:r w:rsidRPr="0047482A">
        <w:t xml:space="preserve"> </w:t>
      </w:r>
      <w:r>
        <w:t>institution</w:t>
      </w:r>
      <w:r w:rsidRPr="0047482A">
        <w:t xml:space="preserve"> </w:t>
      </w:r>
      <w:r>
        <w:t>facilitates</w:t>
      </w:r>
      <w:r w:rsidRPr="0047482A">
        <w:t xml:space="preserve"> </w:t>
      </w:r>
      <w:r>
        <w:t>effective</w:t>
      </w:r>
      <w:r w:rsidRPr="0047482A">
        <w:t xml:space="preserve"> </w:t>
      </w:r>
      <w:r>
        <w:t>risk</w:t>
      </w:r>
      <w:r w:rsidRPr="0047482A">
        <w:t xml:space="preserve"> </w:t>
      </w:r>
      <w:r>
        <w:t>management;</w:t>
      </w:r>
    </w:p>
    <w:p w14:paraId="57EB1FB6" w14:textId="77777777" w:rsidR="00A31072" w:rsidRDefault="00A31072" w:rsidP="004E403B">
      <w:pPr>
        <w:pStyle w:val="BodyText2"/>
        <w:tabs>
          <w:tab w:val="clear" w:pos="1560"/>
          <w:tab w:val="num" w:pos="1134"/>
        </w:tabs>
        <w:ind w:left="1134"/>
      </w:pPr>
      <w:r w:rsidRPr="0047482A">
        <w:t xml:space="preserve">policies and </w:t>
      </w:r>
      <w:r>
        <w:t>processes</w:t>
      </w:r>
      <w:r w:rsidRPr="0047482A">
        <w:t xml:space="preserve"> </w:t>
      </w:r>
      <w:r>
        <w:t>are</w:t>
      </w:r>
      <w:r w:rsidRPr="0047482A">
        <w:t xml:space="preserve"> </w:t>
      </w:r>
      <w:r>
        <w:t>developed</w:t>
      </w:r>
      <w:r w:rsidRPr="0047482A">
        <w:t xml:space="preserve"> </w:t>
      </w:r>
      <w:r>
        <w:t>for</w:t>
      </w:r>
      <w:r w:rsidRPr="0047482A">
        <w:t xml:space="preserve"> </w:t>
      </w:r>
      <w:r>
        <w:t>risk-taking</w:t>
      </w:r>
      <w:r w:rsidRPr="0047482A">
        <w:t xml:space="preserve"> </w:t>
      </w:r>
      <w:r>
        <w:t>that</w:t>
      </w:r>
      <w:r w:rsidRPr="0047482A">
        <w:t xml:space="preserve"> </w:t>
      </w:r>
      <w:r>
        <w:t>are</w:t>
      </w:r>
      <w:r w:rsidRPr="0047482A">
        <w:t xml:space="preserve"> consistent </w:t>
      </w:r>
      <w:r>
        <w:t>with the</w:t>
      </w:r>
      <w:r w:rsidRPr="0047482A">
        <w:t xml:space="preserve"> </w:t>
      </w:r>
      <w:r>
        <w:t>RMS</w:t>
      </w:r>
      <w:r w:rsidRPr="0047482A">
        <w:t xml:space="preserve"> and </w:t>
      </w:r>
      <w:r>
        <w:t xml:space="preserve">the </w:t>
      </w:r>
      <w:r w:rsidRPr="0047482A">
        <w:t>established</w:t>
      </w:r>
      <w:r>
        <w:t xml:space="preserve"> risk </w:t>
      </w:r>
      <w:r w:rsidRPr="0047482A">
        <w:t>appetite;</w:t>
      </w:r>
    </w:p>
    <w:p w14:paraId="722C70E4" w14:textId="77777777" w:rsidR="00A31072" w:rsidRDefault="00A31072" w:rsidP="004E403B">
      <w:pPr>
        <w:pStyle w:val="BodyText2"/>
        <w:tabs>
          <w:tab w:val="clear" w:pos="1560"/>
          <w:tab w:val="num" w:pos="1134"/>
        </w:tabs>
        <w:ind w:left="1134"/>
      </w:pPr>
      <w:r>
        <w:t>sufficient resources</w:t>
      </w:r>
      <w:r w:rsidRPr="0047482A">
        <w:t xml:space="preserve"> </w:t>
      </w:r>
      <w:r>
        <w:t>are</w:t>
      </w:r>
      <w:r w:rsidRPr="0047482A">
        <w:t xml:space="preserve"> </w:t>
      </w:r>
      <w:r>
        <w:t>dedicated to risk management; and</w:t>
      </w:r>
    </w:p>
    <w:p w14:paraId="2DF3CA9F" w14:textId="77777777" w:rsidR="00A31072" w:rsidRDefault="00A31072" w:rsidP="004E403B">
      <w:pPr>
        <w:pStyle w:val="BodyText2"/>
        <w:tabs>
          <w:tab w:val="clear" w:pos="1560"/>
          <w:tab w:val="num" w:pos="1134"/>
        </w:tabs>
        <w:ind w:left="1134"/>
      </w:pPr>
      <w:r>
        <w:t xml:space="preserve">it </w:t>
      </w:r>
      <w:r w:rsidRPr="00295651">
        <w:t>recogni</w:t>
      </w:r>
      <w:r>
        <w:t>s</w:t>
      </w:r>
      <w:r w:rsidRPr="00295651">
        <w:t xml:space="preserve">es uncertainties, </w:t>
      </w:r>
      <w:r>
        <w:t>limitations and assumptions attached to the measurement of each material risk.</w:t>
      </w:r>
      <w:bookmarkStart w:id="17" w:name="_Ref444013774"/>
      <w:bookmarkEnd w:id="16"/>
    </w:p>
    <w:p w14:paraId="7CB10FE6" w14:textId="77777777" w:rsidR="00A31072" w:rsidRDefault="00A31072" w:rsidP="00A31072">
      <w:pPr>
        <w:pStyle w:val="Heading1"/>
      </w:pPr>
      <w:bookmarkStart w:id="18" w:name="_Toc454537693"/>
      <w:bookmarkEnd w:id="17"/>
      <w:r>
        <w:t>Use of group risk</w:t>
      </w:r>
      <w:r>
        <w:rPr>
          <w:spacing w:val="-2"/>
        </w:rPr>
        <w:t xml:space="preserve"> </w:t>
      </w:r>
      <w:r>
        <w:t>management by an APRA-regulated institution</w:t>
      </w:r>
      <w:bookmarkEnd w:id="18"/>
    </w:p>
    <w:p w14:paraId="2FBBD81A" w14:textId="77777777" w:rsidR="00A31072" w:rsidRDefault="00A31072" w:rsidP="00A31072">
      <w:pPr>
        <w:pStyle w:val="BodyText1"/>
      </w:pPr>
      <w:bookmarkStart w:id="19" w:name="_Ref347503536"/>
      <w:r>
        <w:t>An</w:t>
      </w:r>
      <w:r w:rsidRPr="00C92853">
        <w:t xml:space="preserve"> </w:t>
      </w:r>
      <w:r>
        <w:t>APRA-regulated</w:t>
      </w:r>
      <w:r w:rsidRPr="00C92853">
        <w:t xml:space="preserve"> </w:t>
      </w:r>
      <w:r>
        <w:t>institution</w:t>
      </w:r>
      <w:r w:rsidRPr="00C92853">
        <w:t xml:space="preserve"> </w:t>
      </w:r>
      <w:r>
        <w:t>that</w:t>
      </w:r>
      <w:r w:rsidRPr="00C92853">
        <w:t xml:space="preserve"> </w:t>
      </w:r>
      <w:r>
        <w:t>is</w:t>
      </w:r>
      <w:r w:rsidRPr="00C92853">
        <w:t xml:space="preserve"> </w:t>
      </w:r>
      <w:r>
        <w:t>part</w:t>
      </w:r>
      <w:r w:rsidRPr="00C92853">
        <w:t xml:space="preserve"> </w:t>
      </w:r>
      <w:r>
        <w:t>of</w:t>
      </w:r>
      <w:r w:rsidRPr="00C92853">
        <w:t xml:space="preserve"> </w:t>
      </w:r>
      <w:r>
        <w:t>a</w:t>
      </w:r>
      <w:r w:rsidRPr="00C92853">
        <w:t xml:space="preserve"> </w:t>
      </w:r>
      <w:r>
        <w:t>group</w:t>
      </w:r>
      <w:r w:rsidRPr="00C92853">
        <w:t xml:space="preserve"> </w:t>
      </w:r>
      <w:r w:rsidRPr="00070308">
        <w:t>or</w:t>
      </w:r>
      <w:r w:rsidRPr="00C92853">
        <w:t xml:space="preserve"> </w:t>
      </w:r>
      <w:r w:rsidRPr="00070308">
        <w:t>other</w:t>
      </w:r>
      <w:r w:rsidRPr="00C92853">
        <w:t xml:space="preserve"> </w:t>
      </w:r>
      <w:r w:rsidRPr="00F16983">
        <w:rPr>
          <w:b/>
        </w:rPr>
        <w:t>corporate</w:t>
      </w:r>
      <w:r w:rsidRPr="00C92853">
        <w:rPr>
          <w:b/>
        </w:rPr>
        <w:t xml:space="preserve"> </w:t>
      </w:r>
      <w:r w:rsidRPr="00F16983">
        <w:rPr>
          <w:b/>
        </w:rPr>
        <w:t>group</w:t>
      </w:r>
      <w:r w:rsidRPr="00C92853">
        <w:t xml:space="preserve"> may </w:t>
      </w:r>
      <w:r>
        <w:t>meet</w:t>
      </w:r>
      <w:r w:rsidRPr="00C92853">
        <w:t xml:space="preserve"> </w:t>
      </w:r>
      <w:r>
        <w:t>requirements</w:t>
      </w:r>
      <w:r w:rsidRPr="00C92853">
        <w:t xml:space="preserve"> </w:t>
      </w:r>
      <w:r>
        <w:t>of</w:t>
      </w:r>
      <w:r w:rsidRPr="00C92853">
        <w:t xml:space="preserve"> </w:t>
      </w:r>
      <w:r>
        <w:t>this</w:t>
      </w:r>
      <w:r w:rsidRPr="00C92853">
        <w:t xml:space="preserve"> </w:t>
      </w:r>
      <w:r>
        <w:t>Prudential</w:t>
      </w:r>
      <w:r w:rsidRPr="00C92853">
        <w:t xml:space="preserve"> </w:t>
      </w:r>
      <w:r>
        <w:t>Standard</w:t>
      </w:r>
      <w:r w:rsidRPr="00C92853">
        <w:t xml:space="preserve"> </w:t>
      </w:r>
      <w:r w:rsidRPr="00867131">
        <w:t xml:space="preserve">using group </w:t>
      </w:r>
      <w:r>
        <w:t xml:space="preserve">risk management </w:t>
      </w:r>
      <w:r w:rsidRPr="00867131">
        <w:t>frameworks, policies, procedures or functions</w:t>
      </w:r>
      <w:r>
        <w:t>,</w:t>
      </w:r>
      <w:r w:rsidRPr="00C92853">
        <w:t xml:space="preserve"> </w:t>
      </w:r>
      <w:r>
        <w:t>provided</w:t>
      </w:r>
      <w:r w:rsidRPr="00C92853">
        <w:t xml:space="preserve"> </w:t>
      </w:r>
      <w:r>
        <w:t>that</w:t>
      </w:r>
      <w:r w:rsidRPr="00C92853">
        <w:t xml:space="preserve"> </w:t>
      </w:r>
      <w:r>
        <w:t>the</w:t>
      </w:r>
      <w:r w:rsidRPr="00C92853">
        <w:t xml:space="preserve"> </w:t>
      </w:r>
      <w:r w:rsidRPr="00070308">
        <w:t>Board</w:t>
      </w:r>
      <w:r w:rsidRPr="00C92853">
        <w:t xml:space="preserve"> of </w:t>
      </w:r>
      <w:r>
        <w:t>the</w:t>
      </w:r>
      <w:r w:rsidRPr="00C92853">
        <w:t xml:space="preserve"> </w:t>
      </w:r>
      <w:r>
        <w:t>institution</w:t>
      </w:r>
      <w:r w:rsidRPr="00C92853">
        <w:t xml:space="preserve"> </w:t>
      </w:r>
      <w:r>
        <w:t>is</w:t>
      </w:r>
      <w:r w:rsidRPr="00C92853">
        <w:t xml:space="preserve"> </w:t>
      </w:r>
      <w:r>
        <w:t>satisfied</w:t>
      </w:r>
      <w:r w:rsidRPr="00C92853">
        <w:t xml:space="preserve"> </w:t>
      </w:r>
      <w:r>
        <w:t>that</w:t>
      </w:r>
      <w:r w:rsidRPr="00C92853">
        <w:t xml:space="preserve"> </w:t>
      </w:r>
      <w:r>
        <w:t>the</w:t>
      </w:r>
      <w:r w:rsidRPr="00C92853">
        <w:t xml:space="preserve"> </w:t>
      </w:r>
      <w:r>
        <w:t>requirements</w:t>
      </w:r>
      <w:r w:rsidRPr="00C92853">
        <w:t xml:space="preserve"> </w:t>
      </w:r>
      <w:r>
        <w:t>are</w:t>
      </w:r>
      <w:r w:rsidRPr="00C92853">
        <w:t xml:space="preserve"> </w:t>
      </w:r>
      <w:r>
        <w:t>met in respect of that institution.</w:t>
      </w:r>
      <w:bookmarkEnd w:id="19"/>
    </w:p>
    <w:p w14:paraId="545E2680" w14:textId="77777777" w:rsidR="00A31072" w:rsidRDefault="00A31072" w:rsidP="00A31072">
      <w:pPr>
        <w:pStyle w:val="BodyText1"/>
      </w:pPr>
      <w:r>
        <w:t>For</w:t>
      </w:r>
      <w:r w:rsidRPr="00C92853">
        <w:t xml:space="preserve"> </w:t>
      </w:r>
      <w:r>
        <w:t>the</w:t>
      </w:r>
      <w:r w:rsidRPr="00C92853">
        <w:t xml:space="preserve"> </w:t>
      </w:r>
      <w:r>
        <w:t>avoidance</w:t>
      </w:r>
      <w:r w:rsidRPr="00C92853">
        <w:t xml:space="preserve"> </w:t>
      </w:r>
      <w:r>
        <w:t>of</w:t>
      </w:r>
      <w:r w:rsidRPr="00C92853">
        <w:t xml:space="preserve"> </w:t>
      </w:r>
      <w:r>
        <w:t>doubt,</w:t>
      </w:r>
      <w:r w:rsidRPr="00C92853">
        <w:t xml:space="preserve"> </w:t>
      </w:r>
      <w:r>
        <w:t>compliance</w:t>
      </w:r>
      <w:r w:rsidRPr="00C92853">
        <w:t xml:space="preserve"> by</w:t>
      </w:r>
      <w:r>
        <w:t xml:space="preserve"> a</w:t>
      </w:r>
      <w:r w:rsidRPr="00C92853">
        <w:t xml:space="preserve"> </w:t>
      </w:r>
      <w:r>
        <w:t>group</w:t>
      </w:r>
      <w:r w:rsidRPr="00C92853">
        <w:t xml:space="preserve"> </w:t>
      </w:r>
      <w:r>
        <w:t>with</w:t>
      </w:r>
      <w:r w:rsidRPr="00C92853">
        <w:t xml:space="preserve"> </w:t>
      </w:r>
      <w:r>
        <w:t>the</w:t>
      </w:r>
      <w:r w:rsidRPr="00C92853">
        <w:t xml:space="preserve"> </w:t>
      </w:r>
      <w:r>
        <w:t>requirements</w:t>
      </w:r>
      <w:r w:rsidRPr="00C92853">
        <w:t xml:space="preserve"> </w:t>
      </w:r>
      <w:r>
        <w:t>of</w:t>
      </w:r>
      <w:r w:rsidRPr="00C92853">
        <w:t xml:space="preserve"> </w:t>
      </w:r>
      <w:r>
        <w:t>this</w:t>
      </w:r>
      <w:r w:rsidRPr="00C92853">
        <w:t xml:space="preserve"> </w:t>
      </w:r>
      <w:r>
        <w:t>Prudential</w:t>
      </w:r>
      <w:r w:rsidRPr="00C92853">
        <w:t xml:space="preserve"> </w:t>
      </w:r>
      <w:r>
        <w:t>Standard</w:t>
      </w:r>
      <w:r w:rsidRPr="00C92853">
        <w:t xml:space="preserve"> </w:t>
      </w:r>
      <w:r>
        <w:t>does</w:t>
      </w:r>
      <w:r w:rsidRPr="00C92853">
        <w:t xml:space="preserve"> </w:t>
      </w:r>
      <w:r>
        <w:t>not</w:t>
      </w:r>
      <w:r w:rsidRPr="00C92853">
        <w:t xml:space="preserve"> </w:t>
      </w:r>
      <w:r>
        <w:t>relieve</w:t>
      </w:r>
      <w:r w:rsidRPr="00C92853">
        <w:t xml:space="preserve"> </w:t>
      </w:r>
      <w:r>
        <w:t>an</w:t>
      </w:r>
      <w:r w:rsidRPr="00C92853">
        <w:t xml:space="preserve"> </w:t>
      </w:r>
      <w:r>
        <w:t>APRA-regulated</w:t>
      </w:r>
      <w:r w:rsidRPr="00C92853">
        <w:t xml:space="preserve"> </w:t>
      </w:r>
      <w:r>
        <w:t>institution</w:t>
      </w:r>
      <w:r w:rsidRPr="00C92853">
        <w:t xml:space="preserve"> </w:t>
      </w:r>
      <w:r>
        <w:t>within</w:t>
      </w:r>
      <w:r w:rsidRPr="00C92853">
        <w:t xml:space="preserve"> </w:t>
      </w:r>
      <w:r>
        <w:t>the</w:t>
      </w:r>
      <w:r w:rsidRPr="00C92853">
        <w:t xml:space="preserve"> </w:t>
      </w:r>
      <w:r>
        <w:t>group</w:t>
      </w:r>
      <w:r w:rsidRPr="00C92853">
        <w:t xml:space="preserve"> </w:t>
      </w:r>
      <w:r>
        <w:t>from</w:t>
      </w:r>
      <w:r w:rsidRPr="00C92853">
        <w:t xml:space="preserve"> </w:t>
      </w:r>
      <w:r>
        <w:t>the</w:t>
      </w:r>
      <w:r w:rsidRPr="00C92853">
        <w:t xml:space="preserve"> </w:t>
      </w:r>
      <w:r>
        <w:t>need</w:t>
      </w:r>
      <w:r w:rsidRPr="00C92853">
        <w:t xml:space="preserve"> </w:t>
      </w:r>
      <w:r>
        <w:t>to</w:t>
      </w:r>
      <w:r w:rsidRPr="00C92853">
        <w:t xml:space="preserve"> </w:t>
      </w:r>
      <w:r>
        <w:t>comply</w:t>
      </w:r>
      <w:r w:rsidRPr="00C92853">
        <w:t xml:space="preserve"> </w:t>
      </w:r>
      <w:r>
        <w:t>with</w:t>
      </w:r>
      <w:r w:rsidRPr="00C92853">
        <w:t xml:space="preserve"> any </w:t>
      </w:r>
      <w:r>
        <w:t>prudential</w:t>
      </w:r>
      <w:r w:rsidRPr="00C92853">
        <w:t xml:space="preserve"> </w:t>
      </w:r>
      <w:r>
        <w:t>requirements</w:t>
      </w:r>
      <w:r w:rsidRPr="00C92853">
        <w:t xml:space="preserve"> </w:t>
      </w:r>
      <w:r>
        <w:t>of</w:t>
      </w:r>
      <w:r w:rsidRPr="00C92853">
        <w:t xml:space="preserve"> </w:t>
      </w:r>
      <w:r>
        <w:t>that institution.</w:t>
      </w:r>
    </w:p>
    <w:p w14:paraId="3AF7DA29" w14:textId="77777777" w:rsidR="00A31072" w:rsidRDefault="00A31072" w:rsidP="00A31072">
      <w:pPr>
        <w:pStyle w:val="BodyText1"/>
      </w:pPr>
      <w:r>
        <w:t>Where</w:t>
      </w:r>
      <w:r w:rsidRPr="00C92853">
        <w:t xml:space="preserve"> </w:t>
      </w:r>
      <w:r>
        <w:t>an</w:t>
      </w:r>
      <w:r w:rsidRPr="00C92853">
        <w:t xml:space="preserve"> </w:t>
      </w:r>
      <w:r>
        <w:t>APRA-regulated</w:t>
      </w:r>
      <w:r w:rsidRPr="00C92853">
        <w:t xml:space="preserve"> </w:t>
      </w:r>
      <w:r>
        <w:t>institution</w:t>
      </w:r>
      <w:r w:rsidRPr="00C92853">
        <w:t xml:space="preserve"> </w:t>
      </w:r>
      <w:r>
        <w:t>is</w:t>
      </w:r>
      <w:r w:rsidRPr="00C92853">
        <w:t xml:space="preserve"> </w:t>
      </w:r>
      <w:r>
        <w:t>part</w:t>
      </w:r>
      <w:r w:rsidRPr="00C92853">
        <w:t xml:space="preserve"> </w:t>
      </w:r>
      <w:r>
        <w:t>of</w:t>
      </w:r>
      <w:r w:rsidRPr="00C92853">
        <w:t xml:space="preserve"> </w:t>
      </w:r>
      <w:r>
        <w:t>a</w:t>
      </w:r>
      <w:r w:rsidRPr="00C92853">
        <w:t xml:space="preserve"> </w:t>
      </w:r>
      <w:r>
        <w:t>group</w:t>
      </w:r>
      <w:r w:rsidRPr="00C92853">
        <w:t xml:space="preserve"> </w:t>
      </w:r>
      <w:r>
        <w:t>and</w:t>
      </w:r>
      <w:r w:rsidRPr="00C92853">
        <w:t xml:space="preserve"> any </w:t>
      </w:r>
      <w:r>
        <w:t>element</w:t>
      </w:r>
      <w:r w:rsidRPr="00C92853">
        <w:t xml:space="preserve"> of </w:t>
      </w:r>
      <w:r>
        <w:t>the</w:t>
      </w:r>
      <w:r w:rsidRPr="00C92853">
        <w:t xml:space="preserve"> </w:t>
      </w:r>
      <w:r>
        <w:t>risk</w:t>
      </w:r>
      <w:r w:rsidRPr="00C92853">
        <w:t xml:space="preserve"> </w:t>
      </w:r>
      <w:r>
        <w:t>management</w:t>
      </w:r>
      <w:r w:rsidRPr="00C92853">
        <w:t xml:space="preserve"> </w:t>
      </w:r>
      <w:r>
        <w:t>framework</w:t>
      </w:r>
      <w:r w:rsidRPr="00C92853">
        <w:t xml:space="preserve"> </w:t>
      </w:r>
      <w:r>
        <w:t>is</w:t>
      </w:r>
      <w:r w:rsidRPr="00C92853">
        <w:t xml:space="preserve"> </w:t>
      </w:r>
      <w:r>
        <w:t>controlled</w:t>
      </w:r>
      <w:r w:rsidRPr="00C92853">
        <w:t xml:space="preserve"> </w:t>
      </w:r>
      <w:r>
        <w:t>or</w:t>
      </w:r>
      <w:r w:rsidRPr="00C92853">
        <w:t xml:space="preserve"> </w:t>
      </w:r>
      <w:r>
        <w:t>influenced</w:t>
      </w:r>
      <w:r w:rsidRPr="00C92853">
        <w:t xml:space="preserve"> by </w:t>
      </w:r>
      <w:r>
        <w:t>another</w:t>
      </w:r>
      <w:r w:rsidRPr="00C92853">
        <w:t xml:space="preserve"> </w:t>
      </w:r>
      <w:r>
        <w:t>entity</w:t>
      </w:r>
      <w:r w:rsidRPr="00C92853">
        <w:t xml:space="preserve"> </w:t>
      </w:r>
      <w:r>
        <w:t>in</w:t>
      </w:r>
      <w:r w:rsidRPr="00C92853">
        <w:t xml:space="preserve"> </w:t>
      </w:r>
      <w:r>
        <w:t>the</w:t>
      </w:r>
      <w:r w:rsidRPr="00C92853">
        <w:t xml:space="preserve"> </w:t>
      </w:r>
      <w:r>
        <w:t>group,</w:t>
      </w:r>
      <w:r w:rsidRPr="00C92853">
        <w:t xml:space="preserve"> </w:t>
      </w:r>
      <w:r>
        <w:t>the</w:t>
      </w:r>
      <w:r w:rsidRPr="00C92853">
        <w:t xml:space="preserve"> </w:t>
      </w:r>
      <w:r>
        <w:t>institution’s</w:t>
      </w:r>
      <w:r w:rsidRPr="00C92853">
        <w:t xml:space="preserve"> </w:t>
      </w:r>
      <w:r>
        <w:t>risk</w:t>
      </w:r>
      <w:r w:rsidRPr="00C92853">
        <w:t xml:space="preserve"> </w:t>
      </w:r>
      <w:r>
        <w:t>management</w:t>
      </w:r>
      <w:r w:rsidRPr="00C92853">
        <w:t xml:space="preserve"> </w:t>
      </w:r>
      <w:r>
        <w:t>framework</w:t>
      </w:r>
      <w:r w:rsidRPr="00C92853">
        <w:t xml:space="preserve"> </w:t>
      </w:r>
      <w:r>
        <w:t>must</w:t>
      </w:r>
      <w:r w:rsidRPr="00C92853">
        <w:t xml:space="preserve"> </w:t>
      </w:r>
      <w:r>
        <w:t>specifically</w:t>
      </w:r>
      <w:r w:rsidRPr="00C92853">
        <w:t xml:space="preserve"> </w:t>
      </w:r>
      <w:r>
        <w:t>take</w:t>
      </w:r>
      <w:r w:rsidRPr="00C92853">
        <w:t xml:space="preserve"> </w:t>
      </w:r>
      <w:r>
        <w:t>into</w:t>
      </w:r>
      <w:r w:rsidRPr="00C92853">
        <w:t xml:space="preserve"> </w:t>
      </w:r>
      <w:r>
        <w:t>account risks arising</w:t>
      </w:r>
      <w:r w:rsidRPr="00C92853">
        <w:t xml:space="preserve"> </w:t>
      </w:r>
      <w:r>
        <w:t>from</w:t>
      </w:r>
      <w:r w:rsidRPr="00C92853">
        <w:t xml:space="preserve"> </w:t>
      </w:r>
      <w:r>
        <w:t>the group</w:t>
      </w:r>
      <w:r w:rsidRPr="00C92853">
        <w:t xml:space="preserve"> </w:t>
      </w:r>
      <w:r>
        <w:t>framework,</w:t>
      </w:r>
      <w:r w:rsidRPr="00C92853">
        <w:t xml:space="preserve"> </w:t>
      </w:r>
      <w:r>
        <w:t>and clearly</w:t>
      </w:r>
      <w:r w:rsidRPr="00C92853">
        <w:t xml:space="preserve"> </w:t>
      </w:r>
      <w:r>
        <w:t>identify:</w:t>
      </w:r>
    </w:p>
    <w:p w14:paraId="517932AE" w14:textId="77777777" w:rsidR="00A31072" w:rsidRDefault="00A31072" w:rsidP="004E403B">
      <w:pPr>
        <w:pStyle w:val="BodyText2"/>
        <w:tabs>
          <w:tab w:val="clear" w:pos="1560"/>
          <w:tab w:val="num" w:pos="1134"/>
        </w:tabs>
        <w:ind w:left="1134"/>
      </w:pPr>
      <w:r>
        <w:t>whether</w:t>
      </w:r>
      <w:r w:rsidRPr="0047482A">
        <w:t xml:space="preserve"> </w:t>
      </w:r>
      <w:r>
        <w:t>the</w:t>
      </w:r>
      <w:r w:rsidRPr="0047482A">
        <w:t xml:space="preserve"> </w:t>
      </w:r>
      <w:r w:rsidRPr="00E456C7">
        <w:t>APRA-regulated</w:t>
      </w:r>
      <w:r w:rsidRPr="0047482A">
        <w:t xml:space="preserve"> </w:t>
      </w:r>
      <w:r>
        <w:t>institution’s</w:t>
      </w:r>
      <w:r w:rsidRPr="0047482A">
        <w:t xml:space="preserve"> </w:t>
      </w:r>
      <w:r>
        <w:t>risk</w:t>
      </w:r>
      <w:r w:rsidRPr="0047482A">
        <w:t xml:space="preserve"> </w:t>
      </w:r>
      <w:r>
        <w:t>management</w:t>
      </w:r>
      <w:r w:rsidRPr="0047482A">
        <w:t xml:space="preserve"> </w:t>
      </w:r>
      <w:r>
        <w:t>framework</w:t>
      </w:r>
      <w:r w:rsidRPr="0047482A">
        <w:t xml:space="preserve"> </w:t>
      </w:r>
      <w:r>
        <w:t>is</w:t>
      </w:r>
      <w:r w:rsidRPr="0047482A">
        <w:t xml:space="preserve"> </w:t>
      </w:r>
      <w:r>
        <w:t>derived</w:t>
      </w:r>
      <w:r w:rsidRPr="0047482A">
        <w:t xml:space="preserve"> </w:t>
      </w:r>
      <w:r>
        <w:t>wholly or</w:t>
      </w:r>
      <w:r w:rsidRPr="0047482A">
        <w:t xml:space="preserve"> </w:t>
      </w:r>
      <w:r>
        <w:t>partially</w:t>
      </w:r>
      <w:r w:rsidRPr="0047482A">
        <w:t xml:space="preserve"> </w:t>
      </w:r>
      <w:r>
        <w:t>from</w:t>
      </w:r>
      <w:r w:rsidRPr="0047482A">
        <w:t xml:space="preserve"> </w:t>
      </w:r>
      <w:r>
        <w:t>group risk</w:t>
      </w:r>
      <w:r w:rsidRPr="0047482A">
        <w:t xml:space="preserve"> </w:t>
      </w:r>
      <w:r>
        <w:t>management</w:t>
      </w:r>
      <w:r w:rsidRPr="0047482A">
        <w:t xml:space="preserve"> frameworks, </w:t>
      </w:r>
      <w:r>
        <w:t>policies, procedures or</w:t>
      </w:r>
      <w:r w:rsidRPr="0047482A">
        <w:t xml:space="preserve"> </w:t>
      </w:r>
      <w:r>
        <w:t>functions;</w:t>
      </w:r>
    </w:p>
    <w:p w14:paraId="319A2A9C" w14:textId="77777777" w:rsidR="00A31072" w:rsidRDefault="00A31072" w:rsidP="004E403B">
      <w:pPr>
        <w:pStyle w:val="BodyText2"/>
        <w:tabs>
          <w:tab w:val="clear" w:pos="1560"/>
          <w:tab w:val="num" w:pos="1134"/>
        </w:tabs>
        <w:ind w:left="1134"/>
      </w:pPr>
      <w:r>
        <w:t>the</w:t>
      </w:r>
      <w:r w:rsidRPr="0047482A">
        <w:t xml:space="preserve"> </w:t>
      </w:r>
      <w:r>
        <w:t>linkages</w:t>
      </w:r>
      <w:r w:rsidRPr="0047482A">
        <w:t xml:space="preserve"> </w:t>
      </w:r>
      <w:r>
        <w:t>and</w:t>
      </w:r>
      <w:r w:rsidRPr="0047482A">
        <w:t xml:space="preserve"> </w:t>
      </w:r>
      <w:r>
        <w:t>significant</w:t>
      </w:r>
      <w:r w:rsidRPr="0047482A">
        <w:t xml:space="preserve"> </w:t>
      </w:r>
      <w:r>
        <w:t>differences</w:t>
      </w:r>
      <w:r w:rsidRPr="0047482A">
        <w:t xml:space="preserve"> </w:t>
      </w:r>
      <w:r>
        <w:t>between</w:t>
      </w:r>
      <w:r w:rsidRPr="0047482A">
        <w:t xml:space="preserve"> </w:t>
      </w:r>
      <w:r>
        <w:t>the</w:t>
      </w:r>
      <w:r w:rsidRPr="0047482A">
        <w:t xml:space="preserve"> </w:t>
      </w:r>
      <w:r>
        <w:t>institution’s</w:t>
      </w:r>
      <w:r w:rsidRPr="0047482A">
        <w:t xml:space="preserve"> </w:t>
      </w:r>
      <w:r>
        <w:t>and</w:t>
      </w:r>
      <w:r w:rsidRPr="0047482A">
        <w:t xml:space="preserve"> </w:t>
      </w:r>
      <w:r>
        <w:t>the</w:t>
      </w:r>
      <w:r w:rsidRPr="0047482A">
        <w:t xml:space="preserve"> </w:t>
      </w:r>
      <w:r>
        <w:t>group’s risk management framework;</w:t>
      </w:r>
    </w:p>
    <w:p w14:paraId="02615DA5" w14:textId="77777777" w:rsidR="00A31072" w:rsidRDefault="00A31072" w:rsidP="004E403B">
      <w:pPr>
        <w:pStyle w:val="BodyText2"/>
        <w:tabs>
          <w:tab w:val="clear" w:pos="1560"/>
          <w:tab w:val="num" w:pos="1134"/>
        </w:tabs>
        <w:ind w:left="1134"/>
      </w:pPr>
      <w:r>
        <w:t>how</w:t>
      </w:r>
      <w:r w:rsidRPr="0047482A">
        <w:t xml:space="preserve"> </w:t>
      </w:r>
      <w:r>
        <w:t>these</w:t>
      </w:r>
      <w:r w:rsidRPr="0047482A">
        <w:t xml:space="preserve"> </w:t>
      </w:r>
      <w:r>
        <w:t>linkages</w:t>
      </w:r>
      <w:r w:rsidRPr="0047482A">
        <w:t xml:space="preserve"> </w:t>
      </w:r>
      <w:r>
        <w:t>and</w:t>
      </w:r>
      <w:r w:rsidRPr="0047482A">
        <w:t xml:space="preserve"> </w:t>
      </w:r>
      <w:r>
        <w:t>significant</w:t>
      </w:r>
      <w:r w:rsidRPr="0047482A">
        <w:t xml:space="preserve"> </w:t>
      </w:r>
      <w:r>
        <w:t>differences</w:t>
      </w:r>
      <w:r w:rsidRPr="0047482A">
        <w:t xml:space="preserve"> </w:t>
      </w:r>
      <w:r>
        <w:t>change</w:t>
      </w:r>
      <w:r w:rsidRPr="0047482A">
        <w:t xml:space="preserve"> </w:t>
      </w:r>
      <w:r>
        <w:t>the</w:t>
      </w:r>
      <w:r w:rsidRPr="0047482A">
        <w:t xml:space="preserve"> </w:t>
      </w:r>
      <w:r>
        <w:t>risk</w:t>
      </w:r>
      <w:r w:rsidRPr="0047482A">
        <w:t xml:space="preserve"> </w:t>
      </w:r>
      <w:r>
        <w:t>profile</w:t>
      </w:r>
      <w:r w:rsidRPr="0047482A">
        <w:t xml:space="preserve"> of </w:t>
      </w:r>
      <w:r>
        <w:t>the institution;</w:t>
      </w:r>
      <w:r w:rsidRPr="0047482A">
        <w:t xml:space="preserve"> </w:t>
      </w:r>
      <w:r>
        <w:t>and</w:t>
      </w:r>
    </w:p>
    <w:p w14:paraId="6C52348B" w14:textId="77777777" w:rsidR="00A31072" w:rsidRDefault="00A31072" w:rsidP="004E403B">
      <w:pPr>
        <w:pStyle w:val="BodyText2"/>
        <w:tabs>
          <w:tab w:val="clear" w:pos="1560"/>
          <w:tab w:val="num" w:pos="1134"/>
        </w:tabs>
        <w:ind w:left="1134"/>
      </w:pPr>
      <w:r>
        <w:t>the</w:t>
      </w:r>
      <w:r w:rsidRPr="0047482A">
        <w:t xml:space="preserve"> </w:t>
      </w:r>
      <w:r>
        <w:t>process</w:t>
      </w:r>
      <w:r w:rsidRPr="0047482A">
        <w:t xml:space="preserve"> </w:t>
      </w:r>
      <w:r>
        <w:t>for</w:t>
      </w:r>
      <w:r w:rsidRPr="0047482A">
        <w:t xml:space="preserve"> </w:t>
      </w:r>
      <w:r>
        <w:t>monitoring</w:t>
      </w:r>
      <w:r w:rsidRPr="0047482A">
        <w:t xml:space="preserve"> </w:t>
      </w:r>
      <w:r>
        <w:t>by,</w:t>
      </w:r>
      <w:r w:rsidRPr="0047482A">
        <w:t xml:space="preserve"> </w:t>
      </w:r>
      <w:r>
        <w:t>or</w:t>
      </w:r>
      <w:r w:rsidRPr="0047482A">
        <w:t xml:space="preserve"> </w:t>
      </w:r>
      <w:r>
        <w:t>reporting</w:t>
      </w:r>
      <w:r w:rsidRPr="0047482A">
        <w:t xml:space="preserve"> </w:t>
      </w:r>
      <w:r>
        <w:t>to,</w:t>
      </w:r>
      <w:r w:rsidRPr="0047482A">
        <w:t xml:space="preserve"> </w:t>
      </w:r>
      <w:r>
        <w:t>the</w:t>
      </w:r>
      <w:r w:rsidRPr="0047482A">
        <w:t xml:space="preserve"> </w:t>
      </w:r>
      <w:r>
        <w:t>group</w:t>
      </w:r>
      <w:r w:rsidRPr="0047482A">
        <w:t xml:space="preserve"> </w:t>
      </w:r>
      <w:r>
        <w:t>on</w:t>
      </w:r>
      <w:r w:rsidRPr="0047482A">
        <w:t xml:space="preserve"> </w:t>
      </w:r>
      <w:r>
        <w:t>risk</w:t>
      </w:r>
      <w:r w:rsidRPr="0047482A">
        <w:t xml:space="preserve"> </w:t>
      </w:r>
      <w:r>
        <w:t>management</w:t>
      </w:r>
      <w:r w:rsidRPr="0047482A">
        <w:t xml:space="preserve"> </w:t>
      </w:r>
      <w:r>
        <w:t>including</w:t>
      </w:r>
      <w:r w:rsidRPr="0047482A">
        <w:t xml:space="preserve"> </w:t>
      </w:r>
      <w:r>
        <w:t>the</w:t>
      </w:r>
      <w:r w:rsidRPr="0047482A">
        <w:t xml:space="preserve"> key </w:t>
      </w:r>
      <w:r>
        <w:t>procedures,</w:t>
      </w:r>
      <w:r w:rsidRPr="0047482A">
        <w:t xml:space="preserve"> </w:t>
      </w:r>
      <w:r>
        <w:t>the</w:t>
      </w:r>
      <w:r w:rsidRPr="0047482A">
        <w:t xml:space="preserve"> </w:t>
      </w:r>
      <w:r>
        <w:t>frequency</w:t>
      </w:r>
      <w:r w:rsidRPr="0047482A">
        <w:t xml:space="preserve"> of </w:t>
      </w:r>
      <w:r>
        <w:t>reporting</w:t>
      </w:r>
      <w:r w:rsidRPr="0047482A">
        <w:t xml:space="preserve"> </w:t>
      </w:r>
      <w:r>
        <w:t>and</w:t>
      </w:r>
      <w:r w:rsidRPr="0047482A">
        <w:t xml:space="preserve"> </w:t>
      </w:r>
      <w:r>
        <w:t>the approach to reviews of the risk management framework.</w:t>
      </w:r>
    </w:p>
    <w:p w14:paraId="28B69BC8" w14:textId="77777777" w:rsidR="00A31072" w:rsidRPr="007F78C0" w:rsidRDefault="00A31072" w:rsidP="00A31072">
      <w:pPr>
        <w:pStyle w:val="BodyText1"/>
      </w:pPr>
      <w:r w:rsidRPr="007F78C0">
        <w:t>Where APRA is of the view that the fulfilment of a requirement of this Prudential Standard by a group does not adequately address the requirement fo</w:t>
      </w:r>
      <w:r>
        <w:t xml:space="preserve">r </w:t>
      </w:r>
      <w:r w:rsidRPr="007F78C0">
        <w:t>an APRA-regulated institution within that group, APRA may require that institution to meet the requirement on a separate basis within a reasonable timeframe specified by APRA.</w:t>
      </w:r>
    </w:p>
    <w:p w14:paraId="008305A0" w14:textId="77777777" w:rsidR="00A31072" w:rsidRPr="007F78C0" w:rsidRDefault="00A31072" w:rsidP="00A31072">
      <w:pPr>
        <w:pStyle w:val="Heading1"/>
      </w:pPr>
      <w:bookmarkStart w:id="20" w:name="_Toc454537694"/>
      <w:r>
        <w:t>Additional r</w:t>
      </w:r>
      <w:r w:rsidRPr="007F78C0">
        <w:t>equirements of the Head of a group</w:t>
      </w:r>
      <w:bookmarkEnd w:id="20"/>
    </w:p>
    <w:p w14:paraId="3D7B86EB" w14:textId="77777777" w:rsidR="00A31072" w:rsidRDefault="00A31072" w:rsidP="00A31072">
      <w:pPr>
        <w:pStyle w:val="BodyText1"/>
      </w:pPr>
      <w:r>
        <w:t>As part of the group risk management framework (</w:t>
      </w:r>
      <w:r w:rsidRPr="008A0ED4">
        <w:t>see paragraphs</w:t>
      </w:r>
      <w:r>
        <w:t xml:space="preserve"> </w:t>
      </w:r>
      <w:r w:rsidR="005A0B95">
        <w:t>19</w:t>
      </w:r>
      <w:r>
        <w:t xml:space="preserve"> </w:t>
      </w:r>
      <w:r w:rsidRPr="008A0ED4">
        <w:t>to</w:t>
      </w:r>
      <w:r>
        <w:t xml:space="preserve"> </w:t>
      </w:r>
      <w:r w:rsidR="00AC730E">
        <w:t>2</w:t>
      </w:r>
      <w:r w:rsidR="005A0B95">
        <w:t>5</w:t>
      </w:r>
      <w:r>
        <w:t>), the</w:t>
      </w:r>
      <w:r w:rsidRPr="00C92853">
        <w:t xml:space="preserve"> </w:t>
      </w:r>
      <w:r>
        <w:t>Head</w:t>
      </w:r>
      <w:r w:rsidRPr="00C92853">
        <w:t xml:space="preserve"> </w:t>
      </w:r>
      <w:r>
        <w:t>of</w:t>
      </w:r>
      <w:r w:rsidRPr="00C92853">
        <w:t xml:space="preserve"> </w:t>
      </w:r>
      <w:r>
        <w:t>a</w:t>
      </w:r>
      <w:r w:rsidRPr="00C92853">
        <w:t xml:space="preserve"> </w:t>
      </w:r>
      <w:r>
        <w:t>group</w:t>
      </w:r>
      <w:r w:rsidRPr="00C92853">
        <w:t xml:space="preserve"> </w:t>
      </w:r>
      <w:r>
        <w:t>must</w:t>
      </w:r>
      <w:r w:rsidRPr="00C92853">
        <w:t xml:space="preserve"> </w:t>
      </w:r>
      <w:r>
        <w:t>maintain</w:t>
      </w:r>
      <w:r w:rsidRPr="00C92853">
        <w:t xml:space="preserve"> </w:t>
      </w:r>
      <w:r>
        <w:t>processes</w:t>
      </w:r>
      <w:r w:rsidRPr="00C92853">
        <w:t xml:space="preserve"> </w:t>
      </w:r>
      <w:r>
        <w:t>to</w:t>
      </w:r>
      <w:r w:rsidRPr="00C92853">
        <w:t xml:space="preserve"> </w:t>
      </w:r>
      <w:r>
        <w:t>coordinate</w:t>
      </w:r>
      <w:r w:rsidRPr="00C92853">
        <w:t xml:space="preserve"> </w:t>
      </w:r>
      <w:r>
        <w:t>the</w:t>
      </w:r>
      <w:r w:rsidRPr="00C92853">
        <w:t xml:space="preserve"> </w:t>
      </w:r>
      <w:r>
        <w:t>identification,</w:t>
      </w:r>
      <w:r w:rsidRPr="00C92853">
        <w:t xml:space="preserve"> </w:t>
      </w:r>
      <w:r>
        <w:t>measurement,</w:t>
      </w:r>
      <w:r w:rsidRPr="00C92853">
        <w:t xml:space="preserve"> </w:t>
      </w:r>
      <w:r>
        <w:t>evaluation,</w:t>
      </w:r>
      <w:r w:rsidRPr="00C92853">
        <w:t xml:space="preserve"> </w:t>
      </w:r>
      <w:r>
        <w:t>monitoring,</w:t>
      </w:r>
      <w:r w:rsidRPr="00C92853">
        <w:t xml:space="preserve"> </w:t>
      </w:r>
      <w:r>
        <w:t>reporting,</w:t>
      </w:r>
      <w:r w:rsidRPr="00C92853">
        <w:t xml:space="preserve"> </w:t>
      </w:r>
      <w:r>
        <w:t>and</w:t>
      </w:r>
      <w:r w:rsidRPr="00C92853">
        <w:t xml:space="preserve"> </w:t>
      </w:r>
      <w:r>
        <w:t>controlling</w:t>
      </w:r>
      <w:r w:rsidRPr="00C92853">
        <w:t xml:space="preserve"> </w:t>
      </w:r>
      <w:r>
        <w:t>or</w:t>
      </w:r>
      <w:r w:rsidRPr="00C92853">
        <w:t xml:space="preserve"> </w:t>
      </w:r>
      <w:r>
        <w:t>mitigation</w:t>
      </w:r>
      <w:r w:rsidRPr="00C92853">
        <w:t xml:space="preserve"> </w:t>
      </w:r>
      <w:r>
        <w:t>of</w:t>
      </w:r>
      <w:r w:rsidRPr="00C92853">
        <w:t xml:space="preserve"> </w:t>
      </w:r>
      <w:r>
        <w:t>all</w:t>
      </w:r>
      <w:r w:rsidRPr="00C92853">
        <w:t xml:space="preserve"> </w:t>
      </w:r>
      <w:r>
        <w:t>material</w:t>
      </w:r>
      <w:r w:rsidRPr="00C92853">
        <w:t xml:space="preserve"> </w:t>
      </w:r>
      <w:r>
        <w:t>risks</w:t>
      </w:r>
      <w:r w:rsidRPr="00C92853">
        <w:t xml:space="preserve"> </w:t>
      </w:r>
      <w:r>
        <w:t>across</w:t>
      </w:r>
      <w:r w:rsidRPr="00C92853">
        <w:t xml:space="preserve"> </w:t>
      </w:r>
      <w:r>
        <w:t>the</w:t>
      </w:r>
      <w:r w:rsidRPr="00C92853">
        <w:t xml:space="preserve"> </w:t>
      </w:r>
      <w:r>
        <w:t>group,</w:t>
      </w:r>
      <w:r w:rsidRPr="00C92853">
        <w:t xml:space="preserve"> </w:t>
      </w:r>
      <w:r>
        <w:t>in</w:t>
      </w:r>
      <w:r w:rsidRPr="00C92853">
        <w:t xml:space="preserve"> </w:t>
      </w:r>
      <w:r>
        <w:t>normal</w:t>
      </w:r>
      <w:r w:rsidRPr="00C92853">
        <w:t xml:space="preserve"> </w:t>
      </w:r>
      <w:r>
        <w:t>times</w:t>
      </w:r>
      <w:r w:rsidRPr="00C92853">
        <w:t xml:space="preserve"> </w:t>
      </w:r>
      <w:r>
        <w:t>and</w:t>
      </w:r>
      <w:r w:rsidRPr="00C92853">
        <w:t xml:space="preserve"> </w:t>
      </w:r>
      <w:r>
        <w:t>periods</w:t>
      </w:r>
      <w:r w:rsidRPr="00C92853">
        <w:t xml:space="preserve"> </w:t>
      </w:r>
      <w:r>
        <w:t>of</w:t>
      </w:r>
      <w:r w:rsidRPr="00C92853">
        <w:t xml:space="preserve"> </w:t>
      </w:r>
      <w:r>
        <w:t>stress.</w:t>
      </w:r>
      <w:r w:rsidRPr="00C92853">
        <w:t xml:space="preserve"> </w:t>
      </w:r>
      <w:r>
        <w:t>The</w:t>
      </w:r>
      <w:r w:rsidRPr="00C92853">
        <w:t xml:space="preserve"> </w:t>
      </w:r>
      <w:r>
        <w:t>Head</w:t>
      </w:r>
      <w:r w:rsidRPr="00C92853">
        <w:t xml:space="preserve"> </w:t>
      </w:r>
      <w:r>
        <w:t>of</w:t>
      </w:r>
      <w:r w:rsidRPr="00C92853">
        <w:t xml:space="preserve"> </w:t>
      </w:r>
      <w:r>
        <w:t>a</w:t>
      </w:r>
      <w:r w:rsidRPr="00C92853">
        <w:t xml:space="preserve"> </w:t>
      </w:r>
      <w:r>
        <w:t>group</w:t>
      </w:r>
      <w:r w:rsidRPr="00C92853">
        <w:t xml:space="preserve"> </w:t>
      </w:r>
      <w:r>
        <w:t>must</w:t>
      </w:r>
      <w:r w:rsidRPr="00C92853">
        <w:t xml:space="preserve"> </w:t>
      </w:r>
      <w:r>
        <w:t>ensure</w:t>
      </w:r>
      <w:r w:rsidRPr="00C92853">
        <w:t xml:space="preserve"> </w:t>
      </w:r>
      <w:r>
        <w:t>its</w:t>
      </w:r>
      <w:r w:rsidRPr="00C92853">
        <w:t xml:space="preserve"> </w:t>
      </w:r>
      <w:r>
        <w:t>Board</w:t>
      </w:r>
      <w:r w:rsidRPr="00C92853">
        <w:t xml:space="preserve"> </w:t>
      </w:r>
      <w:r>
        <w:t>has</w:t>
      </w:r>
      <w:r w:rsidRPr="00C92853">
        <w:t xml:space="preserve"> </w:t>
      </w:r>
      <w:r>
        <w:t>a</w:t>
      </w:r>
      <w:r w:rsidRPr="00C92853">
        <w:t xml:space="preserve"> </w:t>
      </w:r>
      <w:r>
        <w:t>comprehensive</w:t>
      </w:r>
      <w:r w:rsidRPr="00C92853">
        <w:t xml:space="preserve"> </w:t>
      </w:r>
      <w:r>
        <w:t>group-wide</w:t>
      </w:r>
      <w:r w:rsidRPr="00C92853">
        <w:t xml:space="preserve"> </w:t>
      </w:r>
      <w:r>
        <w:t>view</w:t>
      </w:r>
      <w:r w:rsidRPr="00C92853">
        <w:t xml:space="preserve"> </w:t>
      </w:r>
      <w:r>
        <w:t>of</w:t>
      </w:r>
      <w:r w:rsidRPr="00C92853">
        <w:t xml:space="preserve"> </w:t>
      </w:r>
      <w:r>
        <w:t>all</w:t>
      </w:r>
      <w:r w:rsidRPr="00C92853">
        <w:t xml:space="preserve"> </w:t>
      </w:r>
      <w:r>
        <w:t>material</w:t>
      </w:r>
      <w:r w:rsidRPr="00C92853">
        <w:t xml:space="preserve"> </w:t>
      </w:r>
      <w:r>
        <w:t>risks,</w:t>
      </w:r>
      <w:r w:rsidRPr="00C92853">
        <w:t xml:space="preserve"> </w:t>
      </w:r>
      <w:r>
        <w:t>including</w:t>
      </w:r>
      <w:r w:rsidRPr="00C92853">
        <w:t xml:space="preserve"> </w:t>
      </w:r>
      <w:r>
        <w:t>an</w:t>
      </w:r>
      <w:r w:rsidRPr="00C92853">
        <w:t xml:space="preserve"> </w:t>
      </w:r>
      <w:r>
        <w:t>understanding</w:t>
      </w:r>
      <w:r w:rsidRPr="00C92853">
        <w:t xml:space="preserve"> of </w:t>
      </w:r>
      <w:r>
        <w:t>the</w:t>
      </w:r>
      <w:r w:rsidRPr="00C92853">
        <w:t xml:space="preserve"> </w:t>
      </w:r>
      <w:r>
        <w:t>roles</w:t>
      </w:r>
      <w:r w:rsidRPr="00C92853">
        <w:t xml:space="preserve"> </w:t>
      </w:r>
      <w:r>
        <w:t>and relationships of subsidiaries to one another and to the</w:t>
      </w:r>
      <w:r w:rsidRPr="00C92853">
        <w:t xml:space="preserve"> </w:t>
      </w:r>
      <w:r>
        <w:t>Head of a group.</w:t>
      </w:r>
    </w:p>
    <w:p w14:paraId="46F3BD43" w14:textId="77777777" w:rsidR="00A31072" w:rsidRDefault="00A31072" w:rsidP="00A31072">
      <w:pPr>
        <w:pStyle w:val="BodyText1"/>
      </w:pPr>
      <w:r>
        <w:t xml:space="preserve">The group risk management function (see paragraphs </w:t>
      </w:r>
      <w:r>
        <w:fldChar w:fldCharType="begin"/>
      </w:r>
      <w:r>
        <w:instrText xml:space="preserve"> REF _Ref314637997 \r \h  \* MERGEFORMAT </w:instrText>
      </w:r>
      <w:r>
        <w:fldChar w:fldCharType="separate"/>
      </w:r>
      <w:r w:rsidR="00AA5CFE">
        <w:t>37</w:t>
      </w:r>
      <w:r>
        <w:fldChar w:fldCharType="end"/>
      </w:r>
      <w:r>
        <w:t xml:space="preserve"> to </w:t>
      </w:r>
      <w:r>
        <w:fldChar w:fldCharType="begin"/>
      </w:r>
      <w:r>
        <w:instrText xml:space="preserve"> REF _Ref443042151 \r \h  \* MERGEFORMAT </w:instrText>
      </w:r>
      <w:r>
        <w:fldChar w:fldCharType="separate"/>
      </w:r>
      <w:r w:rsidR="00AA5CFE">
        <w:t>42</w:t>
      </w:r>
      <w:r>
        <w:fldChar w:fldCharType="end"/>
      </w:r>
      <w:r>
        <w:t xml:space="preserve">) does not need to be a function of the Head of a group, but may be a function located elsewhere in the group. The group chief risk officer (CRO) cannot be the roles specified in paragraph </w:t>
      </w:r>
      <w:r w:rsidR="00B933D3">
        <w:t xml:space="preserve">39 </w:t>
      </w:r>
      <w:r>
        <w:t>for any institution within the group.</w:t>
      </w:r>
    </w:p>
    <w:p w14:paraId="0FB09B1E" w14:textId="77777777" w:rsidR="00A31072" w:rsidRDefault="00A31072" w:rsidP="00A31072">
      <w:pPr>
        <w:pStyle w:val="BodyText1"/>
      </w:pPr>
      <w:r>
        <w:t xml:space="preserve">The Head of a group must notify APRA in accordance with paragraphs </w:t>
      </w:r>
      <w:r>
        <w:fldChar w:fldCharType="begin"/>
      </w:r>
      <w:r>
        <w:instrText xml:space="preserve"> REF _Ref443050308 \r \h  \* MERGEFORMAT </w:instrText>
      </w:r>
      <w:r>
        <w:fldChar w:fldCharType="separate"/>
      </w:r>
      <w:r w:rsidR="00AA5CFE">
        <w:t>52</w:t>
      </w:r>
      <w:r>
        <w:fldChar w:fldCharType="end"/>
      </w:r>
      <w:r>
        <w:t xml:space="preserve"> to </w:t>
      </w:r>
      <w:r>
        <w:fldChar w:fldCharType="begin"/>
      </w:r>
      <w:r>
        <w:instrText xml:space="preserve"> REF _Ref444515917 \r \h  \* MERGEFORMAT </w:instrText>
      </w:r>
      <w:r>
        <w:fldChar w:fldCharType="separate"/>
      </w:r>
      <w:r w:rsidR="00AA5CFE">
        <w:t>55</w:t>
      </w:r>
      <w:r>
        <w:fldChar w:fldCharType="end"/>
      </w:r>
      <w:r>
        <w:t xml:space="preserve"> in respect of the group risk management framework, except where an APRA-regulated institution within the group has otherwise notified APRA of that information.</w:t>
      </w:r>
    </w:p>
    <w:p w14:paraId="053B9755" w14:textId="77777777" w:rsidR="00A31072" w:rsidRDefault="00A31072" w:rsidP="00A31072">
      <w:pPr>
        <w:pStyle w:val="BodyText1"/>
      </w:pPr>
      <w:r>
        <w:t>The</w:t>
      </w:r>
      <w:r w:rsidRPr="00C92853">
        <w:t xml:space="preserve"> </w:t>
      </w:r>
      <w:r>
        <w:t>Head</w:t>
      </w:r>
      <w:r w:rsidRPr="00C92853">
        <w:t xml:space="preserve"> of </w:t>
      </w:r>
      <w:r>
        <w:t>a</w:t>
      </w:r>
      <w:r w:rsidRPr="00C92853">
        <w:t xml:space="preserve"> </w:t>
      </w:r>
      <w:r>
        <w:t>group</w:t>
      </w:r>
      <w:r w:rsidRPr="00C92853">
        <w:t xml:space="preserve"> </w:t>
      </w:r>
      <w:r>
        <w:t>must</w:t>
      </w:r>
      <w:r w:rsidRPr="00C92853">
        <w:t xml:space="preserve"> </w:t>
      </w:r>
      <w:r>
        <w:t>maintain</w:t>
      </w:r>
      <w:r w:rsidRPr="00C92853">
        <w:t xml:space="preserve"> </w:t>
      </w:r>
      <w:r>
        <w:t>a</w:t>
      </w:r>
      <w:r w:rsidRPr="00C92853">
        <w:t xml:space="preserve"> </w:t>
      </w:r>
      <w:r>
        <w:t>Board-approved</w:t>
      </w:r>
      <w:r w:rsidRPr="00C92853">
        <w:t xml:space="preserve"> </w:t>
      </w:r>
      <w:r>
        <w:t>liquidity</w:t>
      </w:r>
      <w:r w:rsidRPr="00C92853">
        <w:t xml:space="preserve"> </w:t>
      </w:r>
      <w:r>
        <w:t>management</w:t>
      </w:r>
      <w:r w:rsidRPr="00C92853">
        <w:t xml:space="preserve"> </w:t>
      </w:r>
      <w:r>
        <w:t>policy</w:t>
      </w:r>
      <w:r w:rsidRPr="00C92853">
        <w:t xml:space="preserve"> </w:t>
      </w:r>
      <w:r>
        <w:t>for</w:t>
      </w:r>
      <w:r w:rsidRPr="00C92853">
        <w:t xml:space="preserve"> </w:t>
      </w:r>
      <w:r>
        <w:t>the</w:t>
      </w:r>
      <w:r w:rsidRPr="00C92853">
        <w:t xml:space="preserve"> </w:t>
      </w:r>
      <w:r>
        <w:t>group</w:t>
      </w:r>
      <w:r w:rsidRPr="00C92853">
        <w:t xml:space="preserve"> </w:t>
      </w:r>
      <w:r>
        <w:t>to</w:t>
      </w:r>
      <w:r w:rsidRPr="00C92853">
        <w:t xml:space="preserve"> </w:t>
      </w:r>
      <w:r>
        <w:t>adequately</w:t>
      </w:r>
      <w:r w:rsidRPr="00C92853">
        <w:t xml:space="preserve"> </w:t>
      </w:r>
      <w:r>
        <w:t>and</w:t>
      </w:r>
      <w:r w:rsidRPr="00C92853">
        <w:t xml:space="preserve"> </w:t>
      </w:r>
      <w:r>
        <w:t>consistently</w:t>
      </w:r>
      <w:r w:rsidRPr="00C92853">
        <w:t xml:space="preserve"> </w:t>
      </w:r>
      <w:r>
        <w:t>identify,</w:t>
      </w:r>
      <w:r w:rsidRPr="00C92853">
        <w:t xml:space="preserve"> </w:t>
      </w:r>
      <w:r>
        <w:t>measure,</w:t>
      </w:r>
      <w:r w:rsidRPr="00C92853">
        <w:t xml:space="preserve"> </w:t>
      </w:r>
      <w:r>
        <w:t>monitor,</w:t>
      </w:r>
      <w:r w:rsidRPr="00C92853">
        <w:t xml:space="preserve"> </w:t>
      </w:r>
      <w:r>
        <w:t>and</w:t>
      </w:r>
      <w:r w:rsidRPr="00C92853">
        <w:t xml:space="preserve"> </w:t>
      </w:r>
      <w:r>
        <w:t>manage</w:t>
      </w:r>
      <w:r w:rsidRPr="00C92853">
        <w:t xml:space="preserve"> </w:t>
      </w:r>
      <w:r>
        <w:t>its material liquidity</w:t>
      </w:r>
      <w:r w:rsidRPr="00C92853">
        <w:t xml:space="preserve"> </w:t>
      </w:r>
      <w:r>
        <w:t>risks. The</w:t>
      </w:r>
      <w:r w:rsidRPr="00C92853">
        <w:t xml:space="preserve"> </w:t>
      </w:r>
      <w:r>
        <w:t>policy</w:t>
      </w:r>
      <w:r w:rsidRPr="00C92853">
        <w:t xml:space="preserve"> </w:t>
      </w:r>
      <w:r>
        <w:t>must</w:t>
      </w:r>
      <w:r w:rsidRPr="00C92853">
        <w:t xml:space="preserve"> </w:t>
      </w:r>
      <w:r>
        <w:t>include</w:t>
      </w:r>
      <w:r w:rsidRPr="00C92853">
        <w:t xml:space="preserve"> </w:t>
      </w:r>
      <w:r>
        <w:t>a</w:t>
      </w:r>
      <w:r w:rsidRPr="00C92853">
        <w:t xml:space="preserve"> </w:t>
      </w:r>
      <w:r>
        <w:t>strategy</w:t>
      </w:r>
      <w:r w:rsidRPr="00C92853">
        <w:t xml:space="preserve"> </w:t>
      </w:r>
      <w:r>
        <w:t>that</w:t>
      </w:r>
      <w:r w:rsidRPr="00C92853">
        <w:t xml:space="preserve"> </w:t>
      </w:r>
      <w:r>
        <w:t>ensures</w:t>
      </w:r>
      <w:r w:rsidRPr="00C92853">
        <w:t xml:space="preserve"> </w:t>
      </w:r>
      <w:r>
        <w:t>the</w:t>
      </w:r>
      <w:r w:rsidRPr="00C92853">
        <w:t xml:space="preserve"> </w:t>
      </w:r>
      <w:r>
        <w:t>group</w:t>
      </w:r>
      <w:r w:rsidRPr="00C92853">
        <w:t xml:space="preserve"> </w:t>
      </w:r>
      <w:r>
        <w:t>has</w:t>
      </w:r>
      <w:r w:rsidRPr="00C92853">
        <w:t xml:space="preserve"> </w:t>
      </w:r>
      <w:r>
        <w:t>sufficient</w:t>
      </w:r>
      <w:r w:rsidRPr="00C92853">
        <w:t xml:space="preserve"> </w:t>
      </w:r>
      <w:r>
        <w:t>liquidity</w:t>
      </w:r>
      <w:r w:rsidRPr="00C92853">
        <w:t xml:space="preserve"> </w:t>
      </w:r>
      <w:r>
        <w:t>to</w:t>
      </w:r>
      <w:r w:rsidRPr="00C92853">
        <w:t xml:space="preserve"> </w:t>
      </w:r>
      <w:r>
        <w:t>meet</w:t>
      </w:r>
      <w:r w:rsidRPr="00C92853">
        <w:t xml:space="preserve"> </w:t>
      </w:r>
      <w:r>
        <w:t>its</w:t>
      </w:r>
      <w:r w:rsidRPr="00C92853">
        <w:t xml:space="preserve"> </w:t>
      </w:r>
      <w:r>
        <w:t>obligations</w:t>
      </w:r>
      <w:r w:rsidRPr="00C92853">
        <w:t xml:space="preserve"> </w:t>
      </w:r>
      <w:r>
        <w:t>as</w:t>
      </w:r>
      <w:r w:rsidRPr="00C92853">
        <w:t xml:space="preserve"> they </w:t>
      </w:r>
      <w:r>
        <w:t>fall</w:t>
      </w:r>
      <w:r w:rsidRPr="00C92853">
        <w:t xml:space="preserve"> </w:t>
      </w:r>
      <w:r>
        <w:t>due,</w:t>
      </w:r>
      <w:r w:rsidRPr="00C92853">
        <w:t xml:space="preserve"> </w:t>
      </w:r>
      <w:r>
        <w:t>including</w:t>
      </w:r>
      <w:r w:rsidRPr="00C92853">
        <w:t xml:space="preserve"> </w:t>
      </w:r>
      <w:r>
        <w:t>in</w:t>
      </w:r>
      <w:r w:rsidRPr="00C92853">
        <w:t xml:space="preserve"> </w:t>
      </w:r>
      <w:r>
        <w:t>stressed</w:t>
      </w:r>
      <w:r w:rsidRPr="00C92853">
        <w:t xml:space="preserve"> </w:t>
      </w:r>
      <w:r>
        <w:t>conditions,</w:t>
      </w:r>
      <w:r w:rsidRPr="00C92853">
        <w:t xml:space="preserve"> </w:t>
      </w:r>
      <w:r>
        <w:t>and</w:t>
      </w:r>
      <w:r w:rsidRPr="00C92853">
        <w:t xml:space="preserve"> </w:t>
      </w:r>
      <w:r>
        <w:t>outline</w:t>
      </w:r>
      <w:r w:rsidRPr="00C92853">
        <w:t xml:space="preserve"> </w:t>
      </w:r>
      <w:r>
        <w:t>processes</w:t>
      </w:r>
      <w:r w:rsidRPr="00C92853">
        <w:t xml:space="preserve"> </w:t>
      </w:r>
      <w:r>
        <w:t>to</w:t>
      </w:r>
      <w:r w:rsidRPr="00C92853">
        <w:t xml:space="preserve"> </w:t>
      </w:r>
      <w:r>
        <w:t>identify</w:t>
      </w:r>
      <w:r w:rsidRPr="00C92853">
        <w:t xml:space="preserve"> </w:t>
      </w:r>
      <w:r>
        <w:t>existing</w:t>
      </w:r>
      <w:r w:rsidRPr="00C92853">
        <w:t xml:space="preserve"> </w:t>
      </w:r>
      <w:r>
        <w:t>and</w:t>
      </w:r>
      <w:r w:rsidRPr="00C92853">
        <w:t xml:space="preserve"> </w:t>
      </w:r>
      <w:r>
        <w:t>potential</w:t>
      </w:r>
      <w:r w:rsidRPr="00C92853">
        <w:t xml:space="preserve"> </w:t>
      </w:r>
      <w:r>
        <w:t>constraints</w:t>
      </w:r>
      <w:r w:rsidRPr="00C92853">
        <w:t xml:space="preserve"> </w:t>
      </w:r>
      <w:r>
        <w:t>on</w:t>
      </w:r>
      <w:r w:rsidRPr="00C92853">
        <w:t xml:space="preserve"> </w:t>
      </w:r>
      <w:r>
        <w:t>the</w:t>
      </w:r>
      <w:r w:rsidRPr="00C92853">
        <w:t xml:space="preserve"> </w:t>
      </w:r>
      <w:r>
        <w:t>transfer</w:t>
      </w:r>
      <w:r w:rsidRPr="00C92853">
        <w:t xml:space="preserve"> </w:t>
      </w:r>
      <w:r>
        <w:t>of</w:t>
      </w:r>
      <w:r w:rsidRPr="00C92853">
        <w:t xml:space="preserve"> </w:t>
      </w:r>
      <w:r>
        <w:t>funds</w:t>
      </w:r>
      <w:r w:rsidRPr="00C92853">
        <w:t xml:space="preserve"> </w:t>
      </w:r>
      <w:r>
        <w:t>within the group. The Head of a group must submit to APRA a</w:t>
      </w:r>
      <w:r w:rsidRPr="00C92853">
        <w:t xml:space="preserve"> </w:t>
      </w:r>
      <w:r>
        <w:t>copy</w:t>
      </w:r>
      <w:r w:rsidRPr="00C92853">
        <w:t xml:space="preserve"> </w:t>
      </w:r>
      <w:r>
        <w:t>of its group liquidity</w:t>
      </w:r>
      <w:r w:rsidRPr="00C92853">
        <w:t xml:space="preserve"> </w:t>
      </w:r>
      <w:r>
        <w:t>management policy</w:t>
      </w:r>
      <w:r w:rsidR="00BD06B2">
        <w:t xml:space="preserve"> as soon as practicable, and no more than 10 </w:t>
      </w:r>
      <w:r w:rsidR="00BD06B2">
        <w:rPr>
          <w:b/>
        </w:rPr>
        <w:t>business days</w:t>
      </w:r>
      <w:r w:rsidR="00BD06B2">
        <w:t xml:space="preserve">, after </w:t>
      </w:r>
      <w:r w:rsidR="00BD06B2" w:rsidRPr="00B902F7">
        <w:t>Board</w:t>
      </w:r>
      <w:r w:rsidR="00BD06B2" w:rsidRPr="00C92853">
        <w:t xml:space="preserve"> </w:t>
      </w:r>
      <w:r w:rsidR="00BD06B2">
        <w:t>approval.</w:t>
      </w:r>
    </w:p>
    <w:p w14:paraId="5A294BA7" w14:textId="77777777" w:rsidR="00A31072" w:rsidRDefault="00A31072" w:rsidP="00A31072">
      <w:pPr>
        <w:pStyle w:val="BodyText1"/>
      </w:pPr>
      <w:r>
        <w:t>Where</w:t>
      </w:r>
      <w:r w:rsidRPr="00C92853">
        <w:t xml:space="preserve"> </w:t>
      </w:r>
      <w:r w:rsidRPr="00F06EA5">
        <w:t xml:space="preserve">an institution within the group that is not an </w:t>
      </w:r>
      <w:r w:rsidRPr="00130B45">
        <w:t>APRA-regulated</w:t>
      </w:r>
      <w:r w:rsidRPr="00C92853">
        <w:t xml:space="preserve"> </w:t>
      </w:r>
      <w:r w:rsidRPr="00130B45">
        <w:t>institution</w:t>
      </w:r>
      <w:r w:rsidRPr="00C92853">
        <w:t xml:space="preserve"> </w:t>
      </w:r>
      <w:r>
        <w:t>engages</w:t>
      </w:r>
      <w:r w:rsidRPr="00C92853">
        <w:t xml:space="preserve"> </w:t>
      </w:r>
      <w:r>
        <w:t>in</w:t>
      </w:r>
      <w:r w:rsidRPr="00C92853">
        <w:t xml:space="preserve"> </w:t>
      </w:r>
      <w:r>
        <w:t>business</w:t>
      </w:r>
      <w:r w:rsidRPr="00C92853">
        <w:t xml:space="preserve"> </w:t>
      </w:r>
      <w:r>
        <w:t>activities</w:t>
      </w:r>
      <w:r w:rsidRPr="00C92853">
        <w:t xml:space="preserve"> </w:t>
      </w:r>
      <w:r>
        <w:t>that</w:t>
      </w:r>
      <w:r w:rsidRPr="00C92853">
        <w:t xml:space="preserve"> </w:t>
      </w:r>
      <w:r>
        <w:t>may</w:t>
      </w:r>
      <w:r w:rsidRPr="00C92853">
        <w:t xml:space="preserve"> </w:t>
      </w:r>
      <w:r>
        <w:t>pose</w:t>
      </w:r>
      <w:r w:rsidRPr="00C92853">
        <w:t xml:space="preserve"> </w:t>
      </w:r>
      <w:r>
        <w:t>a</w:t>
      </w:r>
      <w:r w:rsidRPr="00C92853">
        <w:t xml:space="preserve"> </w:t>
      </w:r>
      <w:r>
        <w:t>material</w:t>
      </w:r>
      <w:r w:rsidRPr="00C92853">
        <w:t xml:space="preserve"> </w:t>
      </w:r>
      <w:r>
        <w:t>risk</w:t>
      </w:r>
      <w:r w:rsidRPr="00C92853">
        <w:t xml:space="preserve"> </w:t>
      </w:r>
      <w:r>
        <w:t>to</w:t>
      </w:r>
      <w:r w:rsidRPr="00C92853">
        <w:t xml:space="preserve"> </w:t>
      </w:r>
      <w:r>
        <w:t>the</w:t>
      </w:r>
      <w:r w:rsidRPr="00C92853">
        <w:t xml:space="preserve"> </w:t>
      </w:r>
      <w:r>
        <w:t>group,</w:t>
      </w:r>
      <w:r w:rsidRPr="00C92853">
        <w:t xml:space="preserve"> </w:t>
      </w:r>
      <w:r>
        <w:t>the</w:t>
      </w:r>
      <w:r w:rsidRPr="00C92853">
        <w:t xml:space="preserve"> </w:t>
      </w:r>
      <w:r>
        <w:t>Head</w:t>
      </w:r>
      <w:r w:rsidRPr="00C92853">
        <w:t xml:space="preserve"> </w:t>
      </w:r>
      <w:r>
        <w:t>of</w:t>
      </w:r>
      <w:r w:rsidRPr="00C92853">
        <w:t xml:space="preserve"> </w:t>
      </w:r>
      <w:r>
        <w:t>the</w:t>
      </w:r>
      <w:r w:rsidRPr="00C92853">
        <w:t xml:space="preserve"> </w:t>
      </w:r>
      <w:r>
        <w:t>group</w:t>
      </w:r>
      <w:r w:rsidRPr="00C92853">
        <w:t xml:space="preserve"> </w:t>
      </w:r>
      <w:r>
        <w:t>must</w:t>
      </w:r>
      <w:r w:rsidRPr="00C92853">
        <w:t xml:space="preserve"> </w:t>
      </w:r>
      <w:r>
        <w:t>ensure</w:t>
      </w:r>
      <w:r w:rsidRPr="00C92853">
        <w:t xml:space="preserve"> </w:t>
      </w:r>
      <w:r>
        <w:t>that</w:t>
      </w:r>
      <w:r w:rsidRPr="00C92853">
        <w:t xml:space="preserve"> </w:t>
      </w:r>
      <w:r>
        <w:t>the</w:t>
      </w:r>
      <w:r w:rsidRPr="00C92853">
        <w:t xml:space="preserve"> </w:t>
      </w:r>
      <w:r>
        <w:t>risk</w:t>
      </w:r>
      <w:r w:rsidRPr="00C92853">
        <w:t xml:space="preserve"> </w:t>
      </w:r>
      <w:r>
        <w:t>management</w:t>
      </w:r>
      <w:r w:rsidRPr="00C92853">
        <w:t xml:space="preserve"> </w:t>
      </w:r>
      <w:r>
        <w:t>framework</w:t>
      </w:r>
      <w:r w:rsidRPr="00C92853">
        <w:t xml:space="preserve"> </w:t>
      </w:r>
      <w:r>
        <w:t>addresses</w:t>
      </w:r>
      <w:r w:rsidRPr="00C92853">
        <w:t xml:space="preserve"> </w:t>
      </w:r>
      <w:r>
        <w:t>the</w:t>
      </w:r>
      <w:r w:rsidRPr="00C92853">
        <w:t xml:space="preserve"> </w:t>
      </w:r>
      <w:r>
        <w:t>risks</w:t>
      </w:r>
      <w:r w:rsidRPr="00C92853">
        <w:t xml:space="preserve"> </w:t>
      </w:r>
      <w:r>
        <w:t>posed</w:t>
      </w:r>
      <w:r w:rsidRPr="00C92853">
        <w:t xml:space="preserve"> by </w:t>
      </w:r>
      <w:r>
        <w:t>that</w:t>
      </w:r>
      <w:r w:rsidRPr="00C92853">
        <w:t xml:space="preserve"> </w:t>
      </w:r>
      <w:r>
        <w:t>institution</w:t>
      </w:r>
      <w:r w:rsidRPr="00C92853">
        <w:t xml:space="preserve"> </w:t>
      </w:r>
      <w:r>
        <w:t>to the group and</w:t>
      </w:r>
      <w:r w:rsidRPr="00C92853">
        <w:t xml:space="preserve"> </w:t>
      </w:r>
      <w:r w:rsidRPr="00D6150F">
        <w:rPr>
          <w:lang w:eastAsia="ko-KR"/>
        </w:rPr>
        <w:t>depositor</w:t>
      </w:r>
      <w:r>
        <w:rPr>
          <w:lang w:eastAsia="ko-KR"/>
        </w:rPr>
        <w:t>s</w:t>
      </w:r>
      <w:r w:rsidRPr="00D6150F">
        <w:rPr>
          <w:lang w:eastAsia="ko-KR"/>
        </w:rPr>
        <w:t xml:space="preserve">, </w:t>
      </w:r>
      <w:r w:rsidRPr="0035352B">
        <w:rPr>
          <w:b/>
          <w:lang w:eastAsia="ko-KR"/>
        </w:rPr>
        <w:t>policyholders</w:t>
      </w:r>
      <w:r w:rsidRPr="00D6150F">
        <w:rPr>
          <w:lang w:eastAsia="ko-KR"/>
        </w:rPr>
        <w:t xml:space="preserve"> </w:t>
      </w:r>
      <w:r>
        <w:rPr>
          <w:lang w:eastAsia="ko-KR"/>
        </w:rPr>
        <w:t xml:space="preserve">or </w:t>
      </w:r>
      <w:r w:rsidRPr="0035352B">
        <w:rPr>
          <w:b/>
          <w:lang w:eastAsia="ko-KR"/>
        </w:rPr>
        <w:t>RSE</w:t>
      </w:r>
      <w:r>
        <w:rPr>
          <w:lang w:eastAsia="ko-KR"/>
        </w:rPr>
        <w:t xml:space="preserve"> </w:t>
      </w:r>
      <w:r w:rsidRPr="00D6150F">
        <w:rPr>
          <w:lang w:eastAsia="ko-KR"/>
        </w:rPr>
        <w:t>beneficiar</w:t>
      </w:r>
      <w:r>
        <w:rPr>
          <w:lang w:eastAsia="ko-KR"/>
        </w:rPr>
        <w:t>ies</w:t>
      </w:r>
      <w:r>
        <w:t>.</w:t>
      </w:r>
      <w:r w:rsidRPr="00F06EA5">
        <w:rPr>
          <w:rStyle w:val="FootnoteReference"/>
        </w:rPr>
        <w:footnoteReference w:id="5"/>
      </w:r>
    </w:p>
    <w:p w14:paraId="7D483336" w14:textId="77777777" w:rsidR="00A31072" w:rsidRDefault="00A31072" w:rsidP="00A31072">
      <w:pPr>
        <w:pStyle w:val="Heading1"/>
      </w:pPr>
      <w:bookmarkStart w:id="21" w:name="_Toc454537695"/>
      <w:r>
        <w:t>Risk management framework</w:t>
      </w:r>
      <w:bookmarkEnd w:id="21"/>
    </w:p>
    <w:p w14:paraId="55E18DE2" w14:textId="77777777" w:rsidR="00A31072" w:rsidRPr="00F35821" w:rsidRDefault="00A31072" w:rsidP="007747DC">
      <w:pPr>
        <w:pStyle w:val="BodyText1"/>
        <w:rPr>
          <w:szCs w:val="16"/>
        </w:rPr>
      </w:pPr>
      <w:bookmarkStart w:id="22" w:name="_Ref443495226"/>
      <w:r>
        <w:t>An</w:t>
      </w:r>
      <w:r w:rsidRPr="00C92853">
        <w:t xml:space="preserve"> </w:t>
      </w:r>
      <w:r>
        <w:t>APRA-regulated</w:t>
      </w:r>
      <w:r w:rsidRPr="00C92853">
        <w:t xml:space="preserve"> </w:t>
      </w:r>
      <w:r w:rsidRPr="00F03F74">
        <w:t>institution</w:t>
      </w:r>
      <w:r w:rsidRPr="00C92853">
        <w:t xml:space="preserve"> </w:t>
      </w:r>
      <w:r w:rsidRPr="00F03F74">
        <w:t>must</w:t>
      </w:r>
      <w:r w:rsidRPr="00C92853">
        <w:t xml:space="preserve"> </w:t>
      </w:r>
      <w:r w:rsidRPr="00F03F74">
        <w:t>maintain</w:t>
      </w:r>
      <w:r w:rsidRPr="00C92853">
        <w:t xml:space="preserve"> </w:t>
      </w:r>
      <w:r w:rsidRPr="00F03F74">
        <w:t>a</w:t>
      </w:r>
      <w:r w:rsidRPr="00C92853">
        <w:t xml:space="preserve"> </w:t>
      </w:r>
      <w:r w:rsidRPr="00F03F74">
        <w:t>risk</w:t>
      </w:r>
      <w:r w:rsidRPr="00C92853">
        <w:t xml:space="preserve"> </w:t>
      </w:r>
      <w:r w:rsidRPr="00F03F74">
        <w:t>management</w:t>
      </w:r>
      <w:r w:rsidRPr="00C92853">
        <w:t xml:space="preserve"> </w:t>
      </w:r>
      <w:r w:rsidRPr="009E78BE">
        <w:t>framework</w:t>
      </w:r>
      <w:r w:rsidRPr="00C92853">
        <w:t xml:space="preserve"> </w:t>
      </w:r>
      <w:r w:rsidRPr="00734438">
        <w:t>for the institution</w:t>
      </w:r>
      <w:r w:rsidRPr="00C92853">
        <w:t xml:space="preserve"> </w:t>
      </w:r>
      <w:r w:rsidRPr="002E7425">
        <w:t>that</w:t>
      </w:r>
      <w:r w:rsidRPr="00C92853">
        <w:t xml:space="preserve"> </w:t>
      </w:r>
      <w:r w:rsidRPr="002E7425">
        <w:t>enables</w:t>
      </w:r>
      <w:r w:rsidRPr="00C92853">
        <w:t xml:space="preserve"> </w:t>
      </w:r>
      <w:r w:rsidRPr="002E7425">
        <w:t>it</w:t>
      </w:r>
      <w:r w:rsidRPr="00C92853">
        <w:t xml:space="preserve"> </w:t>
      </w:r>
      <w:r w:rsidRPr="002E7425">
        <w:t>to</w:t>
      </w:r>
      <w:r w:rsidRPr="00C92853">
        <w:t xml:space="preserve"> </w:t>
      </w:r>
      <w:r w:rsidRPr="002E7425">
        <w:t>appropriately</w:t>
      </w:r>
      <w:r w:rsidRPr="00C92853">
        <w:t xml:space="preserve"> </w:t>
      </w:r>
      <w:r w:rsidRPr="002E7425">
        <w:t>develop</w:t>
      </w:r>
      <w:r w:rsidRPr="00C92853">
        <w:t xml:space="preserve"> </w:t>
      </w:r>
      <w:r w:rsidRPr="002E7425">
        <w:t>and</w:t>
      </w:r>
      <w:r w:rsidRPr="00C92853">
        <w:t xml:space="preserve"> </w:t>
      </w:r>
      <w:r w:rsidRPr="002E7425">
        <w:t>implement</w:t>
      </w:r>
      <w:r w:rsidRPr="00C92853">
        <w:t xml:space="preserve"> </w:t>
      </w:r>
      <w:r w:rsidRPr="002E7425">
        <w:t>strategies,</w:t>
      </w:r>
      <w:r w:rsidRPr="00C92853">
        <w:t xml:space="preserve"> </w:t>
      </w:r>
      <w:r w:rsidRPr="002E7425">
        <w:t>policies,</w:t>
      </w:r>
      <w:r w:rsidRPr="00C92853">
        <w:t xml:space="preserve"> </w:t>
      </w:r>
      <w:r w:rsidRPr="002E7425">
        <w:t>procedures</w:t>
      </w:r>
      <w:r w:rsidRPr="00C92853">
        <w:t xml:space="preserve"> </w:t>
      </w:r>
      <w:r w:rsidRPr="002E7425">
        <w:t>and</w:t>
      </w:r>
      <w:r w:rsidRPr="00C92853">
        <w:t xml:space="preserve"> </w:t>
      </w:r>
      <w:r w:rsidRPr="002E7425">
        <w:t>controls</w:t>
      </w:r>
      <w:r w:rsidRPr="00C92853">
        <w:t xml:space="preserve"> </w:t>
      </w:r>
      <w:r w:rsidRPr="002E7425">
        <w:t>to</w:t>
      </w:r>
      <w:r w:rsidRPr="00C92853">
        <w:t xml:space="preserve"> </w:t>
      </w:r>
      <w:r w:rsidRPr="002E7425">
        <w:t>manage</w:t>
      </w:r>
      <w:r w:rsidRPr="00C92853">
        <w:t xml:space="preserve"> </w:t>
      </w:r>
      <w:r w:rsidRPr="002E7425">
        <w:t>different</w:t>
      </w:r>
      <w:r w:rsidRPr="00C92853">
        <w:t xml:space="preserve"> </w:t>
      </w:r>
      <w:r w:rsidRPr="002E7425">
        <w:t>types</w:t>
      </w:r>
      <w:r w:rsidRPr="00C92853">
        <w:t xml:space="preserve"> </w:t>
      </w:r>
      <w:r w:rsidRPr="002E7425">
        <w:t>of</w:t>
      </w:r>
      <w:r w:rsidRPr="00C92853">
        <w:t xml:space="preserve"> </w:t>
      </w:r>
      <w:r w:rsidRPr="002E7425">
        <w:t>material</w:t>
      </w:r>
      <w:r w:rsidRPr="00C92853">
        <w:t xml:space="preserve"> </w:t>
      </w:r>
      <w:r w:rsidRPr="002E7425">
        <w:t>risks</w:t>
      </w:r>
      <w:r w:rsidRPr="00F03F74">
        <w:t>, and</w:t>
      </w:r>
      <w:r w:rsidRPr="00C92853">
        <w:t xml:space="preserve"> </w:t>
      </w:r>
      <w:r w:rsidRPr="00F03F74">
        <w:t>provides</w:t>
      </w:r>
      <w:r w:rsidRPr="00C92853">
        <w:t xml:space="preserve"> </w:t>
      </w:r>
      <w:r w:rsidRPr="00F03F74">
        <w:t>the</w:t>
      </w:r>
      <w:r w:rsidRPr="00C92853">
        <w:t xml:space="preserve"> </w:t>
      </w:r>
      <w:r w:rsidRPr="00F03F74">
        <w:t>Board</w:t>
      </w:r>
      <w:r w:rsidRPr="00C92853">
        <w:t xml:space="preserve"> </w:t>
      </w:r>
      <w:r w:rsidRPr="00F03F74">
        <w:t>with</w:t>
      </w:r>
      <w:r w:rsidRPr="00C92853">
        <w:t xml:space="preserve"> </w:t>
      </w:r>
      <w:r w:rsidRPr="00F03F74">
        <w:t>a</w:t>
      </w:r>
      <w:r w:rsidRPr="00C92853">
        <w:t xml:space="preserve"> </w:t>
      </w:r>
      <w:r w:rsidRPr="00F03F74">
        <w:t>comprehensive instit</w:t>
      </w:r>
      <w:r w:rsidRPr="00BC0C32">
        <w:t xml:space="preserve">ution-wide view of </w:t>
      </w:r>
      <w:r w:rsidRPr="00DF16DE">
        <w:t>material risks.</w:t>
      </w:r>
      <w:r w:rsidRPr="00DF16DE">
        <w:rPr>
          <w:rStyle w:val="FootnoteReference"/>
        </w:rPr>
        <w:footnoteReference w:id="6"/>
      </w:r>
      <w:bookmarkEnd w:id="22"/>
    </w:p>
    <w:p w14:paraId="490D0D43" w14:textId="77777777" w:rsidR="00A31072" w:rsidRDefault="00A31072" w:rsidP="00A31072">
      <w:pPr>
        <w:pStyle w:val="BodyText1"/>
      </w:pPr>
      <w:bookmarkStart w:id="23" w:name="_Ref443495171"/>
      <w:r w:rsidRPr="00F03F74">
        <w:t>The</w:t>
      </w:r>
      <w:r w:rsidRPr="00C92853">
        <w:t xml:space="preserve"> </w:t>
      </w:r>
      <w:r w:rsidRPr="00F03F74">
        <w:t>risk</w:t>
      </w:r>
      <w:r w:rsidRPr="00C92853">
        <w:t xml:space="preserve"> </w:t>
      </w:r>
      <w:r w:rsidRPr="00F03F74">
        <w:t>management</w:t>
      </w:r>
      <w:r w:rsidRPr="00C92853">
        <w:t xml:space="preserve"> </w:t>
      </w:r>
      <w:r w:rsidRPr="00F03F74">
        <w:t>framework</w:t>
      </w:r>
      <w:r w:rsidRPr="00C92853">
        <w:t xml:space="preserve"> </w:t>
      </w:r>
      <w:r w:rsidRPr="00F03F74">
        <w:t>is</w:t>
      </w:r>
      <w:r w:rsidRPr="00C92853">
        <w:t xml:space="preserve"> </w:t>
      </w:r>
      <w:r w:rsidRPr="00F03F74">
        <w:t>the</w:t>
      </w:r>
      <w:r w:rsidRPr="00C92853">
        <w:t xml:space="preserve"> </w:t>
      </w:r>
      <w:r w:rsidRPr="00F03F74">
        <w:t>totality</w:t>
      </w:r>
      <w:r w:rsidRPr="00C92853">
        <w:t xml:space="preserve"> </w:t>
      </w:r>
      <w:r w:rsidRPr="00BC0C32">
        <w:t>of</w:t>
      </w:r>
      <w:r w:rsidRPr="00C92853">
        <w:t xml:space="preserve"> </w:t>
      </w:r>
      <w:r w:rsidRPr="00DF16DE">
        <w:t>systems, structures, policies,</w:t>
      </w:r>
      <w:r w:rsidRPr="00C92853">
        <w:t xml:space="preserve"> </w:t>
      </w:r>
      <w:r w:rsidRPr="007078D3">
        <w:t>processes</w:t>
      </w:r>
      <w:r w:rsidRPr="00C92853">
        <w:t xml:space="preserve"> </w:t>
      </w:r>
      <w:r w:rsidRPr="00F564F3">
        <w:t>and</w:t>
      </w:r>
      <w:r w:rsidRPr="00C92853">
        <w:t xml:space="preserve"> </w:t>
      </w:r>
      <w:r w:rsidRPr="00E40A9F">
        <w:t>people</w:t>
      </w:r>
      <w:r w:rsidRPr="00C92853">
        <w:t xml:space="preserve"> </w:t>
      </w:r>
      <w:r w:rsidRPr="00E40A9F">
        <w:t>within an</w:t>
      </w:r>
      <w:r w:rsidRPr="00C92853">
        <w:t xml:space="preserve"> </w:t>
      </w:r>
      <w:r w:rsidRPr="00F03F74">
        <w:t>institution</w:t>
      </w:r>
      <w:r w:rsidRPr="00C92853">
        <w:t xml:space="preserve"> </w:t>
      </w:r>
      <w:r w:rsidRPr="00F03F74">
        <w:t>that</w:t>
      </w:r>
      <w:r w:rsidRPr="00C92853">
        <w:t xml:space="preserve"> </w:t>
      </w:r>
      <w:r w:rsidRPr="00F03F74">
        <w:t>identify,</w:t>
      </w:r>
      <w:r w:rsidRPr="00C92853">
        <w:t xml:space="preserve"> </w:t>
      </w:r>
      <w:r w:rsidRPr="00F03F74">
        <w:t>measure,</w:t>
      </w:r>
      <w:r w:rsidRPr="00C92853">
        <w:t xml:space="preserve"> </w:t>
      </w:r>
      <w:r w:rsidRPr="00F03F74">
        <w:t>evaluate,</w:t>
      </w:r>
      <w:r w:rsidRPr="00C92853">
        <w:t xml:space="preserve"> </w:t>
      </w:r>
      <w:r w:rsidRPr="00F03F74">
        <w:t>monitor,</w:t>
      </w:r>
      <w:r w:rsidRPr="00C92853">
        <w:t xml:space="preserve"> </w:t>
      </w:r>
      <w:r w:rsidRPr="00BC0C32">
        <w:t>report</w:t>
      </w:r>
      <w:r w:rsidRPr="00C92853">
        <w:t xml:space="preserve"> </w:t>
      </w:r>
      <w:r w:rsidRPr="00DF16DE">
        <w:t>and</w:t>
      </w:r>
      <w:r w:rsidRPr="00C92853">
        <w:t xml:space="preserve"> </w:t>
      </w:r>
      <w:r w:rsidRPr="009E78BE">
        <w:t>control</w:t>
      </w:r>
      <w:r w:rsidRPr="00C92853">
        <w:t xml:space="preserve"> </w:t>
      </w:r>
      <w:r w:rsidRPr="002E7425">
        <w:t>or</w:t>
      </w:r>
      <w:r w:rsidRPr="00C92853">
        <w:t xml:space="preserve"> </w:t>
      </w:r>
      <w:r w:rsidRPr="002E7425">
        <w:t>mitigate</w:t>
      </w:r>
      <w:r w:rsidRPr="00C92853">
        <w:t xml:space="preserve"> </w:t>
      </w:r>
      <w:r w:rsidRPr="002E7425">
        <w:t>all</w:t>
      </w:r>
      <w:r w:rsidRPr="00C92853">
        <w:t xml:space="preserve"> </w:t>
      </w:r>
      <w:r w:rsidRPr="002E7425">
        <w:t>internal</w:t>
      </w:r>
      <w:r w:rsidRPr="00C92853">
        <w:t xml:space="preserve"> </w:t>
      </w:r>
      <w:r w:rsidRPr="002E7425">
        <w:t>an</w:t>
      </w:r>
      <w:r>
        <w:t>d</w:t>
      </w:r>
      <w:r w:rsidRPr="00C92853">
        <w:t xml:space="preserve"> </w:t>
      </w:r>
      <w:r>
        <w:t>external</w:t>
      </w:r>
      <w:r w:rsidRPr="00C92853">
        <w:t xml:space="preserve"> </w:t>
      </w:r>
      <w:r>
        <w:t>sources</w:t>
      </w:r>
      <w:r w:rsidRPr="00C92853">
        <w:t xml:space="preserve"> </w:t>
      </w:r>
      <w:r>
        <w:t>of</w:t>
      </w:r>
      <w:r w:rsidRPr="00C92853">
        <w:t xml:space="preserve"> </w:t>
      </w:r>
      <w:r>
        <w:t>material</w:t>
      </w:r>
      <w:r w:rsidRPr="00C92853">
        <w:t xml:space="preserve"> </w:t>
      </w:r>
      <w:r>
        <w:t>risk.</w:t>
      </w:r>
      <w:r w:rsidRPr="00C92853">
        <w:t xml:space="preserve"> </w:t>
      </w:r>
      <w:r>
        <w:t>Material</w:t>
      </w:r>
      <w:r w:rsidRPr="00C92853">
        <w:t xml:space="preserve"> </w:t>
      </w:r>
      <w:r>
        <w:t>risks</w:t>
      </w:r>
      <w:r w:rsidRPr="00C92853">
        <w:t xml:space="preserve"> </w:t>
      </w:r>
      <w:r>
        <w:t>are</w:t>
      </w:r>
      <w:r w:rsidRPr="00C92853">
        <w:t xml:space="preserve"> </w:t>
      </w:r>
      <w:r>
        <w:t>those</w:t>
      </w:r>
      <w:r w:rsidRPr="00C92853">
        <w:t xml:space="preserve"> </w:t>
      </w:r>
      <w:r>
        <w:t>that</w:t>
      </w:r>
      <w:r w:rsidRPr="00C92853">
        <w:t xml:space="preserve"> </w:t>
      </w:r>
      <w:r>
        <w:t>could</w:t>
      </w:r>
      <w:r w:rsidRPr="00C92853">
        <w:t xml:space="preserve"> </w:t>
      </w:r>
      <w:r>
        <w:t>have</w:t>
      </w:r>
      <w:r w:rsidRPr="00C92853">
        <w:t xml:space="preserve"> </w:t>
      </w:r>
      <w:r>
        <w:t>a</w:t>
      </w:r>
      <w:r w:rsidRPr="00C92853">
        <w:t xml:space="preserve"> </w:t>
      </w:r>
      <w:r>
        <w:t>material</w:t>
      </w:r>
      <w:r w:rsidRPr="00C92853">
        <w:t xml:space="preserve"> </w:t>
      </w:r>
      <w:r>
        <w:t>impact,</w:t>
      </w:r>
      <w:r w:rsidRPr="00C92853">
        <w:t xml:space="preserve"> </w:t>
      </w:r>
      <w:r>
        <w:t>both</w:t>
      </w:r>
      <w:r w:rsidRPr="00C92853">
        <w:t xml:space="preserve"> </w:t>
      </w:r>
      <w:r>
        <w:t>financial</w:t>
      </w:r>
      <w:r w:rsidRPr="00C92853">
        <w:t xml:space="preserve"> </w:t>
      </w:r>
      <w:r>
        <w:t>and</w:t>
      </w:r>
      <w:r w:rsidRPr="00C92853">
        <w:t xml:space="preserve"> </w:t>
      </w:r>
      <w:r>
        <w:t>non-financial,</w:t>
      </w:r>
      <w:r w:rsidRPr="00C92853">
        <w:t xml:space="preserve"> </w:t>
      </w:r>
      <w:r>
        <w:t>on</w:t>
      </w:r>
      <w:r w:rsidRPr="00C92853">
        <w:t xml:space="preserve"> </w:t>
      </w:r>
      <w:r>
        <w:t>the</w:t>
      </w:r>
      <w:r w:rsidRPr="00C92853">
        <w:t xml:space="preserve"> </w:t>
      </w:r>
      <w:r>
        <w:t>institution</w:t>
      </w:r>
      <w:r w:rsidRPr="00C92853">
        <w:t xml:space="preserve"> </w:t>
      </w:r>
      <w:r>
        <w:t>or</w:t>
      </w:r>
      <w:r w:rsidRPr="00C92853">
        <w:t xml:space="preserve"> </w:t>
      </w:r>
      <w:r>
        <w:t>on</w:t>
      </w:r>
      <w:r w:rsidRPr="00C92853">
        <w:t xml:space="preserve"> </w:t>
      </w:r>
      <w:r>
        <w:t>the</w:t>
      </w:r>
      <w:r w:rsidRPr="00C92853">
        <w:t xml:space="preserve"> </w:t>
      </w:r>
      <w:r>
        <w:t>interests</w:t>
      </w:r>
      <w:r w:rsidRPr="00C92853">
        <w:t xml:space="preserve"> </w:t>
      </w:r>
      <w:r>
        <w:t>of</w:t>
      </w:r>
      <w:r w:rsidRPr="00C92853">
        <w:t xml:space="preserve"> </w:t>
      </w:r>
      <w:r>
        <w:t>depositors</w:t>
      </w:r>
      <w:r w:rsidRPr="00C92853">
        <w:t xml:space="preserve"> </w:t>
      </w:r>
      <w:r>
        <w:t>and/or</w:t>
      </w:r>
      <w:r w:rsidRPr="00C92853">
        <w:t xml:space="preserve"> </w:t>
      </w:r>
      <w:r w:rsidRPr="0035352B">
        <w:t>policyholders</w:t>
      </w:r>
      <w:r>
        <w:t>.</w:t>
      </w:r>
      <w:bookmarkEnd w:id="23"/>
    </w:p>
    <w:p w14:paraId="14C2AE57" w14:textId="77777777" w:rsidR="00A31072" w:rsidRDefault="00A31072" w:rsidP="00A31072">
      <w:pPr>
        <w:pStyle w:val="BodyText1"/>
      </w:pPr>
      <w:r>
        <w:t>The</w:t>
      </w:r>
      <w:r w:rsidRPr="00C92853">
        <w:t xml:space="preserve"> </w:t>
      </w:r>
      <w:r>
        <w:t>risk</w:t>
      </w:r>
      <w:r w:rsidRPr="00C92853">
        <w:t xml:space="preserve"> </w:t>
      </w:r>
      <w:r>
        <w:t>management</w:t>
      </w:r>
      <w:r w:rsidRPr="00C92853">
        <w:t xml:space="preserve"> </w:t>
      </w:r>
      <w:r>
        <w:t>framework</w:t>
      </w:r>
      <w:r w:rsidRPr="00C92853">
        <w:t xml:space="preserve"> </w:t>
      </w:r>
      <w:r>
        <w:t>must</w:t>
      </w:r>
      <w:r w:rsidRPr="00C92853">
        <w:t xml:space="preserve"> </w:t>
      </w:r>
      <w:r>
        <w:t>be</w:t>
      </w:r>
      <w:r w:rsidRPr="00C92853">
        <w:t xml:space="preserve"> </w:t>
      </w:r>
      <w:r>
        <w:t xml:space="preserve">consistent with the </w:t>
      </w:r>
      <w:r w:rsidRPr="004F3855">
        <w:rPr>
          <w:b/>
        </w:rPr>
        <w:t>business plan</w:t>
      </w:r>
      <w:r w:rsidRPr="00C92853">
        <w:t xml:space="preserve"> </w:t>
      </w:r>
      <w:r>
        <w:t>required under paragraph</w:t>
      </w:r>
      <w:r w:rsidRPr="00C92853">
        <w:t xml:space="preserve"> </w:t>
      </w:r>
      <w:r w:rsidR="00AC730E">
        <w:t>3</w:t>
      </w:r>
      <w:r w:rsidR="00547E0E">
        <w:t>1</w:t>
      </w:r>
      <w:r>
        <w:t>.</w:t>
      </w:r>
    </w:p>
    <w:p w14:paraId="0BA701C5" w14:textId="77777777" w:rsidR="00A31072" w:rsidRDefault="00A31072" w:rsidP="00A31072">
      <w:pPr>
        <w:pStyle w:val="BodyText1"/>
      </w:pPr>
      <w:r>
        <w:t>The</w:t>
      </w:r>
      <w:r w:rsidRPr="00C92853">
        <w:t xml:space="preserve"> </w:t>
      </w:r>
      <w:r>
        <w:t>risk</w:t>
      </w:r>
      <w:r w:rsidRPr="00C92853">
        <w:t xml:space="preserve"> </w:t>
      </w:r>
      <w:r>
        <w:t>management</w:t>
      </w:r>
      <w:r w:rsidRPr="00C92853">
        <w:t xml:space="preserve"> </w:t>
      </w:r>
      <w:r>
        <w:t>framework</w:t>
      </w:r>
      <w:r w:rsidRPr="00C92853">
        <w:t xml:space="preserve"> </w:t>
      </w:r>
      <w:r>
        <w:t>must</w:t>
      </w:r>
      <w:r w:rsidRPr="00C92853">
        <w:t xml:space="preserve"> </w:t>
      </w:r>
      <w:r>
        <w:t>provide</w:t>
      </w:r>
      <w:r w:rsidRPr="00C92853">
        <w:t xml:space="preserve"> </w:t>
      </w:r>
      <w:r>
        <w:t>a</w:t>
      </w:r>
      <w:r w:rsidRPr="00C92853">
        <w:t xml:space="preserve"> </w:t>
      </w:r>
      <w:r>
        <w:t>structure</w:t>
      </w:r>
      <w:r w:rsidRPr="00C92853">
        <w:t xml:space="preserve"> </w:t>
      </w:r>
      <w:r>
        <w:t>for</w:t>
      </w:r>
      <w:r w:rsidRPr="00C92853">
        <w:t xml:space="preserve"> </w:t>
      </w:r>
      <w:r>
        <w:t>identifying</w:t>
      </w:r>
      <w:r w:rsidRPr="00C92853">
        <w:t xml:space="preserve"> </w:t>
      </w:r>
      <w:r>
        <w:t>and</w:t>
      </w:r>
      <w:r w:rsidRPr="00C92853">
        <w:t xml:space="preserve"> </w:t>
      </w:r>
      <w:r>
        <w:t>managing</w:t>
      </w:r>
      <w:r w:rsidRPr="00C92853">
        <w:t xml:space="preserve"> </w:t>
      </w:r>
      <w:r>
        <w:t>each</w:t>
      </w:r>
      <w:r w:rsidRPr="00C92853">
        <w:t xml:space="preserve"> </w:t>
      </w:r>
      <w:r>
        <w:t>material</w:t>
      </w:r>
      <w:r w:rsidRPr="00C92853">
        <w:t xml:space="preserve"> </w:t>
      </w:r>
      <w:r>
        <w:t>risk</w:t>
      </w:r>
      <w:r w:rsidRPr="00C92853">
        <w:t xml:space="preserve"> </w:t>
      </w:r>
      <w:r>
        <w:t>to</w:t>
      </w:r>
      <w:r w:rsidRPr="00C92853">
        <w:t xml:space="preserve"> </w:t>
      </w:r>
      <w:r>
        <w:t>ensure</w:t>
      </w:r>
      <w:r w:rsidRPr="00C92853">
        <w:t xml:space="preserve"> </w:t>
      </w:r>
      <w:r>
        <w:t>the</w:t>
      </w:r>
      <w:r w:rsidRPr="00C92853">
        <w:t xml:space="preserve"> </w:t>
      </w:r>
      <w:r>
        <w:t>institution</w:t>
      </w:r>
      <w:r w:rsidRPr="00C92853">
        <w:t xml:space="preserve"> </w:t>
      </w:r>
      <w:r>
        <w:t>is</w:t>
      </w:r>
      <w:r w:rsidRPr="00C92853">
        <w:t xml:space="preserve"> </w:t>
      </w:r>
      <w:r>
        <w:t>being</w:t>
      </w:r>
      <w:r w:rsidRPr="00C92853">
        <w:t xml:space="preserve"> </w:t>
      </w:r>
      <w:r>
        <w:t>prudently</w:t>
      </w:r>
      <w:r w:rsidRPr="00C92853">
        <w:t xml:space="preserve"> </w:t>
      </w:r>
      <w:r>
        <w:t>and</w:t>
      </w:r>
      <w:r w:rsidRPr="00C92853">
        <w:t xml:space="preserve"> </w:t>
      </w:r>
      <w:r>
        <w:t>soundly</w:t>
      </w:r>
      <w:r w:rsidRPr="00C92853">
        <w:t xml:space="preserve"> </w:t>
      </w:r>
      <w:r>
        <w:t>managed,</w:t>
      </w:r>
      <w:r w:rsidRPr="00C92853">
        <w:t xml:space="preserve"> </w:t>
      </w:r>
      <w:r>
        <w:t>having</w:t>
      </w:r>
      <w:r w:rsidRPr="00C92853">
        <w:t xml:space="preserve"> </w:t>
      </w:r>
      <w:r>
        <w:t>regard</w:t>
      </w:r>
      <w:r w:rsidRPr="00C92853">
        <w:t xml:space="preserve"> </w:t>
      </w:r>
      <w:r>
        <w:t>to</w:t>
      </w:r>
      <w:r w:rsidRPr="00C92853">
        <w:t xml:space="preserve"> </w:t>
      </w:r>
      <w:r>
        <w:t>the</w:t>
      </w:r>
      <w:r w:rsidRPr="00C92853">
        <w:t xml:space="preserve"> </w:t>
      </w:r>
      <w:r>
        <w:t>size,</w:t>
      </w:r>
      <w:r w:rsidRPr="00C92853">
        <w:t xml:space="preserve"> </w:t>
      </w:r>
      <w:r>
        <w:t>business mix</w:t>
      </w:r>
      <w:r w:rsidRPr="00C92853">
        <w:t xml:space="preserve"> </w:t>
      </w:r>
      <w:r>
        <w:t>and complexity</w:t>
      </w:r>
      <w:r w:rsidRPr="00C92853">
        <w:t xml:space="preserve"> </w:t>
      </w:r>
      <w:r>
        <w:t>of</w:t>
      </w:r>
      <w:r w:rsidRPr="00C92853">
        <w:t xml:space="preserve"> </w:t>
      </w:r>
      <w:r>
        <w:t>its operations.</w:t>
      </w:r>
    </w:p>
    <w:p w14:paraId="20FBA4F5" w14:textId="77777777" w:rsidR="00A31072" w:rsidRDefault="00A31072" w:rsidP="00A31072">
      <w:pPr>
        <w:pStyle w:val="BodyText1"/>
      </w:pPr>
      <w:bookmarkStart w:id="24" w:name="_Ref443494751"/>
      <w:r>
        <w:t>The</w:t>
      </w:r>
      <w:r w:rsidRPr="00C92853">
        <w:t xml:space="preserve"> </w:t>
      </w:r>
      <w:r>
        <w:t>risk</w:t>
      </w:r>
      <w:r w:rsidRPr="00C92853">
        <w:t xml:space="preserve"> </w:t>
      </w:r>
      <w:r>
        <w:t>management</w:t>
      </w:r>
      <w:r w:rsidRPr="00C92853">
        <w:t xml:space="preserve"> </w:t>
      </w:r>
      <w:r>
        <w:t>framework</w:t>
      </w:r>
      <w:r w:rsidRPr="00C92853">
        <w:t xml:space="preserve"> </w:t>
      </w:r>
      <w:r>
        <w:t>must,</w:t>
      </w:r>
      <w:r w:rsidRPr="00C92853">
        <w:t xml:space="preserve"> </w:t>
      </w:r>
      <w:r>
        <w:t>at</w:t>
      </w:r>
      <w:r w:rsidRPr="00C92853">
        <w:t xml:space="preserve"> </w:t>
      </w:r>
      <w:r>
        <w:t>a</w:t>
      </w:r>
      <w:r w:rsidRPr="00C92853">
        <w:t xml:space="preserve"> </w:t>
      </w:r>
      <w:r>
        <w:t>minimum, include:</w:t>
      </w:r>
      <w:bookmarkEnd w:id="24"/>
    </w:p>
    <w:p w14:paraId="70F3FBEE" w14:textId="77777777" w:rsidR="00A31072" w:rsidRPr="002E7425" w:rsidRDefault="00A31072" w:rsidP="004E403B">
      <w:pPr>
        <w:pStyle w:val="BodyText2"/>
        <w:tabs>
          <w:tab w:val="clear" w:pos="1560"/>
          <w:tab w:val="num" w:pos="1134"/>
        </w:tabs>
        <w:ind w:left="1134"/>
      </w:pPr>
      <w:r w:rsidRPr="0047482A">
        <w:t>a</w:t>
      </w:r>
      <w:r>
        <w:t xml:space="preserve"> </w:t>
      </w:r>
      <w:r w:rsidRPr="002E7425">
        <w:t>risk appetite statement;</w:t>
      </w:r>
    </w:p>
    <w:p w14:paraId="5B14CAC0" w14:textId="77777777" w:rsidR="00A31072" w:rsidRPr="002E7425" w:rsidRDefault="00A31072" w:rsidP="004E403B">
      <w:pPr>
        <w:pStyle w:val="BodyText2"/>
        <w:tabs>
          <w:tab w:val="clear" w:pos="1560"/>
          <w:tab w:val="num" w:pos="1134"/>
        </w:tabs>
        <w:ind w:left="1134"/>
      </w:pPr>
      <w:r w:rsidRPr="002E7425">
        <w:t>an RMS;</w:t>
      </w:r>
    </w:p>
    <w:p w14:paraId="47B31A2A" w14:textId="77777777" w:rsidR="00A31072" w:rsidRPr="002E7425" w:rsidRDefault="00A31072" w:rsidP="004E403B">
      <w:pPr>
        <w:pStyle w:val="BodyText2"/>
        <w:tabs>
          <w:tab w:val="clear" w:pos="1560"/>
          <w:tab w:val="num" w:pos="1134"/>
        </w:tabs>
        <w:ind w:left="1134"/>
      </w:pPr>
      <w:r w:rsidRPr="002E7425">
        <w:t>a business plan;</w:t>
      </w:r>
    </w:p>
    <w:p w14:paraId="3CFFA51C" w14:textId="77777777" w:rsidR="00A31072" w:rsidRPr="002E7425" w:rsidRDefault="00A31072" w:rsidP="004E403B">
      <w:pPr>
        <w:pStyle w:val="BodyText2"/>
        <w:tabs>
          <w:tab w:val="clear" w:pos="1560"/>
          <w:tab w:val="num" w:pos="1134"/>
        </w:tabs>
        <w:ind w:left="1134"/>
      </w:pPr>
      <w:r w:rsidRPr="002E7425">
        <w:t>policies and procedures supporting clearly defined and documented roles, responsibilities and formal reporting structures for the management of material risks throughout the institution;</w:t>
      </w:r>
    </w:p>
    <w:p w14:paraId="366DF392" w14:textId="77777777" w:rsidR="00A31072" w:rsidRPr="002E7425" w:rsidRDefault="00A31072" w:rsidP="004E403B">
      <w:pPr>
        <w:pStyle w:val="BodyText2"/>
        <w:tabs>
          <w:tab w:val="clear" w:pos="1560"/>
          <w:tab w:val="num" w:pos="1134"/>
        </w:tabs>
        <w:ind w:left="1134"/>
      </w:pPr>
      <w:r w:rsidRPr="002E7425">
        <w:t xml:space="preserve">a designated risk management function that meets the requirements of paragraph </w:t>
      </w:r>
      <w:r w:rsidRPr="002E7425">
        <w:fldChar w:fldCharType="begin"/>
      </w:r>
      <w:r w:rsidRPr="002E7425">
        <w:instrText xml:space="preserve"> REF _Ref314637997 \r \h  \* MERGEFORMAT </w:instrText>
      </w:r>
      <w:r w:rsidRPr="002E7425">
        <w:fldChar w:fldCharType="separate"/>
      </w:r>
      <w:r w:rsidR="00AA5CFE">
        <w:t>37</w:t>
      </w:r>
      <w:r w:rsidRPr="002E7425">
        <w:fldChar w:fldCharType="end"/>
      </w:r>
      <w:r w:rsidRPr="002E7425">
        <w:t>;</w:t>
      </w:r>
    </w:p>
    <w:p w14:paraId="3325FE0F" w14:textId="77777777" w:rsidR="00A31072" w:rsidRPr="002E7425" w:rsidRDefault="00A31072" w:rsidP="004E403B">
      <w:pPr>
        <w:pStyle w:val="BodyText2"/>
        <w:tabs>
          <w:tab w:val="clear" w:pos="1560"/>
          <w:tab w:val="num" w:pos="1134"/>
        </w:tabs>
        <w:ind w:left="1134"/>
      </w:pPr>
      <w:bookmarkStart w:id="25" w:name="_Ref444255260"/>
      <w:r w:rsidRPr="002E7425">
        <w:t>an Internal Capital Adequacy Assessment Process (ICAAP)</w:t>
      </w:r>
      <w:r w:rsidRPr="003A7234">
        <w:rPr>
          <w:rStyle w:val="FootnoteReference"/>
        </w:rPr>
        <w:footnoteReference w:id="7"/>
      </w:r>
      <w:r w:rsidRPr="002E7425">
        <w:t>;</w:t>
      </w:r>
      <w:bookmarkEnd w:id="25"/>
    </w:p>
    <w:p w14:paraId="53904D01" w14:textId="77777777" w:rsidR="00A31072" w:rsidRPr="002E7425" w:rsidRDefault="00A31072" w:rsidP="004E403B">
      <w:pPr>
        <w:pStyle w:val="BodyText2"/>
        <w:tabs>
          <w:tab w:val="clear" w:pos="1560"/>
          <w:tab w:val="num" w:pos="1134"/>
        </w:tabs>
        <w:ind w:left="1134"/>
      </w:pPr>
      <w:r w:rsidRPr="002E7425">
        <w:t>a management information system</w:t>
      </w:r>
      <w:r w:rsidR="00873E94" w:rsidRPr="004D5C40">
        <w:t>(s)</w:t>
      </w:r>
      <w:r w:rsidRPr="002E7425">
        <w:t xml:space="preserve"> (MIS) that is adequate, both under normal circumstances and in periods of stress, for measuring, assessing and reporting on all material risks across the institution; and</w:t>
      </w:r>
    </w:p>
    <w:p w14:paraId="61E70B1C" w14:textId="77777777" w:rsidR="00A31072" w:rsidRDefault="00A31072" w:rsidP="004E403B">
      <w:pPr>
        <w:pStyle w:val="BodyText2"/>
        <w:tabs>
          <w:tab w:val="clear" w:pos="1560"/>
          <w:tab w:val="num" w:pos="1134"/>
        </w:tabs>
        <w:ind w:left="1134"/>
      </w:pPr>
      <w:r w:rsidRPr="002E7425">
        <w:t>a review process to ensure that the risk management framework is effective in identifying, measuring, evaluating, monitoring, reporting, and cont</w:t>
      </w:r>
      <w:r>
        <w:t>rolling</w:t>
      </w:r>
      <w:r w:rsidRPr="0047482A">
        <w:t xml:space="preserve"> </w:t>
      </w:r>
      <w:r>
        <w:t>or mitigating material</w:t>
      </w:r>
      <w:r w:rsidRPr="0047482A">
        <w:t xml:space="preserve"> </w:t>
      </w:r>
      <w:r>
        <w:t>risks.</w:t>
      </w:r>
    </w:p>
    <w:p w14:paraId="77A212A7" w14:textId="77777777" w:rsidR="00A31072" w:rsidRDefault="00A31072" w:rsidP="00DF2FBC">
      <w:pPr>
        <w:pStyle w:val="BodyText1"/>
      </w:pPr>
      <w:r>
        <w:t>The</w:t>
      </w:r>
      <w:r w:rsidRPr="00C92853">
        <w:t xml:space="preserve"> </w:t>
      </w:r>
      <w:r>
        <w:t>risk</w:t>
      </w:r>
      <w:r w:rsidRPr="00C92853">
        <w:t xml:space="preserve"> </w:t>
      </w:r>
      <w:r>
        <w:t>management</w:t>
      </w:r>
      <w:r w:rsidRPr="00C92853">
        <w:t xml:space="preserve"> </w:t>
      </w:r>
      <w:r>
        <w:t>framework</w:t>
      </w:r>
      <w:r w:rsidRPr="00C92853">
        <w:t xml:space="preserve"> </w:t>
      </w:r>
      <w:r>
        <w:t>must</w:t>
      </w:r>
      <w:r w:rsidRPr="00C92853">
        <w:t xml:space="preserve"> </w:t>
      </w:r>
      <w:r>
        <w:t>include</w:t>
      </w:r>
      <w:r w:rsidRPr="00C92853">
        <w:t xml:space="preserve"> </w:t>
      </w:r>
      <w:r>
        <w:t>forward-looking</w:t>
      </w:r>
      <w:r w:rsidRPr="00C92853">
        <w:t xml:space="preserve"> </w:t>
      </w:r>
      <w:r>
        <w:t>scenario</w:t>
      </w:r>
      <w:r w:rsidRPr="00C92853">
        <w:t xml:space="preserve"> </w:t>
      </w:r>
      <w:r>
        <w:t>analysis</w:t>
      </w:r>
      <w:r w:rsidRPr="00C92853">
        <w:t xml:space="preserve"> </w:t>
      </w:r>
      <w:r>
        <w:t>and</w:t>
      </w:r>
      <w:r w:rsidRPr="00C92853">
        <w:t xml:space="preserve"> </w:t>
      </w:r>
      <w:r>
        <w:t>stress</w:t>
      </w:r>
      <w:r w:rsidRPr="00C92853">
        <w:t xml:space="preserve"> </w:t>
      </w:r>
      <w:r>
        <w:t>testing</w:t>
      </w:r>
      <w:r w:rsidRPr="00C92853">
        <w:t xml:space="preserve"> </w:t>
      </w:r>
      <w:r>
        <w:t>programs,</w:t>
      </w:r>
      <w:r w:rsidRPr="00C92853">
        <w:t xml:space="preserve"> </w:t>
      </w:r>
      <w:r>
        <w:t>commensurate</w:t>
      </w:r>
      <w:r w:rsidRPr="00C92853">
        <w:t xml:space="preserve"> </w:t>
      </w:r>
      <w:r w:rsidRPr="00BC0C32">
        <w:t>with</w:t>
      </w:r>
      <w:r w:rsidRPr="00C92853">
        <w:t xml:space="preserve"> </w:t>
      </w:r>
      <w:r w:rsidRPr="00BC0C32">
        <w:t>the institution’s</w:t>
      </w:r>
      <w:r w:rsidRPr="00C92853">
        <w:t xml:space="preserve"> </w:t>
      </w:r>
      <w:r w:rsidRPr="00BC0C32">
        <w:t>size</w:t>
      </w:r>
      <w:r>
        <w:t>,</w:t>
      </w:r>
      <w:r w:rsidRPr="00C92853">
        <w:t xml:space="preserve"> </w:t>
      </w:r>
      <w:r>
        <w:t>business</w:t>
      </w:r>
      <w:r w:rsidRPr="00C92853">
        <w:t xml:space="preserve"> </w:t>
      </w:r>
      <w:r>
        <w:t>mix</w:t>
      </w:r>
      <w:r w:rsidRPr="00C92853">
        <w:t xml:space="preserve"> </w:t>
      </w:r>
      <w:r>
        <w:t>and</w:t>
      </w:r>
      <w:r w:rsidRPr="00C92853">
        <w:t xml:space="preserve"> </w:t>
      </w:r>
      <w:r>
        <w:t>complexity,</w:t>
      </w:r>
      <w:r w:rsidRPr="00C92853">
        <w:t xml:space="preserve"> </w:t>
      </w:r>
      <w:r>
        <w:t>and</w:t>
      </w:r>
      <w:r w:rsidRPr="00C92853">
        <w:t xml:space="preserve"> </w:t>
      </w:r>
      <w:r>
        <w:t>which</w:t>
      </w:r>
      <w:r w:rsidRPr="00C92853">
        <w:t xml:space="preserve"> </w:t>
      </w:r>
      <w:r>
        <w:t>are</w:t>
      </w:r>
      <w:r w:rsidRPr="00C92853">
        <w:t xml:space="preserve"> </w:t>
      </w:r>
      <w:r>
        <w:t>based</w:t>
      </w:r>
      <w:r w:rsidRPr="00C92853">
        <w:t xml:space="preserve"> </w:t>
      </w:r>
      <w:r>
        <w:t>on</w:t>
      </w:r>
      <w:r w:rsidRPr="00C92853">
        <w:t xml:space="preserve"> </w:t>
      </w:r>
      <w:r>
        <w:t>severe</w:t>
      </w:r>
      <w:r w:rsidRPr="00C92853">
        <w:t xml:space="preserve"> </w:t>
      </w:r>
      <w:r>
        <w:t>but</w:t>
      </w:r>
      <w:r w:rsidRPr="00C92853">
        <w:t xml:space="preserve"> </w:t>
      </w:r>
      <w:r>
        <w:t>plausible assumptions.</w:t>
      </w:r>
    </w:p>
    <w:p w14:paraId="1FB27693" w14:textId="77777777" w:rsidR="00A31072" w:rsidRDefault="00A31072" w:rsidP="00DF2FBC">
      <w:pPr>
        <w:pStyle w:val="BodyText1"/>
      </w:pPr>
      <w:bookmarkStart w:id="26" w:name="_Ref443495192"/>
      <w:bookmarkStart w:id="27" w:name="_Ref446488927"/>
      <w:r>
        <w:t>The</w:t>
      </w:r>
      <w:r w:rsidRPr="00C92853">
        <w:t xml:space="preserve"> MIS </w:t>
      </w:r>
      <w:r>
        <w:t>must</w:t>
      </w:r>
      <w:r w:rsidRPr="00C92853">
        <w:t xml:space="preserve"> </w:t>
      </w:r>
      <w:r>
        <w:t>provide</w:t>
      </w:r>
      <w:r w:rsidRPr="00C92853">
        <w:t xml:space="preserve"> </w:t>
      </w:r>
      <w:r>
        <w:t>the</w:t>
      </w:r>
      <w:r w:rsidRPr="00C92853">
        <w:t xml:space="preserve"> </w:t>
      </w:r>
      <w:r>
        <w:t>Board of the APRA-regulated institution,</w:t>
      </w:r>
      <w:r w:rsidRPr="00C92853">
        <w:t xml:space="preserve"> </w:t>
      </w:r>
      <w:r>
        <w:t>board</w:t>
      </w:r>
      <w:r w:rsidRPr="00C92853">
        <w:t xml:space="preserve"> </w:t>
      </w:r>
      <w:r>
        <w:t>committees</w:t>
      </w:r>
      <w:r w:rsidRPr="00C92853">
        <w:t xml:space="preserve"> </w:t>
      </w:r>
      <w:r>
        <w:t>of the APRA-regulated institution and</w:t>
      </w:r>
      <w:r w:rsidRPr="00C92853">
        <w:t xml:space="preserve"> </w:t>
      </w:r>
      <w:r>
        <w:t>senior</w:t>
      </w:r>
      <w:r w:rsidRPr="00C92853">
        <w:t xml:space="preserve"> </w:t>
      </w:r>
      <w:r>
        <w:t>management</w:t>
      </w:r>
      <w:r w:rsidRPr="00C92853">
        <w:t xml:space="preserve"> </w:t>
      </w:r>
      <w:r>
        <w:t>of the institution with</w:t>
      </w:r>
      <w:r w:rsidRPr="00C92853">
        <w:t xml:space="preserve"> </w:t>
      </w:r>
      <w:r>
        <w:t>regular,</w:t>
      </w:r>
      <w:r w:rsidRPr="00C92853">
        <w:t xml:space="preserve"> </w:t>
      </w:r>
      <w:r>
        <w:t>accurate</w:t>
      </w:r>
      <w:r w:rsidRPr="00C92853">
        <w:t xml:space="preserve"> </w:t>
      </w:r>
      <w:r>
        <w:t>and</w:t>
      </w:r>
      <w:r w:rsidRPr="00C92853">
        <w:t xml:space="preserve"> </w:t>
      </w:r>
      <w:r>
        <w:t>timely</w:t>
      </w:r>
      <w:r w:rsidRPr="00C92853">
        <w:t xml:space="preserve"> </w:t>
      </w:r>
      <w:r>
        <w:t>information concerning</w:t>
      </w:r>
      <w:r w:rsidRPr="00C92853">
        <w:t xml:space="preserve"> </w:t>
      </w:r>
      <w:r>
        <w:t>the institution’s risk profile. The</w:t>
      </w:r>
      <w:r w:rsidRPr="00C92853">
        <w:t xml:space="preserve"> </w:t>
      </w:r>
      <w:r>
        <w:t>MIS</w:t>
      </w:r>
      <w:r w:rsidRPr="00C92853">
        <w:t xml:space="preserve"> </w:t>
      </w:r>
      <w:r>
        <w:t>must be supported</w:t>
      </w:r>
      <w:r w:rsidRPr="00C92853">
        <w:t xml:space="preserve"> by </w:t>
      </w:r>
      <w:r>
        <w:t>a</w:t>
      </w:r>
      <w:r w:rsidRPr="00C92853">
        <w:t xml:space="preserve"> </w:t>
      </w:r>
      <w:r>
        <w:t>robust</w:t>
      </w:r>
      <w:r w:rsidRPr="00C92853">
        <w:t xml:space="preserve"> </w:t>
      </w:r>
      <w:r>
        <w:t>data</w:t>
      </w:r>
      <w:r w:rsidRPr="00C92853">
        <w:t xml:space="preserve"> </w:t>
      </w:r>
      <w:r>
        <w:t>framework</w:t>
      </w:r>
      <w:r w:rsidRPr="00C92853">
        <w:t xml:space="preserve"> </w:t>
      </w:r>
      <w:r>
        <w:t>that</w:t>
      </w:r>
      <w:r w:rsidRPr="00C92853">
        <w:t xml:space="preserve"> </w:t>
      </w:r>
      <w:r>
        <w:t>enables</w:t>
      </w:r>
      <w:r w:rsidRPr="00C92853">
        <w:t xml:space="preserve"> </w:t>
      </w:r>
      <w:r>
        <w:t>the</w:t>
      </w:r>
      <w:r w:rsidRPr="00C92853">
        <w:t xml:space="preserve"> </w:t>
      </w:r>
      <w:r>
        <w:t>aggregation</w:t>
      </w:r>
      <w:r w:rsidRPr="00C92853">
        <w:t xml:space="preserve"> </w:t>
      </w:r>
      <w:r>
        <w:t>of</w:t>
      </w:r>
      <w:r w:rsidRPr="00C92853">
        <w:t xml:space="preserve"> </w:t>
      </w:r>
      <w:r>
        <w:t>exposures</w:t>
      </w:r>
      <w:r w:rsidRPr="00C92853">
        <w:t xml:space="preserve"> </w:t>
      </w:r>
      <w:r>
        <w:t>and</w:t>
      </w:r>
      <w:r w:rsidRPr="00C92853">
        <w:t xml:space="preserve"> </w:t>
      </w:r>
      <w:r>
        <w:t>risk</w:t>
      </w:r>
      <w:r w:rsidRPr="00C92853">
        <w:t xml:space="preserve"> </w:t>
      </w:r>
      <w:r>
        <w:t>measures</w:t>
      </w:r>
      <w:r w:rsidRPr="00C92853">
        <w:t xml:space="preserve"> </w:t>
      </w:r>
      <w:r>
        <w:t>across</w:t>
      </w:r>
      <w:r w:rsidRPr="00C92853">
        <w:t xml:space="preserve"> </w:t>
      </w:r>
      <w:r>
        <w:t>business</w:t>
      </w:r>
      <w:r w:rsidRPr="00C92853">
        <w:t xml:space="preserve"> </w:t>
      </w:r>
      <w:r>
        <w:t>lines,</w:t>
      </w:r>
      <w:r w:rsidRPr="00C92853">
        <w:t xml:space="preserve"> </w:t>
      </w:r>
      <w:r>
        <w:t>prompt</w:t>
      </w:r>
      <w:r w:rsidRPr="00C92853">
        <w:t xml:space="preserve"> </w:t>
      </w:r>
      <w:r>
        <w:t>reporting of</w:t>
      </w:r>
      <w:r w:rsidRPr="00C92853">
        <w:t xml:space="preserve"> </w:t>
      </w:r>
      <w:r>
        <w:t>limit breaches,</w:t>
      </w:r>
      <w:r w:rsidRPr="00C92853">
        <w:t xml:space="preserve"> </w:t>
      </w:r>
      <w:r>
        <w:t>and</w:t>
      </w:r>
      <w:r w:rsidRPr="00C92853">
        <w:t xml:space="preserve"> </w:t>
      </w:r>
      <w:r>
        <w:t>forward-looking</w:t>
      </w:r>
      <w:r w:rsidRPr="00C92853">
        <w:t xml:space="preserve"> </w:t>
      </w:r>
      <w:r>
        <w:t>scenario</w:t>
      </w:r>
      <w:r w:rsidRPr="00C92853">
        <w:t xml:space="preserve"> </w:t>
      </w:r>
      <w:r>
        <w:t>analysis</w:t>
      </w:r>
      <w:r w:rsidRPr="00C92853">
        <w:t xml:space="preserve"> </w:t>
      </w:r>
      <w:r>
        <w:t>and</w:t>
      </w:r>
      <w:r w:rsidRPr="00C92853">
        <w:t xml:space="preserve"> </w:t>
      </w:r>
      <w:r>
        <w:t>stress</w:t>
      </w:r>
      <w:r w:rsidRPr="00C92853">
        <w:t xml:space="preserve"> </w:t>
      </w:r>
      <w:r w:rsidRPr="00BC0C32">
        <w:t>testing.</w:t>
      </w:r>
      <w:r w:rsidRPr="00C92853">
        <w:t xml:space="preserve"> </w:t>
      </w:r>
      <w:r w:rsidRPr="00BC0C32">
        <w:t>Data</w:t>
      </w:r>
      <w:r w:rsidRPr="00C92853">
        <w:t xml:space="preserve"> </w:t>
      </w:r>
      <w:r w:rsidRPr="00BC0C32">
        <w:t>quality</w:t>
      </w:r>
      <w:r w:rsidRPr="00C92853">
        <w:t xml:space="preserve"> </w:t>
      </w:r>
      <w:r w:rsidRPr="009E78BE">
        <w:t>must</w:t>
      </w:r>
      <w:r w:rsidRPr="00C92853">
        <w:t xml:space="preserve"> </w:t>
      </w:r>
      <w:r w:rsidRPr="002E7425">
        <w:t>be</w:t>
      </w:r>
      <w:r w:rsidRPr="00C92853">
        <w:t xml:space="preserve"> </w:t>
      </w:r>
      <w:r w:rsidRPr="002E7425">
        <w:t>adequate</w:t>
      </w:r>
      <w:r w:rsidRPr="00C92853">
        <w:t xml:space="preserve"> </w:t>
      </w:r>
      <w:r w:rsidRPr="002E7425">
        <w:t>for</w:t>
      </w:r>
      <w:r w:rsidRPr="00C92853">
        <w:t xml:space="preserve"> </w:t>
      </w:r>
      <w:r w:rsidRPr="002E7425">
        <w:t>timely</w:t>
      </w:r>
      <w:r w:rsidRPr="00C92853">
        <w:t xml:space="preserve"> </w:t>
      </w:r>
      <w:r w:rsidRPr="002E7425">
        <w:t>and</w:t>
      </w:r>
      <w:r w:rsidRPr="00C92853">
        <w:t xml:space="preserve"> </w:t>
      </w:r>
      <w:r w:rsidRPr="002E7425">
        <w:t>accurate</w:t>
      </w:r>
      <w:r w:rsidRPr="00C92853">
        <w:t xml:space="preserve"> </w:t>
      </w:r>
      <w:r w:rsidRPr="002E7425">
        <w:t>measurement,</w:t>
      </w:r>
      <w:r w:rsidRPr="00C92853">
        <w:t xml:space="preserve"> </w:t>
      </w:r>
      <w:r w:rsidRPr="002E7425">
        <w:t>assessment</w:t>
      </w:r>
      <w:r w:rsidRPr="00C92853">
        <w:t xml:space="preserve"> </w:t>
      </w:r>
      <w:r>
        <w:t>and</w:t>
      </w:r>
      <w:r w:rsidRPr="00C92853">
        <w:t xml:space="preserve"> </w:t>
      </w:r>
      <w:r>
        <w:t>reporting</w:t>
      </w:r>
      <w:r w:rsidRPr="00C92853">
        <w:t xml:space="preserve"> </w:t>
      </w:r>
      <w:r>
        <w:t>on</w:t>
      </w:r>
      <w:r w:rsidRPr="00C92853">
        <w:t xml:space="preserve"> </w:t>
      </w:r>
      <w:r>
        <w:t>all</w:t>
      </w:r>
      <w:r w:rsidRPr="00C92853">
        <w:t xml:space="preserve"> </w:t>
      </w:r>
      <w:r>
        <w:t>material</w:t>
      </w:r>
      <w:r w:rsidRPr="00C92853">
        <w:t xml:space="preserve"> </w:t>
      </w:r>
      <w:r>
        <w:t>risks</w:t>
      </w:r>
      <w:r w:rsidRPr="00C92853">
        <w:t xml:space="preserve"> </w:t>
      </w:r>
      <w:r>
        <w:t>across</w:t>
      </w:r>
      <w:r w:rsidRPr="00C92853">
        <w:t xml:space="preserve"> </w:t>
      </w:r>
      <w:r>
        <w:t>the</w:t>
      </w:r>
      <w:r w:rsidRPr="00C92853">
        <w:t xml:space="preserve"> </w:t>
      </w:r>
      <w:r>
        <w:t>institution</w:t>
      </w:r>
      <w:r w:rsidRPr="00C92853">
        <w:t xml:space="preserve"> </w:t>
      </w:r>
      <w:r>
        <w:t>and</w:t>
      </w:r>
      <w:r w:rsidRPr="00C92853">
        <w:t xml:space="preserve"> </w:t>
      </w:r>
      <w:r>
        <w:t>must</w:t>
      </w:r>
      <w:r w:rsidRPr="00C92853">
        <w:t xml:space="preserve"> </w:t>
      </w:r>
      <w:r>
        <w:t>provide</w:t>
      </w:r>
      <w:r w:rsidRPr="00C92853">
        <w:t xml:space="preserve"> </w:t>
      </w:r>
      <w:r>
        <w:t>a</w:t>
      </w:r>
      <w:r w:rsidRPr="00C92853">
        <w:t xml:space="preserve"> </w:t>
      </w:r>
      <w:r>
        <w:t>sound</w:t>
      </w:r>
      <w:r w:rsidRPr="00C92853">
        <w:t xml:space="preserve"> </w:t>
      </w:r>
      <w:r>
        <w:t>basis</w:t>
      </w:r>
      <w:r w:rsidRPr="00C92853">
        <w:t xml:space="preserve"> </w:t>
      </w:r>
      <w:r>
        <w:t>for</w:t>
      </w:r>
      <w:r w:rsidRPr="00C92853">
        <w:t xml:space="preserve"> </w:t>
      </w:r>
      <w:r>
        <w:t>making</w:t>
      </w:r>
      <w:r w:rsidRPr="00C92853">
        <w:t xml:space="preserve"> </w:t>
      </w:r>
      <w:r>
        <w:t>decisions.</w:t>
      </w:r>
      <w:bookmarkEnd w:id="26"/>
      <w:bookmarkEnd w:id="27"/>
    </w:p>
    <w:p w14:paraId="1C7B9A14" w14:textId="77777777" w:rsidR="00DF2FBC" w:rsidRDefault="00DF2FBC" w:rsidP="00DF2FBC">
      <w:pPr>
        <w:pStyle w:val="Heading1"/>
      </w:pPr>
      <w:bookmarkStart w:id="28" w:name="_Toc454537696"/>
      <w:r>
        <w:t>Material risks</w:t>
      </w:r>
      <w:bookmarkEnd w:id="28"/>
    </w:p>
    <w:p w14:paraId="4CD2BF57" w14:textId="77777777" w:rsidR="00DF2FBC" w:rsidRDefault="00DF2FBC" w:rsidP="00DF2FBC">
      <w:pPr>
        <w:pStyle w:val="BodyText1"/>
      </w:pPr>
      <w:bookmarkStart w:id="29" w:name="_bookmark1"/>
      <w:bookmarkStart w:id="30" w:name="_Ref346618020"/>
      <w:bookmarkEnd w:id="29"/>
      <w:r w:rsidRPr="00BC0C32">
        <w:t>The</w:t>
      </w:r>
      <w:r w:rsidRPr="00C92853">
        <w:t xml:space="preserve"> </w:t>
      </w:r>
      <w:r>
        <w:t>risk</w:t>
      </w:r>
      <w:r w:rsidRPr="00C92853">
        <w:t xml:space="preserve"> </w:t>
      </w:r>
      <w:r>
        <w:t>management</w:t>
      </w:r>
      <w:r w:rsidRPr="00C92853">
        <w:t xml:space="preserve"> </w:t>
      </w:r>
      <w:r>
        <w:t>framework</w:t>
      </w:r>
      <w:r w:rsidRPr="00C92853">
        <w:t xml:space="preserve"> </w:t>
      </w:r>
      <w:r>
        <w:t>must,</w:t>
      </w:r>
      <w:r w:rsidRPr="00C92853">
        <w:t xml:space="preserve"> </w:t>
      </w:r>
      <w:r>
        <w:t>at</w:t>
      </w:r>
      <w:r w:rsidRPr="00C92853">
        <w:t xml:space="preserve"> </w:t>
      </w:r>
      <w:r>
        <w:t>a</w:t>
      </w:r>
      <w:r w:rsidRPr="00C92853">
        <w:t xml:space="preserve"> </w:t>
      </w:r>
      <w:r>
        <w:t>minimum</w:t>
      </w:r>
      <w:r w:rsidRPr="007F78C0">
        <w:rPr>
          <w:rStyle w:val="Style5Char"/>
        </w:rPr>
        <w:t>,</w:t>
      </w:r>
      <w:r>
        <w:t xml:space="preserve"> address:</w:t>
      </w:r>
      <w:bookmarkEnd w:id="30"/>
    </w:p>
    <w:p w14:paraId="4C0350C9" w14:textId="77777777" w:rsidR="00DF2FBC" w:rsidRPr="00072DD2" w:rsidRDefault="00DF2FBC" w:rsidP="004E403B">
      <w:pPr>
        <w:pStyle w:val="BodyText2"/>
        <w:tabs>
          <w:tab w:val="clear" w:pos="1560"/>
          <w:tab w:val="num" w:pos="1134"/>
        </w:tabs>
        <w:ind w:left="1134"/>
      </w:pPr>
      <w:r>
        <w:t>credit risk;</w:t>
      </w:r>
    </w:p>
    <w:p w14:paraId="363F033D" w14:textId="77777777" w:rsidR="00DF2FBC" w:rsidRDefault="00DF2FBC" w:rsidP="004E403B">
      <w:pPr>
        <w:pStyle w:val="BodyText2"/>
        <w:tabs>
          <w:tab w:val="clear" w:pos="1560"/>
          <w:tab w:val="num" w:pos="1134"/>
        </w:tabs>
        <w:ind w:left="1134"/>
      </w:pPr>
      <w:r>
        <w:t>market and investment</w:t>
      </w:r>
      <w:r w:rsidRPr="0047482A">
        <w:t xml:space="preserve"> </w:t>
      </w:r>
      <w:r>
        <w:t>risk;</w:t>
      </w:r>
    </w:p>
    <w:p w14:paraId="2A6C1B4B" w14:textId="77777777" w:rsidR="00DF2FBC" w:rsidRDefault="00DF2FBC" w:rsidP="004E403B">
      <w:pPr>
        <w:pStyle w:val="BodyText2"/>
        <w:tabs>
          <w:tab w:val="clear" w:pos="1560"/>
          <w:tab w:val="num" w:pos="1134"/>
        </w:tabs>
        <w:ind w:left="1134"/>
      </w:pPr>
      <w:r>
        <w:t>liquidity</w:t>
      </w:r>
      <w:r w:rsidRPr="0047482A">
        <w:t xml:space="preserve"> </w:t>
      </w:r>
      <w:r>
        <w:t>risk;</w:t>
      </w:r>
    </w:p>
    <w:p w14:paraId="105FE7D0" w14:textId="77777777" w:rsidR="00DF2FBC" w:rsidRDefault="00DF2FBC" w:rsidP="004E403B">
      <w:pPr>
        <w:pStyle w:val="BodyText2"/>
        <w:tabs>
          <w:tab w:val="clear" w:pos="1560"/>
          <w:tab w:val="num" w:pos="1134"/>
        </w:tabs>
        <w:ind w:left="1134"/>
      </w:pPr>
      <w:r>
        <w:t>insurance risk;</w:t>
      </w:r>
    </w:p>
    <w:p w14:paraId="4A4CC8B0" w14:textId="77777777" w:rsidR="00DF2FBC" w:rsidRDefault="00DF2FBC" w:rsidP="004E403B">
      <w:pPr>
        <w:pStyle w:val="BodyText2"/>
        <w:tabs>
          <w:tab w:val="clear" w:pos="1560"/>
          <w:tab w:val="num" w:pos="1134"/>
        </w:tabs>
        <w:ind w:left="1134"/>
      </w:pPr>
      <w:r>
        <w:t>operational risk;</w:t>
      </w:r>
    </w:p>
    <w:p w14:paraId="7EBBF5A1" w14:textId="77777777" w:rsidR="00DF2FBC" w:rsidRPr="00BC0C32" w:rsidRDefault="00DF2FBC" w:rsidP="004E403B">
      <w:pPr>
        <w:pStyle w:val="BodyText2"/>
        <w:tabs>
          <w:tab w:val="clear" w:pos="1560"/>
          <w:tab w:val="num" w:pos="1134"/>
        </w:tabs>
        <w:ind w:left="1134"/>
      </w:pPr>
      <w:r>
        <w:t xml:space="preserve">risks </w:t>
      </w:r>
      <w:r w:rsidRPr="00BC0C32">
        <w:t>arising</w:t>
      </w:r>
      <w:r w:rsidRPr="0047482A">
        <w:t xml:space="preserve"> </w:t>
      </w:r>
      <w:r w:rsidRPr="00BC0C32">
        <w:t>from the strategic objectives and business plans; and</w:t>
      </w:r>
    </w:p>
    <w:p w14:paraId="0BCB1EB2" w14:textId="77777777" w:rsidR="00DF2FBC" w:rsidRDefault="00DF2FBC" w:rsidP="004E403B">
      <w:pPr>
        <w:pStyle w:val="BodyText2"/>
        <w:tabs>
          <w:tab w:val="clear" w:pos="1560"/>
          <w:tab w:val="num" w:pos="1134"/>
        </w:tabs>
        <w:ind w:left="1134"/>
      </w:pPr>
      <w:r w:rsidRPr="009E78BE">
        <w:t>other</w:t>
      </w:r>
      <w:r w:rsidRPr="0047482A">
        <w:t xml:space="preserve"> </w:t>
      </w:r>
      <w:r w:rsidRPr="002E7425">
        <w:t>risks</w:t>
      </w:r>
      <w:r w:rsidRPr="0047482A">
        <w:t xml:space="preserve"> </w:t>
      </w:r>
      <w:r w:rsidRPr="002E7425">
        <w:t>that,</w:t>
      </w:r>
      <w:r w:rsidRPr="0047482A">
        <w:t xml:space="preserve"> </w:t>
      </w:r>
      <w:r w:rsidRPr="002E7425">
        <w:t>singly</w:t>
      </w:r>
      <w:r w:rsidRPr="0047482A">
        <w:t xml:space="preserve"> </w:t>
      </w:r>
      <w:r w:rsidRPr="002E7425">
        <w:t>or</w:t>
      </w:r>
      <w:r w:rsidRPr="0047482A">
        <w:t xml:space="preserve"> </w:t>
      </w:r>
      <w:r w:rsidRPr="002E7425">
        <w:t>in</w:t>
      </w:r>
      <w:r w:rsidRPr="0047482A">
        <w:t xml:space="preserve"> </w:t>
      </w:r>
      <w:r w:rsidRPr="002E7425">
        <w:t>combination</w:t>
      </w:r>
      <w:r w:rsidRPr="0047482A">
        <w:t xml:space="preserve"> </w:t>
      </w:r>
      <w:r w:rsidRPr="002E7425">
        <w:t>with</w:t>
      </w:r>
      <w:r w:rsidRPr="0047482A">
        <w:t xml:space="preserve"> </w:t>
      </w:r>
      <w:r w:rsidRPr="002E7425">
        <w:t>different</w:t>
      </w:r>
      <w:r w:rsidRPr="0047482A">
        <w:t xml:space="preserve"> </w:t>
      </w:r>
      <w:r w:rsidRPr="002E7425">
        <w:t>risks,</w:t>
      </w:r>
      <w:r w:rsidRPr="0047482A">
        <w:t xml:space="preserve"> may </w:t>
      </w:r>
      <w:r w:rsidRPr="002E7425">
        <w:t>have</w:t>
      </w:r>
      <w:r w:rsidRPr="0047482A">
        <w:t xml:space="preserve"> </w:t>
      </w:r>
      <w:r w:rsidRPr="002E7425">
        <w:t>a</w:t>
      </w:r>
      <w:r w:rsidRPr="0047482A">
        <w:t xml:space="preserve"> </w:t>
      </w:r>
      <w:r w:rsidRPr="002E7425">
        <w:t>material impact on the institution.</w:t>
      </w:r>
    </w:p>
    <w:p w14:paraId="0A655A39" w14:textId="77777777" w:rsidR="00DF2FBC" w:rsidRPr="002E7425" w:rsidRDefault="00DF2FBC" w:rsidP="00DF2FBC">
      <w:pPr>
        <w:pStyle w:val="Heading1"/>
      </w:pPr>
      <w:bookmarkStart w:id="31" w:name="_Toc454537697"/>
      <w:bookmarkStart w:id="32" w:name="_Toc295999261"/>
      <w:r w:rsidRPr="002E7425">
        <w:t>Risk appetite</w:t>
      </w:r>
      <w:bookmarkEnd w:id="31"/>
    </w:p>
    <w:p w14:paraId="6D430217" w14:textId="77777777" w:rsidR="00DF2FBC" w:rsidRDefault="00DF2FBC" w:rsidP="00DF2FBC">
      <w:pPr>
        <w:pStyle w:val="BodyText1"/>
      </w:pPr>
      <w:bookmarkStart w:id="33" w:name="_Ref344975805"/>
      <w:bookmarkStart w:id="34" w:name="_Ref443041994"/>
      <w:r w:rsidRPr="0035352B">
        <w:t>An</w:t>
      </w:r>
      <w:r w:rsidRPr="00C92853">
        <w:t xml:space="preserve"> </w:t>
      </w:r>
      <w:r w:rsidRPr="002E7425">
        <w:t>APRA-regulated</w:t>
      </w:r>
      <w:r w:rsidRPr="00C92853">
        <w:t xml:space="preserve"> </w:t>
      </w:r>
      <w:r w:rsidRPr="002E7425">
        <w:t>institution</w:t>
      </w:r>
      <w:r w:rsidRPr="00C92853">
        <w:t xml:space="preserve"> </w:t>
      </w:r>
      <w:r w:rsidRPr="002E7425">
        <w:t xml:space="preserve">must </w:t>
      </w:r>
      <w:r w:rsidRPr="00BC0C32">
        <w:t>maintain</w:t>
      </w:r>
      <w:r w:rsidRPr="00C92853">
        <w:t xml:space="preserve"> </w:t>
      </w:r>
      <w:r w:rsidRPr="00BC0C32">
        <w:t>an</w:t>
      </w:r>
      <w:r w:rsidRPr="00C92853">
        <w:t xml:space="preserve"> </w:t>
      </w:r>
      <w:r w:rsidRPr="00BC0C32">
        <w:t>appropriate,</w:t>
      </w:r>
      <w:r w:rsidRPr="00C92853">
        <w:t xml:space="preserve"> </w:t>
      </w:r>
      <w:r w:rsidRPr="00BC0C32">
        <w:t>clear</w:t>
      </w:r>
      <w:r w:rsidRPr="00C92853">
        <w:t xml:space="preserve"> </w:t>
      </w:r>
      <w:r w:rsidRPr="009E78BE">
        <w:t>and</w:t>
      </w:r>
      <w:r w:rsidRPr="00C92853">
        <w:t xml:space="preserve"> </w:t>
      </w:r>
      <w:r w:rsidRPr="002E7425">
        <w:t>concise</w:t>
      </w:r>
      <w:r w:rsidRPr="00C92853">
        <w:t xml:space="preserve"> </w:t>
      </w:r>
      <w:r w:rsidRPr="002E7425">
        <w:t>risk</w:t>
      </w:r>
      <w:r w:rsidRPr="00C92853">
        <w:t xml:space="preserve"> </w:t>
      </w:r>
      <w:r w:rsidRPr="002E7425">
        <w:t>appetite</w:t>
      </w:r>
      <w:r w:rsidRPr="00C92853">
        <w:t xml:space="preserve"> </w:t>
      </w:r>
      <w:r w:rsidRPr="002E7425">
        <w:t>statement</w:t>
      </w:r>
      <w:r w:rsidRPr="00C92853">
        <w:t xml:space="preserve"> </w:t>
      </w:r>
      <w:r w:rsidRPr="00DB5F37">
        <w:t>for the institution</w:t>
      </w:r>
      <w:r w:rsidRPr="00C92853">
        <w:t xml:space="preserve"> </w:t>
      </w:r>
      <w:r w:rsidRPr="002E7425">
        <w:t>that</w:t>
      </w:r>
      <w:r w:rsidRPr="00C92853">
        <w:t xml:space="preserve"> </w:t>
      </w:r>
      <w:r>
        <w:t>addresses</w:t>
      </w:r>
      <w:r w:rsidRPr="00C92853">
        <w:t xml:space="preserve"> </w:t>
      </w:r>
      <w:r w:rsidRPr="0036401B">
        <w:t>the institution’s</w:t>
      </w:r>
      <w:r w:rsidRPr="00C92853">
        <w:t xml:space="preserve"> </w:t>
      </w:r>
      <w:r>
        <w:t>material</w:t>
      </w:r>
      <w:r w:rsidRPr="00C92853">
        <w:t xml:space="preserve"> </w:t>
      </w:r>
      <w:r>
        <w:t>risks.</w:t>
      </w:r>
      <w:r w:rsidRPr="00C92853">
        <w:t xml:space="preserve"> </w:t>
      </w:r>
      <w:bookmarkEnd w:id="33"/>
      <w:r>
        <w:t>The</w:t>
      </w:r>
      <w:r w:rsidRPr="00C92853">
        <w:t xml:space="preserve"> </w:t>
      </w:r>
      <w:r w:rsidRPr="00B902F7">
        <w:t>Board</w:t>
      </w:r>
      <w:r w:rsidRPr="00C92853">
        <w:t xml:space="preserve"> </w:t>
      </w:r>
      <w:r>
        <w:t>is responsible for setting the risk appetite of the institution and must</w:t>
      </w:r>
      <w:r w:rsidRPr="00C92853">
        <w:t xml:space="preserve"> </w:t>
      </w:r>
      <w:r>
        <w:t>approve</w:t>
      </w:r>
      <w:r w:rsidRPr="00C92853">
        <w:t xml:space="preserve"> </w:t>
      </w:r>
      <w:r>
        <w:t>the</w:t>
      </w:r>
      <w:r w:rsidRPr="00C92853">
        <w:t xml:space="preserve"> </w:t>
      </w:r>
      <w:r w:rsidRPr="00DB5F37">
        <w:t xml:space="preserve">institution’s </w:t>
      </w:r>
      <w:r>
        <w:t>risk</w:t>
      </w:r>
      <w:r w:rsidRPr="00C92853">
        <w:t xml:space="preserve"> </w:t>
      </w:r>
      <w:r>
        <w:t>appetite statement.</w:t>
      </w:r>
      <w:bookmarkEnd w:id="34"/>
    </w:p>
    <w:p w14:paraId="3EB40DD6" w14:textId="77777777" w:rsidR="00DF2FBC" w:rsidRDefault="00DF2FBC" w:rsidP="00561C5D">
      <w:pPr>
        <w:pStyle w:val="BodyText1"/>
        <w:keepNext/>
      </w:pPr>
      <w:bookmarkStart w:id="35" w:name="_Ref443042004"/>
      <w:r>
        <w:t>The</w:t>
      </w:r>
      <w:r w:rsidRPr="00C92853">
        <w:t xml:space="preserve"> </w:t>
      </w:r>
      <w:r>
        <w:t>risk</w:t>
      </w:r>
      <w:r w:rsidRPr="00C92853">
        <w:t xml:space="preserve"> </w:t>
      </w:r>
      <w:r>
        <w:t>appetite</w:t>
      </w:r>
      <w:r w:rsidRPr="00C92853">
        <w:t xml:space="preserve"> </w:t>
      </w:r>
      <w:r>
        <w:t>statement</w:t>
      </w:r>
      <w:r w:rsidRPr="00C92853">
        <w:t xml:space="preserve"> </w:t>
      </w:r>
      <w:r>
        <w:t>must,</w:t>
      </w:r>
      <w:r w:rsidRPr="00C92853">
        <w:t xml:space="preserve"> </w:t>
      </w:r>
      <w:r>
        <w:t>at</w:t>
      </w:r>
      <w:r w:rsidRPr="00C92853">
        <w:t xml:space="preserve"> </w:t>
      </w:r>
      <w:r>
        <w:t>a</w:t>
      </w:r>
      <w:r w:rsidRPr="00C92853">
        <w:t xml:space="preserve"> </w:t>
      </w:r>
      <w:r>
        <w:t>minimum,</w:t>
      </w:r>
      <w:r w:rsidRPr="00C92853">
        <w:t xml:space="preserve"> </w:t>
      </w:r>
      <w:r>
        <w:t>convey:</w:t>
      </w:r>
      <w:bookmarkEnd w:id="35"/>
    </w:p>
    <w:p w14:paraId="1C83B0B9" w14:textId="77777777" w:rsidR="00DF2FBC" w:rsidRPr="002E7425" w:rsidRDefault="00DF2FBC" w:rsidP="004E403B">
      <w:pPr>
        <w:pStyle w:val="BodyText2"/>
        <w:tabs>
          <w:tab w:val="clear" w:pos="1560"/>
          <w:tab w:val="num" w:pos="1134"/>
        </w:tabs>
        <w:ind w:left="1134"/>
      </w:pPr>
      <w:r>
        <w:t>the</w:t>
      </w:r>
      <w:r w:rsidRPr="0047482A">
        <w:t xml:space="preserve"> </w:t>
      </w:r>
      <w:r>
        <w:t>degree</w:t>
      </w:r>
      <w:r w:rsidRPr="0047482A">
        <w:t xml:space="preserve"> </w:t>
      </w:r>
      <w:r>
        <w:t>of</w:t>
      </w:r>
      <w:r w:rsidRPr="0047482A">
        <w:t xml:space="preserve"> </w:t>
      </w:r>
      <w:r>
        <w:t>risk</w:t>
      </w:r>
      <w:r w:rsidRPr="0047482A">
        <w:t xml:space="preserve"> </w:t>
      </w:r>
      <w:r>
        <w:t>that</w:t>
      </w:r>
      <w:r w:rsidRPr="0047482A">
        <w:t xml:space="preserve"> </w:t>
      </w:r>
      <w:r>
        <w:t>the</w:t>
      </w:r>
      <w:r w:rsidRPr="0047482A">
        <w:t xml:space="preserve"> </w:t>
      </w:r>
      <w:r>
        <w:t>institution</w:t>
      </w:r>
      <w:r w:rsidRPr="0047482A">
        <w:t xml:space="preserve"> </w:t>
      </w:r>
      <w:r>
        <w:t>is</w:t>
      </w:r>
      <w:r w:rsidRPr="0047482A">
        <w:t xml:space="preserve"> </w:t>
      </w:r>
      <w:r>
        <w:t>prepared</w:t>
      </w:r>
      <w:r w:rsidRPr="0047482A">
        <w:t xml:space="preserve"> to </w:t>
      </w:r>
      <w:r>
        <w:t>accept</w:t>
      </w:r>
      <w:r w:rsidRPr="0047482A">
        <w:t xml:space="preserve"> </w:t>
      </w:r>
      <w:r>
        <w:t>in</w:t>
      </w:r>
      <w:r w:rsidRPr="0047482A">
        <w:t xml:space="preserve"> </w:t>
      </w:r>
      <w:r>
        <w:t>pursuit</w:t>
      </w:r>
      <w:r w:rsidRPr="0047482A">
        <w:t xml:space="preserve"> </w:t>
      </w:r>
      <w:r>
        <w:t>of</w:t>
      </w:r>
      <w:r w:rsidRPr="0047482A">
        <w:t xml:space="preserve"> </w:t>
      </w:r>
      <w:r>
        <w:t>its</w:t>
      </w:r>
      <w:r w:rsidRPr="0047482A">
        <w:t xml:space="preserve"> </w:t>
      </w:r>
      <w:r>
        <w:t>strategic</w:t>
      </w:r>
      <w:r w:rsidRPr="0047482A">
        <w:t xml:space="preserve"> </w:t>
      </w:r>
      <w:r w:rsidRPr="002E7425">
        <w:t>objectives and business plan, giving consideration to the interests of depositors and/or policyholders (risk appetite);</w:t>
      </w:r>
    </w:p>
    <w:p w14:paraId="031F64DB" w14:textId="77777777" w:rsidR="00DF2FBC" w:rsidRPr="002E7425" w:rsidRDefault="00DF2FBC" w:rsidP="004E403B">
      <w:pPr>
        <w:pStyle w:val="BodyText2"/>
        <w:tabs>
          <w:tab w:val="clear" w:pos="1560"/>
          <w:tab w:val="num" w:pos="1134"/>
        </w:tabs>
        <w:ind w:left="1134"/>
      </w:pPr>
      <w:r w:rsidRPr="002E7425">
        <w:t>for each material risk, the maximum level of risk that the institution is willing to operate within, expressed as a risk limit and based on its risk appetite, risk profile and capital strength (risk tolerance);</w:t>
      </w:r>
    </w:p>
    <w:p w14:paraId="666CC926" w14:textId="77777777" w:rsidR="00DF2FBC" w:rsidRPr="002E7425" w:rsidRDefault="00DF2FBC" w:rsidP="004E403B">
      <w:pPr>
        <w:pStyle w:val="BodyText2"/>
        <w:tabs>
          <w:tab w:val="clear" w:pos="1560"/>
          <w:tab w:val="num" w:pos="1134"/>
        </w:tabs>
        <w:ind w:left="1134"/>
      </w:pPr>
      <w:r w:rsidRPr="002E7425">
        <w:t>the process for ensuring that risk tolerances are set at an appropriate level, based on an estimate of the impact in the event that a risk tolerance is breached, and the likelihood that each material risk is realised;</w:t>
      </w:r>
    </w:p>
    <w:p w14:paraId="766D9B5C" w14:textId="77777777" w:rsidR="00DF2FBC" w:rsidRPr="002E7425" w:rsidRDefault="00DF2FBC" w:rsidP="004E403B">
      <w:pPr>
        <w:pStyle w:val="BodyText2"/>
        <w:tabs>
          <w:tab w:val="clear" w:pos="1560"/>
          <w:tab w:val="num" w:pos="1134"/>
        </w:tabs>
        <w:ind w:left="1134"/>
      </w:pPr>
      <w:r w:rsidRPr="002E7425">
        <w:t>the process for monitoring compliance with each risk tolerance and for taking appropriate action in the event that it is breached; and</w:t>
      </w:r>
    </w:p>
    <w:p w14:paraId="65EE001F" w14:textId="77777777" w:rsidR="00DF2FBC" w:rsidRDefault="00DF2FBC" w:rsidP="004E403B">
      <w:pPr>
        <w:pStyle w:val="BodyText2"/>
        <w:tabs>
          <w:tab w:val="clear" w:pos="1560"/>
          <w:tab w:val="num" w:pos="1134"/>
        </w:tabs>
        <w:ind w:left="1134"/>
      </w:pPr>
      <w:r w:rsidRPr="002E7425">
        <w:t>the timing a</w:t>
      </w:r>
      <w:r>
        <w:t xml:space="preserve">nd process for review </w:t>
      </w:r>
      <w:r w:rsidRPr="0047482A">
        <w:t>of</w:t>
      </w:r>
      <w:r>
        <w:t xml:space="preserve"> the</w:t>
      </w:r>
      <w:r w:rsidRPr="0047482A">
        <w:t xml:space="preserve"> </w:t>
      </w:r>
      <w:r>
        <w:t>risk appetite and</w:t>
      </w:r>
      <w:r w:rsidRPr="0047482A">
        <w:t xml:space="preserve"> </w:t>
      </w:r>
      <w:r>
        <w:t>risk tolerances.</w:t>
      </w:r>
    </w:p>
    <w:p w14:paraId="76878E15" w14:textId="77777777" w:rsidR="00DF2FBC" w:rsidRDefault="00DF2FBC" w:rsidP="00DF2FBC">
      <w:pPr>
        <w:pStyle w:val="Heading1"/>
      </w:pPr>
      <w:bookmarkStart w:id="36" w:name="_Toc454537698"/>
      <w:r>
        <w:t>Risk</w:t>
      </w:r>
      <w:r>
        <w:rPr>
          <w:spacing w:val="1"/>
        </w:rPr>
        <w:t xml:space="preserve"> </w:t>
      </w:r>
      <w:bookmarkEnd w:id="32"/>
      <w:r>
        <w:t>management</w:t>
      </w:r>
      <w:r>
        <w:rPr>
          <w:spacing w:val="-3"/>
        </w:rPr>
        <w:t xml:space="preserve"> </w:t>
      </w:r>
      <w:r>
        <w:t>strategy</w:t>
      </w:r>
      <w:bookmarkEnd w:id="36"/>
    </w:p>
    <w:p w14:paraId="4962C040" w14:textId="77777777" w:rsidR="00DF2FBC" w:rsidRPr="00DF2FBC" w:rsidRDefault="00DF2FBC" w:rsidP="00DF2FBC">
      <w:pPr>
        <w:pStyle w:val="BodyText1"/>
      </w:pPr>
      <w:r>
        <w:t>A</w:t>
      </w:r>
      <w:bookmarkStart w:id="37" w:name="_Ref343695752"/>
      <w:r>
        <w:t>n</w:t>
      </w:r>
      <w:r w:rsidRPr="00C92853">
        <w:t xml:space="preserve"> </w:t>
      </w:r>
      <w:r>
        <w:t>APRA-regulated</w:t>
      </w:r>
      <w:r w:rsidRPr="00C92853">
        <w:t xml:space="preserve"> </w:t>
      </w:r>
      <w:r>
        <w:t>institution</w:t>
      </w:r>
      <w:r w:rsidRPr="00C92853">
        <w:t xml:space="preserve"> </w:t>
      </w:r>
      <w:r>
        <w:t>must</w:t>
      </w:r>
      <w:r w:rsidRPr="00C92853">
        <w:t xml:space="preserve"> </w:t>
      </w:r>
      <w:r>
        <w:t>maintain</w:t>
      </w:r>
      <w:r w:rsidRPr="00C92853">
        <w:t xml:space="preserve"> </w:t>
      </w:r>
      <w:r w:rsidRPr="00821C2D">
        <w:t>a</w:t>
      </w:r>
      <w:r>
        <w:t>n</w:t>
      </w:r>
      <w:r w:rsidRPr="00821C2D">
        <w:t xml:space="preserve"> </w:t>
      </w:r>
      <w:r>
        <w:t>RMS</w:t>
      </w:r>
      <w:r w:rsidRPr="00C92853">
        <w:t xml:space="preserve"> </w:t>
      </w:r>
      <w:r w:rsidRPr="00C933AE">
        <w:t>for the institution</w:t>
      </w:r>
      <w:r w:rsidRPr="00C92853">
        <w:t xml:space="preserve"> </w:t>
      </w:r>
      <w:r>
        <w:t>that</w:t>
      </w:r>
      <w:r w:rsidRPr="00C92853">
        <w:t xml:space="preserve"> </w:t>
      </w:r>
      <w:r>
        <w:t>addresses</w:t>
      </w:r>
      <w:r w:rsidRPr="00C92853">
        <w:t xml:space="preserve"> </w:t>
      </w:r>
      <w:r>
        <w:t>each</w:t>
      </w:r>
      <w:r w:rsidRPr="00C92853">
        <w:t xml:space="preserve"> </w:t>
      </w:r>
      <w:r>
        <w:t>material</w:t>
      </w:r>
      <w:r w:rsidRPr="00C92853">
        <w:t xml:space="preserve"> </w:t>
      </w:r>
      <w:r>
        <w:t>risk</w:t>
      </w:r>
      <w:r w:rsidRPr="00C92853">
        <w:t xml:space="preserve"> </w:t>
      </w:r>
      <w:r>
        <w:t>listed</w:t>
      </w:r>
      <w:r w:rsidRPr="00C92853">
        <w:t xml:space="preserve"> </w:t>
      </w:r>
      <w:r>
        <w:t>under</w:t>
      </w:r>
      <w:r w:rsidRPr="00C92853">
        <w:t xml:space="preserve"> </w:t>
      </w:r>
      <w:r>
        <w:t>paragraph</w:t>
      </w:r>
      <w:r w:rsidRPr="00C92853">
        <w:t xml:space="preserve"> </w:t>
      </w:r>
      <w:r>
        <w:fldChar w:fldCharType="begin"/>
      </w:r>
      <w:r w:rsidRPr="00BC0C32">
        <w:instrText xml:space="preserve"> REF _Ref346618020 \r \h </w:instrText>
      </w:r>
      <w:r>
        <w:instrText xml:space="preserve"> \* MERGEFORMAT </w:instrText>
      </w:r>
      <w:r>
        <w:fldChar w:fldCharType="separate"/>
      </w:r>
      <w:r w:rsidR="00AA5CFE">
        <w:t>26</w:t>
      </w:r>
      <w:r>
        <w:fldChar w:fldCharType="end"/>
      </w:r>
      <w:r>
        <w:t>.</w:t>
      </w:r>
      <w:r w:rsidRPr="00C92853">
        <w:t xml:space="preserve"> </w:t>
      </w:r>
      <w:r>
        <w:t>The</w:t>
      </w:r>
      <w:r w:rsidRPr="00C92853">
        <w:t xml:space="preserve"> </w:t>
      </w:r>
      <w:r>
        <w:t>RMS</w:t>
      </w:r>
      <w:r w:rsidRPr="00C92853">
        <w:t xml:space="preserve"> </w:t>
      </w:r>
      <w:r>
        <w:t xml:space="preserve">must be approved </w:t>
      </w:r>
      <w:r w:rsidRPr="00C92853">
        <w:t xml:space="preserve">by </w:t>
      </w:r>
      <w:r>
        <w:t>the</w:t>
      </w:r>
      <w:r w:rsidRPr="00C92853">
        <w:t xml:space="preserve"> </w:t>
      </w:r>
      <w:r>
        <w:t>Board.</w:t>
      </w:r>
      <w:bookmarkEnd w:id="37"/>
    </w:p>
    <w:p w14:paraId="6C764491" w14:textId="77777777" w:rsidR="00DF2FBC" w:rsidRDefault="00DF2FBC" w:rsidP="00DF2FBC">
      <w:pPr>
        <w:pStyle w:val="BodyText1"/>
      </w:pPr>
      <w:bookmarkStart w:id="38" w:name="_bookmark2"/>
      <w:bookmarkStart w:id="39" w:name="_Ref314637791"/>
      <w:bookmarkStart w:id="40" w:name="_Ref443294501"/>
      <w:bookmarkEnd w:id="38"/>
      <w:r>
        <w:t>The</w:t>
      </w:r>
      <w:r w:rsidRPr="00C92853">
        <w:t xml:space="preserve"> </w:t>
      </w:r>
      <w:r>
        <w:t>RMS</w:t>
      </w:r>
      <w:r w:rsidRPr="00C92853">
        <w:t xml:space="preserve"> </w:t>
      </w:r>
      <w:r>
        <w:t>is</w:t>
      </w:r>
      <w:r w:rsidRPr="00C92853">
        <w:t xml:space="preserve"> </w:t>
      </w:r>
      <w:r>
        <w:t>a</w:t>
      </w:r>
      <w:r w:rsidRPr="00C92853">
        <w:t xml:space="preserve"> </w:t>
      </w:r>
      <w:r>
        <w:t>document</w:t>
      </w:r>
      <w:r w:rsidRPr="00C92853">
        <w:t xml:space="preserve"> </w:t>
      </w:r>
      <w:r>
        <w:t>that</w:t>
      </w:r>
      <w:r w:rsidRPr="00C92853">
        <w:t xml:space="preserve"> </w:t>
      </w:r>
      <w:r>
        <w:t>describes</w:t>
      </w:r>
      <w:r w:rsidRPr="00C92853">
        <w:t xml:space="preserve"> </w:t>
      </w:r>
      <w:r>
        <w:t>the</w:t>
      </w:r>
      <w:r w:rsidRPr="00C92853">
        <w:t xml:space="preserve"> </w:t>
      </w:r>
      <w:r>
        <w:t>strategy</w:t>
      </w:r>
      <w:r w:rsidRPr="00C92853">
        <w:t xml:space="preserve"> </w:t>
      </w:r>
      <w:r>
        <w:t>for</w:t>
      </w:r>
      <w:r w:rsidRPr="00C92853">
        <w:t xml:space="preserve"> </w:t>
      </w:r>
      <w:r>
        <w:t>managing</w:t>
      </w:r>
      <w:r w:rsidRPr="00C92853">
        <w:t xml:space="preserve"> </w:t>
      </w:r>
      <w:r>
        <w:t>risk</w:t>
      </w:r>
      <w:r w:rsidRPr="00C92853">
        <w:t xml:space="preserve"> </w:t>
      </w:r>
      <w:r>
        <w:t>and</w:t>
      </w:r>
      <w:r w:rsidRPr="00C92853">
        <w:t xml:space="preserve"> </w:t>
      </w:r>
      <w:r>
        <w:t>the</w:t>
      </w:r>
      <w:r w:rsidRPr="00C92853">
        <w:t xml:space="preserve"> key </w:t>
      </w:r>
      <w:r>
        <w:t>elements</w:t>
      </w:r>
      <w:r w:rsidRPr="00C92853">
        <w:t xml:space="preserve"> </w:t>
      </w:r>
      <w:r>
        <w:t>of</w:t>
      </w:r>
      <w:r w:rsidRPr="00C92853">
        <w:t xml:space="preserve"> </w:t>
      </w:r>
      <w:r>
        <w:t>the</w:t>
      </w:r>
      <w:r w:rsidRPr="00C92853">
        <w:t xml:space="preserve"> </w:t>
      </w:r>
      <w:r>
        <w:t>risk</w:t>
      </w:r>
      <w:r w:rsidRPr="00C92853">
        <w:t xml:space="preserve"> </w:t>
      </w:r>
      <w:r>
        <w:t>management</w:t>
      </w:r>
      <w:r w:rsidRPr="00C92853">
        <w:t xml:space="preserve"> </w:t>
      </w:r>
      <w:r>
        <w:t>framework</w:t>
      </w:r>
      <w:r w:rsidRPr="00C92853">
        <w:t xml:space="preserve"> </w:t>
      </w:r>
      <w:r>
        <w:t>that</w:t>
      </w:r>
      <w:r w:rsidRPr="00C92853">
        <w:t xml:space="preserve"> </w:t>
      </w:r>
      <w:r>
        <w:t>give</w:t>
      </w:r>
      <w:r w:rsidRPr="00C92853">
        <w:t xml:space="preserve"> </w:t>
      </w:r>
      <w:r>
        <w:t>effect to this</w:t>
      </w:r>
      <w:r w:rsidRPr="00C92853">
        <w:t xml:space="preserve"> </w:t>
      </w:r>
      <w:r>
        <w:t>strategy.</w:t>
      </w:r>
      <w:r w:rsidRPr="00C92853">
        <w:t xml:space="preserve"> </w:t>
      </w:r>
      <w:r>
        <w:t>At a minimum, an RMS must:</w:t>
      </w:r>
      <w:bookmarkEnd w:id="39"/>
      <w:bookmarkEnd w:id="40"/>
    </w:p>
    <w:p w14:paraId="10316F68" w14:textId="77777777" w:rsidR="00DF2FBC" w:rsidRPr="002E7425" w:rsidRDefault="00DF2FBC" w:rsidP="004E403B">
      <w:pPr>
        <w:pStyle w:val="BodyText2"/>
        <w:tabs>
          <w:tab w:val="clear" w:pos="1560"/>
          <w:tab w:val="num" w:pos="1134"/>
        </w:tabs>
        <w:ind w:left="1134"/>
      </w:pPr>
      <w:r>
        <w:t>describe</w:t>
      </w:r>
      <w:r w:rsidRPr="0047482A">
        <w:t xml:space="preserve"> </w:t>
      </w:r>
      <w:r>
        <w:t>each</w:t>
      </w:r>
      <w:r w:rsidRPr="0047482A">
        <w:t xml:space="preserve"> </w:t>
      </w:r>
      <w:r>
        <w:t>material</w:t>
      </w:r>
      <w:r w:rsidRPr="0047482A">
        <w:t xml:space="preserve"> </w:t>
      </w:r>
      <w:r>
        <w:t>risk</w:t>
      </w:r>
      <w:r w:rsidRPr="0047482A">
        <w:t xml:space="preserve"> </w:t>
      </w:r>
      <w:r>
        <w:t>identified,</w:t>
      </w:r>
      <w:r w:rsidRPr="0047482A">
        <w:t xml:space="preserve"> </w:t>
      </w:r>
      <w:r>
        <w:t>and</w:t>
      </w:r>
      <w:r w:rsidRPr="0047482A">
        <w:t xml:space="preserve"> </w:t>
      </w:r>
      <w:r>
        <w:t>the</w:t>
      </w:r>
      <w:r w:rsidRPr="0047482A">
        <w:t xml:space="preserve"> </w:t>
      </w:r>
      <w:r>
        <w:t>approach</w:t>
      </w:r>
      <w:r w:rsidRPr="0047482A">
        <w:t xml:space="preserve"> </w:t>
      </w:r>
      <w:r>
        <w:t>to</w:t>
      </w:r>
      <w:r w:rsidRPr="0047482A">
        <w:t xml:space="preserve"> </w:t>
      </w:r>
      <w:r>
        <w:t>managing</w:t>
      </w:r>
      <w:r w:rsidRPr="0047482A">
        <w:t xml:space="preserve"> </w:t>
      </w:r>
      <w:r w:rsidRPr="002E7425">
        <w:t>these risks;</w:t>
      </w:r>
    </w:p>
    <w:p w14:paraId="538B9EA7" w14:textId="77777777" w:rsidR="00DF2FBC" w:rsidRPr="002E7425" w:rsidRDefault="00DF2FBC" w:rsidP="004E403B">
      <w:pPr>
        <w:pStyle w:val="BodyText2"/>
        <w:tabs>
          <w:tab w:val="clear" w:pos="1560"/>
          <w:tab w:val="num" w:pos="1134"/>
        </w:tabs>
        <w:ind w:left="1134"/>
      </w:pPr>
      <w:bookmarkStart w:id="41" w:name="_Ref349830611"/>
      <w:r w:rsidRPr="002E7425">
        <w:t>list the policies and procedures dealing with risk management matters;</w:t>
      </w:r>
      <w:bookmarkEnd w:id="41"/>
    </w:p>
    <w:p w14:paraId="2E525D83" w14:textId="77777777" w:rsidR="00DF2FBC" w:rsidRPr="002E7425" w:rsidRDefault="00DF2FBC" w:rsidP="004E403B">
      <w:pPr>
        <w:pStyle w:val="BodyText2"/>
        <w:tabs>
          <w:tab w:val="clear" w:pos="1560"/>
          <w:tab w:val="num" w:pos="1134"/>
        </w:tabs>
        <w:ind w:left="1134"/>
      </w:pPr>
      <w:r w:rsidRPr="002E7425">
        <w:t>summarise the role and responsibilities of the risk management function;</w:t>
      </w:r>
    </w:p>
    <w:p w14:paraId="28DA3332" w14:textId="77777777" w:rsidR="00DF2FBC" w:rsidRPr="002E7425" w:rsidRDefault="00DF2FBC" w:rsidP="004E403B">
      <w:pPr>
        <w:pStyle w:val="BodyText2"/>
        <w:tabs>
          <w:tab w:val="clear" w:pos="1560"/>
          <w:tab w:val="num" w:pos="1134"/>
        </w:tabs>
        <w:ind w:left="1134"/>
      </w:pPr>
      <w:r w:rsidRPr="002E7425">
        <w:t>describe the risk governance relationship between the Board</w:t>
      </w:r>
      <w:r>
        <w:t xml:space="preserve"> of the APRA-regulated institution</w:t>
      </w:r>
      <w:r w:rsidRPr="002E7425">
        <w:t xml:space="preserve">, board committees </w:t>
      </w:r>
      <w:r>
        <w:t>of the APRA-regulated institution</w:t>
      </w:r>
      <w:r w:rsidRPr="002E7425">
        <w:t xml:space="preserve"> and senior management </w:t>
      </w:r>
      <w:r>
        <w:t>of the institution</w:t>
      </w:r>
      <w:r w:rsidRPr="002E7425">
        <w:t xml:space="preserve"> with respect to the risk management framework; and</w:t>
      </w:r>
    </w:p>
    <w:p w14:paraId="55EADF60" w14:textId="77777777" w:rsidR="00DF2FBC" w:rsidRDefault="00DF2FBC" w:rsidP="004E403B">
      <w:pPr>
        <w:pStyle w:val="BodyText2"/>
        <w:tabs>
          <w:tab w:val="clear" w:pos="1560"/>
          <w:tab w:val="num" w:pos="1134"/>
        </w:tabs>
        <w:ind w:left="1134"/>
      </w:pPr>
      <w:r w:rsidRPr="002E7425">
        <w:t xml:space="preserve">outline the approach to ensuring all persons within the institution have awareness of the risk management framework </w:t>
      </w:r>
      <w:r w:rsidR="00873E94" w:rsidRPr="0035712A">
        <w:t>as it relates to their role</w:t>
      </w:r>
      <w:r w:rsidR="00873E94">
        <w:t xml:space="preserve"> </w:t>
      </w:r>
      <w:r w:rsidRPr="002E7425">
        <w:t>and for instilling an appropria</w:t>
      </w:r>
      <w:r>
        <w:t>te</w:t>
      </w:r>
      <w:r w:rsidRPr="0047482A">
        <w:t xml:space="preserve"> </w:t>
      </w:r>
      <w:r>
        <w:t>risk culture across the institution.</w:t>
      </w:r>
    </w:p>
    <w:p w14:paraId="2E885A64" w14:textId="77777777" w:rsidR="00DF2FBC" w:rsidRDefault="00DF2FBC" w:rsidP="00DF2FBC">
      <w:pPr>
        <w:pStyle w:val="Heading1"/>
      </w:pPr>
      <w:bookmarkStart w:id="42" w:name="_Toc454537699"/>
      <w:r>
        <w:t>Business</w:t>
      </w:r>
      <w:r>
        <w:rPr>
          <w:spacing w:val="-2"/>
        </w:rPr>
        <w:t xml:space="preserve"> </w:t>
      </w:r>
      <w:r>
        <w:t>plan</w:t>
      </w:r>
      <w:bookmarkEnd w:id="42"/>
    </w:p>
    <w:p w14:paraId="4000731D" w14:textId="77777777" w:rsidR="00DF2FBC" w:rsidRPr="00382FEE" w:rsidRDefault="00DF2FBC" w:rsidP="00DF2FBC">
      <w:pPr>
        <w:pStyle w:val="BodyText1"/>
      </w:pPr>
      <w:bookmarkStart w:id="43" w:name="_bookmark3"/>
      <w:bookmarkStart w:id="44" w:name="_Ref443042084"/>
      <w:bookmarkStart w:id="45" w:name="_Ref352069043"/>
      <w:bookmarkEnd w:id="43"/>
      <w:r>
        <w:t>An</w:t>
      </w:r>
      <w:r w:rsidRPr="00C92853">
        <w:t xml:space="preserve"> </w:t>
      </w:r>
      <w:r>
        <w:t>APRA-regulated</w:t>
      </w:r>
      <w:r w:rsidRPr="00C92853">
        <w:t xml:space="preserve"> </w:t>
      </w:r>
      <w:r>
        <w:t>institution</w:t>
      </w:r>
      <w:r w:rsidRPr="00C92853">
        <w:t xml:space="preserve"> </w:t>
      </w:r>
      <w:r>
        <w:t>must</w:t>
      </w:r>
      <w:r w:rsidRPr="00CB0AA5">
        <w:t xml:space="preserve"> </w:t>
      </w:r>
      <w:r>
        <w:t>maintain</w:t>
      </w:r>
      <w:r w:rsidRPr="00C92853">
        <w:t xml:space="preserve"> </w:t>
      </w:r>
      <w:r>
        <w:t>a</w:t>
      </w:r>
      <w:r w:rsidRPr="00C933AE">
        <w:t xml:space="preserve"> </w:t>
      </w:r>
      <w:r>
        <w:t>written</w:t>
      </w:r>
      <w:r w:rsidRPr="00C92853">
        <w:t xml:space="preserve"> </w:t>
      </w:r>
      <w:r>
        <w:t>plan</w:t>
      </w:r>
      <w:r w:rsidRPr="00C92853">
        <w:t xml:space="preserve"> </w:t>
      </w:r>
      <w:r w:rsidRPr="00C933AE">
        <w:t>for the institution</w:t>
      </w:r>
      <w:r w:rsidRPr="00C92853">
        <w:t xml:space="preserve"> </w:t>
      </w:r>
      <w:r>
        <w:t>that</w:t>
      </w:r>
      <w:r w:rsidRPr="00C92853">
        <w:t xml:space="preserve"> </w:t>
      </w:r>
      <w:r>
        <w:t>sets</w:t>
      </w:r>
      <w:r w:rsidRPr="00C92853">
        <w:t xml:space="preserve"> </w:t>
      </w:r>
      <w:r>
        <w:t>out</w:t>
      </w:r>
      <w:r w:rsidRPr="00C92853">
        <w:t xml:space="preserve"> </w:t>
      </w:r>
      <w:r>
        <w:t>its</w:t>
      </w:r>
      <w:r w:rsidRPr="00C92853">
        <w:t xml:space="preserve"> </w:t>
      </w:r>
      <w:r>
        <w:t>approach</w:t>
      </w:r>
      <w:r w:rsidRPr="00C92853">
        <w:t xml:space="preserve"> </w:t>
      </w:r>
      <w:r>
        <w:t>for</w:t>
      </w:r>
      <w:r w:rsidRPr="00C92853">
        <w:t xml:space="preserve"> </w:t>
      </w:r>
      <w:r>
        <w:t>the</w:t>
      </w:r>
      <w:r w:rsidRPr="00C92853">
        <w:t xml:space="preserve"> </w:t>
      </w:r>
      <w:r>
        <w:t>implementation</w:t>
      </w:r>
      <w:r w:rsidRPr="00C92853">
        <w:t xml:space="preserve"> </w:t>
      </w:r>
      <w:r>
        <w:t>of</w:t>
      </w:r>
      <w:r w:rsidRPr="00C92853">
        <w:t xml:space="preserve"> </w:t>
      </w:r>
      <w:r>
        <w:t>its</w:t>
      </w:r>
      <w:r w:rsidRPr="00C92853">
        <w:t xml:space="preserve"> </w:t>
      </w:r>
      <w:r>
        <w:t>strategic</w:t>
      </w:r>
      <w:r w:rsidRPr="00C92853">
        <w:t xml:space="preserve"> </w:t>
      </w:r>
      <w:r>
        <w:t>objectives</w:t>
      </w:r>
      <w:r w:rsidRPr="00C92853">
        <w:t xml:space="preserve"> </w:t>
      </w:r>
      <w:r>
        <w:t>(business</w:t>
      </w:r>
      <w:r w:rsidRPr="00C92853">
        <w:t xml:space="preserve"> </w:t>
      </w:r>
      <w:r>
        <w:t>plan).</w:t>
      </w:r>
      <w:bookmarkEnd w:id="44"/>
      <w:r w:rsidRPr="00C92853">
        <w:t xml:space="preserve"> </w:t>
      </w:r>
    </w:p>
    <w:p w14:paraId="6C4CEFA2" w14:textId="77777777" w:rsidR="00DF2FBC" w:rsidRDefault="00DF2FBC" w:rsidP="00DF2FBC">
      <w:pPr>
        <w:pStyle w:val="BodyText1"/>
      </w:pPr>
      <w:r>
        <w:t>The</w:t>
      </w:r>
      <w:r w:rsidRPr="00C92853">
        <w:t xml:space="preserve"> </w:t>
      </w:r>
      <w:r>
        <w:t>business</w:t>
      </w:r>
      <w:r w:rsidRPr="00C92853">
        <w:t xml:space="preserve"> </w:t>
      </w:r>
      <w:r>
        <w:t>plan</w:t>
      </w:r>
      <w:r w:rsidRPr="00C92853">
        <w:t xml:space="preserve"> </w:t>
      </w:r>
      <w:r>
        <w:t>must</w:t>
      </w:r>
      <w:r w:rsidRPr="00C92853">
        <w:t xml:space="preserve"> </w:t>
      </w:r>
      <w:r>
        <w:t>be</w:t>
      </w:r>
      <w:r w:rsidRPr="00C92853">
        <w:t xml:space="preserve"> </w:t>
      </w:r>
      <w:r>
        <w:t>a</w:t>
      </w:r>
      <w:r w:rsidRPr="00C92853">
        <w:t xml:space="preserve"> </w:t>
      </w:r>
      <w:r>
        <w:t>rolling</w:t>
      </w:r>
      <w:r w:rsidRPr="00C92853">
        <w:t xml:space="preserve"> </w:t>
      </w:r>
      <w:r>
        <w:t>plan</w:t>
      </w:r>
      <w:r w:rsidRPr="00C92853">
        <w:t xml:space="preserve"> </w:t>
      </w:r>
      <w:r>
        <w:t>of</w:t>
      </w:r>
      <w:r w:rsidRPr="00C92853">
        <w:t xml:space="preserve"> </w:t>
      </w:r>
      <w:r>
        <w:t>at</w:t>
      </w:r>
      <w:r w:rsidRPr="00C92853">
        <w:t xml:space="preserve"> </w:t>
      </w:r>
      <w:r>
        <w:t>least</w:t>
      </w:r>
      <w:r w:rsidRPr="00C92853">
        <w:t xml:space="preserve"> </w:t>
      </w:r>
      <w:r>
        <w:t>three</w:t>
      </w:r>
      <w:r w:rsidRPr="00C92853">
        <w:t xml:space="preserve"> </w:t>
      </w:r>
      <w:r>
        <w:t>years’</w:t>
      </w:r>
      <w:r w:rsidRPr="00C92853">
        <w:t xml:space="preserve"> </w:t>
      </w:r>
      <w:r>
        <w:t>duration</w:t>
      </w:r>
      <w:r w:rsidRPr="00C92853">
        <w:t xml:space="preserve"> </w:t>
      </w:r>
      <w:r>
        <w:t>that</w:t>
      </w:r>
      <w:r w:rsidRPr="00C92853">
        <w:t xml:space="preserve"> </w:t>
      </w:r>
      <w:r>
        <w:t>is</w:t>
      </w:r>
      <w:r w:rsidRPr="00C92853">
        <w:t xml:space="preserve"> </w:t>
      </w:r>
      <w:r>
        <w:t>reviewed</w:t>
      </w:r>
      <w:r w:rsidRPr="00C92853">
        <w:t xml:space="preserve"> </w:t>
      </w:r>
      <w:r>
        <w:t>at</w:t>
      </w:r>
      <w:r w:rsidRPr="00C92853">
        <w:t xml:space="preserve"> </w:t>
      </w:r>
      <w:r>
        <w:t>least</w:t>
      </w:r>
      <w:r w:rsidRPr="00C92853">
        <w:t xml:space="preserve"> </w:t>
      </w:r>
      <w:r>
        <w:t>annually,</w:t>
      </w:r>
      <w:r w:rsidRPr="00C92853">
        <w:t xml:space="preserve"> </w:t>
      </w:r>
      <w:r>
        <w:t>with</w:t>
      </w:r>
      <w:r w:rsidRPr="00C92853">
        <w:t xml:space="preserve"> </w:t>
      </w:r>
      <w:r>
        <w:t>the</w:t>
      </w:r>
      <w:r w:rsidRPr="00C92853">
        <w:t xml:space="preserve"> </w:t>
      </w:r>
      <w:r>
        <w:t>results</w:t>
      </w:r>
      <w:r w:rsidRPr="00C92853">
        <w:t xml:space="preserve"> </w:t>
      </w:r>
      <w:r>
        <w:t>of</w:t>
      </w:r>
      <w:r w:rsidRPr="00C92853">
        <w:t xml:space="preserve"> </w:t>
      </w:r>
      <w:r>
        <w:t>the</w:t>
      </w:r>
      <w:r w:rsidRPr="00C92853">
        <w:t xml:space="preserve"> </w:t>
      </w:r>
      <w:r>
        <w:t>review</w:t>
      </w:r>
      <w:r w:rsidRPr="00C92853">
        <w:t xml:space="preserve"> </w:t>
      </w:r>
      <w:r>
        <w:t>reported</w:t>
      </w:r>
      <w:r w:rsidRPr="00C92853">
        <w:t xml:space="preserve"> </w:t>
      </w:r>
      <w:r>
        <w:t>to</w:t>
      </w:r>
      <w:r w:rsidRPr="00C92853">
        <w:t xml:space="preserve"> </w:t>
      </w:r>
      <w:r>
        <w:t>the</w:t>
      </w:r>
      <w:r w:rsidRPr="00C92853">
        <w:t xml:space="preserve"> </w:t>
      </w:r>
      <w:r w:rsidRPr="00B902F7">
        <w:t>Board</w:t>
      </w:r>
      <w:r>
        <w:t>.</w:t>
      </w:r>
      <w:r w:rsidRPr="00C92853">
        <w:t xml:space="preserve"> </w:t>
      </w:r>
      <w:r>
        <w:t>The</w:t>
      </w:r>
      <w:r w:rsidRPr="00C92853">
        <w:t xml:space="preserve"> </w:t>
      </w:r>
      <w:r>
        <w:t>business</w:t>
      </w:r>
      <w:r w:rsidRPr="00C92853">
        <w:t xml:space="preserve"> </w:t>
      </w:r>
      <w:r>
        <w:t>plan</w:t>
      </w:r>
      <w:r w:rsidRPr="00C92853">
        <w:t xml:space="preserve"> </w:t>
      </w:r>
      <w:r>
        <w:t>must</w:t>
      </w:r>
      <w:r w:rsidRPr="00C92853">
        <w:t xml:space="preserve"> </w:t>
      </w:r>
      <w:r>
        <w:t>cover</w:t>
      </w:r>
      <w:r w:rsidRPr="00C92853">
        <w:t xml:space="preserve"> </w:t>
      </w:r>
      <w:r>
        <w:t>the</w:t>
      </w:r>
      <w:r w:rsidRPr="00C92853">
        <w:t xml:space="preserve"> </w:t>
      </w:r>
      <w:r>
        <w:t>entirety</w:t>
      </w:r>
      <w:r w:rsidRPr="00C92853">
        <w:t xml:space="preserve"> </w:t>
      </w:r>
      <w:r>
        <w:t>of</w:t>
      </w:r>
      <w:r w:rsidRPr="00C92853">
        <w:t xml:space="preserve"> </w:t>
      </w:r>
      <w:r>
        <w:t>the</w:t>
      </w:r>
      <w:r w:rsidRPr="00C92853">
        <w:t xml:space="preserve"> </w:t>
      </w:r>
      <w:r>
        <w:t>institution</w:t>
      </w:r>
      <w:r w:rsidRPr="00C92853">
        <w:t xml:space="preserve"> </w:t>
      </w:r>
      <w:r>
        <w:t>and</w:t>
      </w:r>
      <w:r w:rsidRPr="00C92853">
        <w:t xml:space="preserve"> </w:t>
      </w:r>
      <w:r>
        <w:t>be</w:t>
      </w:r>
      <w:r w:rsidRPr="00C92853">
        <w:t xml:space="preserve"> </w:t>
      </w:r>
      <w:r>
        <w:t>approved</w:t>
      </w:r>
      <w:r w:rsidRPr="00C92853">
        <w:t xml:space="preserve"> by </w:t>
      </w:r>
      <w:r>
        <w:t xml:space="preserve">the </w:t>
      </w:r>
      <w:r w:rsidRPr="00B902F7">
        <w:t>Board</w:t>
      </w:r>
      <w:r>
        <w:t>.</w:t>
      </w:r>
      <w:bookmarkEnd w:id="45"/>
    </w:p>
    <w:p w14:paraId="5E91FA5C" w14:textId="77777777" w:rsidR="00DF2FBC" w:rsidRDefault="00DF2FBC" w:rsidP="00DF2FBC">
      <w:pPr>
        <w:pStyle w:val="BodyText1"/>
      </w:pPr>
      <w:r>
        <w:t>An</w:t>
      </w:r>
      <w:r w:rsidRPr="00C92853">
        <w:t xml:space="preserve"> </w:t>
      </w:r>
      <w:r>
        <w:t>APRA-regulated</w:t>
      </w:r>
      <w:r w:rsidRPr="00C92853">
        <w:t xml:space="preserve"> </w:t>
      </w:r>
      <w:r>
        <w:t>institution</w:t>
      </w:r>
      <w:r w:rsidRPr="00C92853">
        <w:t xml:space="preserve"> </w:t>
      </w:r>
      <w:r>
        <w:t>must</w:t>
      </w:r>
      <w:r w:rsidRPr="00C92853">
        <w:t xml:space="preserve"> </w:t>
      </w:r>
      <w:r>
        <w:t>identify</w:t>
      </w:r>
      <w:r w:rsidRPr="00C92853">
        <w:t xml:space="preserve"> </w:t>
      </w:r>
      <w:r>
        <w:t>and</w:t>
      </w:r>
      <w:r w:rsidRPr="00C92853">
        <w:t xml:space="preserve"> </w:t>
      </w:r>
      <w:r>
        <w:t>consider</w:t>
      </w:r>
      <w:r w:rsidRPr="00C92853">
        <w:t xml:space="preserve"> </w:t>
      </w:r>
      <w:r>
        <w:t>the</w:t>
      </w:r>
      <w:r w:rsidRPr="00C92853">
        <w:t xml:space="preserve"> </w:t>
      </w:r>
      <w:r>
        <w:t>material</w:t>
      </w:r>
      <w:r w:rsidRPr="00C92853">
        <w:t xml:space="preserve"> </w:t>
      </w:r>
      <w:r>
        <w:t>risks</w:t>
      </w:r>
      <w:r w:rsidRPr="00C92853">
        <w:t xml:space="preserve"> </w:t>
      </w:r>
      <w:r>
        <w:t>associated</w:t>
      </w:r>
      <w:r w:rsidRPr="00C92853">
        <w:t xml:space="preserve"> </w:t>
      </w:r>
      <w:r>
        <w:t>with</w:t>
      </w:r>
      <w:r w:rsidRPr="00C92853">
        <w:t xml:space="preserve"> </w:t>
      </w:r>
      <w:r>
        <w:t>the institution’s</w:t>
      </w:r>
      <w:r w:rsidRPr="00C92853">
        <w:t xml:space="preserve"> </w:t>
      </w:r>
      <w:r>
        <w:t>strategic</w:t>
      </w:r>
      <w:r w:rsidRPr="00C92853">
        <w:t xml:space="preserve"> </w:t>
      </w:r>
      <w:r>
        <w:t>objectives</w:t>
      </w:r>
      <w:r w:rsidRPr="00C92853">
        <w:t xml:space="preserve"> </w:t>
      </w:r>
      <w:r>
        <w:t>and</w:t>
      </w:r>
      <w:r w:rsidRPr="00C92853">
        <w:t xml:space="preserve"> </w:t>
      </w:r>
      <w:r>
        <w:t>business</w:t>
      </w:r>
      <w:r w:rsidRPr="00C92853">
        <w:t xml:space="preserve"> </w:t>
      </w:r>
      <w:r>
        <w:t>plan,</w:t>
      </w:r>
      <w:r w:rsidRPr="00C92853">
        <w:t xml:space="preserve"> </w:t>
      </w:r>
      <w:r>
        <w:t>and</w:t>
      </w:r>
      <w:r w:rsidRPr="00C92853">
        <w:t xml:space="preserve"> </w:t>
      </w:r>
      <w:r>
        <w:t>must</w:t>
      </w:r>
      <w:r w:rsidRPr="00C92853">
        <w:t xml:space="preserve"> </w:t>
      </w:r>
      <w:r>
        <w:t>explicitly</w:t>
      </w:r>
      <w:r w:rsidRPr="00C92853">
        <w:t xml:space="preserve"> </w:t>
      </w:r>
      <w:r>
        <w:t>manage</w:t>
      </w:r>
      <w:r w:rsidRPr="00C92853">
        <w:t xml:space="preserve"> </w:t>
      </w:r>
      <w:r>
        <w:t>these</w:t>
      </w:r>
      <w:r w:rsidRPr="00C92853">
        <w:t xml:space="preserve"> </w:t>
      </w:r>
      <w:r>
        <w:t>risks</w:t>
      </w:r>
      <w:r w:rsidRPr="00C92853">
        <w:t xml:space="preserve"> </w:t>
      </w:r>
      <w:r>
        <w:t>through</w:t>
      </w:r>
      <w:r w:rsidRPr="00C92853">
        <w:t xml:space="preserve"> </w:t>
      </w:r>
      <w:r>
        <w:t>the</w:t>
      </w:r>
      <w:r w:rsidRPr="00C92853">
        <w:t xml:space="preserve"> </w:t>
      </w:r>
      <w:r>
        <w:t>risk</w:t>
      </w:r>
      <w:r w:rsidRPr="00C92853">
        <w:t xml:space="preserve"> </w:t>
      </w:r>
      <w:r>
        <w:t>management</w:t>
      </w:r>
      <w:r w:rsidRPr="00C92853">
        <w:t xml:space="preserve"> </w:t>
      </w:r>
      <w:r>
        <w:t>framework,</w:t>
      </w:r>
      <w:r w:rsidRPr="00C92853">
        <w:t xml:space="preserve"> </w:t>
      </w:r>
      <w:r>
        <w:t>including</w:t>
      </w:r>
      <w:r w:rsidRPr="00C92853">
        <w:t xml:space="preserve"> </w:t>
      </w:r>
      <w:r>
        <w:t>how</w:t>
      </w:r>
      <w:r w:rsidRPr="00C92853">
        <w:t xml:space="preserve"> </w:t>
      </w:r>
      <w:r>
        <w:t>changing</w:t>
      </w:r>
      <w:r w:rsidRPr="00C92853">
        <w:t xml:space="preserve"> </w:t>
      </w:r>
      <w:r>
        <w:t>these</w:t>
      </w:r>
      <w:r w:rsidRPr="00C92853">
        <w:t xml:space="preserve"> </w:t>
      </w:r>
      <w:r>
        <w:t>plans</w:t>
      </w:r>
      <w:r w:rsidRPr="00C92853">
        <w:t xml:space="preserve"> </w:t>
      </w:r>
      <w:r>
        <w:t>affects  the institution’s  risk profile.</w:t>
      </w:r>
    </w:p>
    <w:p w14:paraId="213E7377" w14:textId="77777777" w:rsidR="00DF2FBC" w:rsidRDefault="00DF2FBC" w:rsidP="0009406F">
      <w:pPr>
        <w:pStyle w:val="BodyText1"/>
      </w:pPr>
      <w:bookmarkStart w:id="46" w:name="_Ref352069033"/>
      <w:r>
        <w:t>The</w:t>
      </w:r>
      <w:r w:rsidRPr="00C92853">
        <w:t xml:space="preserve"> </w:t>
      </w:r>
      <w:r>
        <w:t>requirement</w:t>
      </w:r>
      <w:r w:rsidRPr="00C92853">
        <w:t xml:space="preserve"> </w:t>
      </w:r>
      <w:r>
        <w:t>for a</w:t>
      </w:r>
      <w:r w:rsidRPr="00C92853">
        <w:t xml:space="preserve"> </w:t>
      </w:r>
      <w:r>
        <w:t>business</w:t>
      </w:r>
      <w:r w:rsidRPr="00C92853">
        <w:t xml:space="preserve"> </w:t>
      </w:r>
      <w:r>
        <w:t>plan</w:t>
      </w:r>
      <w:r w:rsidRPr="00C92853">
        <w:t xml:space="preserve"> </w:t>
      </w:r>
      <w:r>
        <w:t>does</w:t>
      </w:r>
      <w:r w:rsidRPr="00C92853">
        <w:t xml:space="preserve"> </w:t>
      </w:r>
      <w:r>
        <w:t>not</w:t>
      </w:r>
      <w:r w:rsidRPr="00C92853">
        <w:t xml:space="preserve"> </w:t>
      </w:r>
      <w:r>
        <w:t>apply</w:t>
      </w:r>
      <w:r w:rsidRPr="00C92853">
        <w:t xml:space="preserve"> </w:t>
      </w:r>
      <w:r>
        <w:t>to a</w:t>
      </w:r>
      <w:r w:rsidRPr="00C92853">
        <w:t xml:space="preserve"> </w:t>
      </w:r>
      <w:r>
        <w:rPr>
          <w:b/>
        </w:rPr>
        <w:t xml:space="preserve">run-off </w:t>
      </w:r>
      <w:r w:rsidRPr="00B54B2C">
        <w:rPr>
          <w:b/>
        </w:rPr>
        <w:t>insurer</w:t>
      </w:r>
      <w:r>
        <w:t xml:space="preserve"> </w:t>
      </w:r>
      <w:r w:rsidRPr="00B54B2C">
        <w:t xml:space="preserve">provided </w:t>
      </w:r>
      <w:r>
        <w:t xml:space="preserve">that the </w:t>
      </w:r>
      <w:r w:rsidRPr="00B54B2C">
        <w:t>run-off</w:t>
      </w:r>
      <w:r>
        <w:t xml:space="preserve"> </w:t>
      </w:r>
      <w:r w:rsidRPr="00B54B2C">
        <w:t>insurer complies</w:t>
      </w:r>
      <w:r>
        <w:t xml:space="preserve"> </w:t>
      </w:r>
      <w:r w:rsidRPr="00B54B2C">
        <w:t>with</w:t>
      </w:r>
      <w:r>
        <w:t xml:space="preserve"> </w:t>
      </w:r>
      <w:r w:rsidRPr="00B54B2C">
        <w:rPr>
          <w:rFonts w:eastAsia="Calibri"/>
          <w:i/>
        </w:rPr>
        <w:t xml:space="preserve">Prudential Standard </w:t>
      </w:r>
      <w:r w:rsidRPr="00B54B2C">
        <w:rPr>
          <w:i/>
        </w:rPr>
        <w:t>GPS 110</w:t>
      </w:r>
      <w:r w:rsidRPr="00B54B2C">
        <w:rPr>
          <w:rFonts w:eastAsia="Calibri"/>
          <w:i/>
        </w:rPr>
        <w:t xml:space="preserve"> Capital Adequacy</w:t>
      </w:r>
      <w:r>
        <w:t>.</w:t>
      </w:r>
      <w:bookmarkEnd w:id="46"/>
    </w:p>
    <w:p w14:paraId="73E0601D" w14:textId="77777777" w:rsidR="00DF2FBC" w:rsidRDefault="00DF2FBC" w:rsidP="00DF2FBC">
      <w:pPr>
        <w:pStyle w:val="Heading1"/>
      </w:pPr>
      <w:bookmarkStart w:id="47" w:name="_Toc454537700"/>
      <w:r>
        <w:t>Policies</w:t>
      </w:r>
      <w:r>
        <w:rPr>
          <w:spacing w:val="-2"/>
        </w:rPr>
        <w:t xml:space="preserve"> </w:t>
      </w:r>
      <w:r>
        <w:t>and procedures</w:t>
      </w:r>
      <w:bookmarkEnd w:id="47"/>
    </w:p>
    <w:p w14:paraId="01D4281C" w14:textId="77777777" w:rsidR="00DF2FBC" w:rsidRDefault="00DF2FBC" w:rsidP="00DF2FBC">
      <w:pPr>
        <w:pStyle w:val="BodyText1"/>
      </w:pPr>
      <w:r>
        <w:t>The</w:t>
      </w:r>
      <w:r w:rsidRPr="00C92853">
        <w:t xml:space="preserve"> </w:t>
      </w:r>
      <w:r>
        <w:t xml:space="preserve">policies and procedures required under subparagraph </w:t>
      </w:r>
      <w:r>
        <w:fldChar w:fldCharType="begin"/>
      </w:r>
      <w:r>
        <w:instrText xml:space="preserve"> REF _Ref349830611 \r \h  \* MERGEFORMAT </w:instrText>
      </w:r>
      <w:r>
        <w:fldChar w:fldCharType="separate"/>
      </w:r>
      <w:r w:rsidR="00AA5CFE">
        <w:t>30(b)</w:t>
      </w:r>
      <w:r>
        <w:fldChar w:fldCharType="end"/>
      </w:r>
      <w:r w:rsidRPr="00C92853">
        <w:t xml:space="preserve"> </w:t>
      </w:r>
      <w:r>
        <w:t>must</w:t>
      </w:r>
      <w:r w:rsidRPr="00C92853">
        <w:t xml:space="preserve"> </w:t>
      </w:r>
      <w:r>
        <w:t>include:</w:t>
      </w:r>
    </w:p>
    <w:p w14:paraId="4313591E" w14:textId="77777777" w:rsidR="00DF2FBC" w:rsidRPr="002E7425" w:rsidRDefault="00DF2FBC" w:rsidP="004E403B">
      <w:pPr>
        <w:pStyle w:val="BodyText2"/>
        <w:tabs>
          <w:tab w:val="clear" w:pos="1560"/>
          <w:tab w:val="num" w:pos="1134"/>
        </w:tabs>
        <w:ind w:left="1134"/>
      </w:pPr>
      <w:r>
        <w:t xml:space="preserve">the </w:t>
      </w:r>
      <w:r w:rsidRPr="002E7425">
        <w:t>process for identifying and assessing material risks and controls;</w:t>
      </w:r>
    </w:p>
    <w:p w14:paraId="584EAE6A" w14:textId="77777777" w:rsidR="00DF2FBC" w:rsidRPr="002E7425" w:rsidRDefault="00DF2FBC" w:rsidP="004E403B">
      <w:pPr>
        <w:pStyle w:val="BodyText2"/>
        <w:tabs>
          <w:tab w:val="clear" w:pos="1560"/>
          <w:tab w:val="num" w:pos="1134"/>
        </w:tabs>
        <w:ind w:left="1134"/>
      </w:pPr>
      <w:r w:rsidRPr="002E7425">
        <w:t>the process for the validation, approval and use of any models to measure components of risk;</w:t>
      </w:r>
    </w:p>
    <w:p w14:paraId="5D85F32B" w14:textId="77777777" w:rsidR="00DF2FBC" w:rsidRPr="002E7425" w:rsidRDefault="00DF2FBC" w:rsidP="004E403B">
      <w:pPr>
        <w:pStyle w:val="BodyText2"/>
        <w:tabs>
          <w:tab w:val="clear" w:pos="1560"/>
          <w:tab w:val="num" w:pos="1134"/>
        </w:tabs>
        <w:ind w:left="1134"/>
      </w:pPr>
      <w:r w:rsidRPr="002E7425">
        <w:t>the process for establishing, implementing and testing mitigation strategies and control mechanisms for material risks;</w:t>
      </w:r>
    </w:p>
    <w:p w14:paraId="76CEB094" w14:textId="77777777" w:rsidR="00DF2FBC" w:rsidRPr="002E7425" w:rsidRDefault="00DF2FBC" w:rsidP="004E403B">
      <w:pPr>
        <w:pStyle w:val="BodyText2"/>
        <w:tabs>
          <w:tab w:val="clear" w:pos="1560"/>
          <w:tab w:val="num" w:pos="1134"/>
        </w:tabs>
        <w:ind w:left="1134"/>
      </w:pPr>
      <w:r w:rsidRPr="002E7425">
        <w:t>the process for monitoring, communicating and reporting risk issues, including escalation procedures for the reporting of material events and incidents;</w:t>
      </w:r>
    </w:p>
    <w:p w14:paraId="7259168C" w14:textId="77777777" w:rsidR="00DF2FBC" w:rsidRPr="002E7425" w:rsidRDefault="00DF2FBC" w:rsidP="004E403B">
      <w:pPr>
        <w:pStyle w:val="BodyText2"/>
        <w:tabs>
          <w:tab w:val="clear" w:pos="1560"/>
          <w:tab w:val="num" w:pos="1134"/>
        </w:tabs>
        <w:ind w:left="1134"/>
      </w:pPr>
      <w:r w:rsidRPr="002E7425">
        <w:t>the process for identifying, monitoring and managing potential and actual conflicts of interest;</w:t>
      </w:r>
    </w:p>
    <w:p w14:paraId="5EC2F191" w14:textId="77777777" w:rsidR="00DF2FBC" w:rsidRPr="002E7425" w:rsidRDefault="00DF2FBC" w:rsidP="004E403B">
      <w:pPr>
        <w:pStyle w:val="BodyText2"/>
        <w:tabs>
          <w:tab w:val="clear" w:pos="1560"/>
          <w:tab w:val="num" w:pos="1134"/>
        </w:tabs>
        <w:ind w:left="1134"/>
      </w:pPr>
      <w:r w:rsidRPr="002E7425">
        <w:t>the mechanisms in place for monitoring and ensuring ongoing compliance with all prudential requirements</w:t>
      </w:r>
      <w:r w:rsidRPr="002E7425">
        <w:rPr>
          <w:rStyle w:val="FootnoteReference"/>
        </w:rPr>
        <w:footnoteReference w:id="8"/>
      </w:r>
      <w:r w:rsidRPr="002E7425">
        <w:t>;</w:t>
      </w:r>
    </w:p>
    <w:p w14:paraId="77BA397D" w14:textId="77777777" w:rsidR="00DF2FBC" w:rsidRPr="0047482A" w:rsidRDefault="00DF2FBC" w:rsidP="004E403B">
      <w:pPr>
        <w:pStyle w:val="BodyText2"/>
        <w:tabs>
          <w:tab w:val="clear" w:pos="1560"/>
          <w:tab w:val="num" w:pos="1134"/>
        </w:tabs>
        <w:ind w:left="1134"/>
      </w:pPr>
      <w:r w:rsidRPr="002E7425">
        <w:t>the process for ensuring consistency across the risk management framework, including</w:t>
      </w:r>
      <w:r w:rsidRPr="0047482A">
        <w:t xml:space="preserve"> </w:t>
      </w:r>
      <w:r>
        <w:t>the</w:t>
      </w:r>
      <w:r w:rsidRPr="0047482A">
        <w:t xml:space="preserve"> components</w:t>
      </w:r>
      <w:r>
        <w:t xml:space="preserve"> </w:t>
      </w:r>
      <w:r w:rsidRPr="0047482A">
        <w:t>identified</w:t>
      </w:r>
      <w:r>
        <w:t xml:space="preserve"> under </w:t>
      </w:r>
      <w:r w:rsidRPr="0047482A">
        <w:t xml:space="preserve">paragraph </w:t>
      </w:r>
      <w:r w:rsidR="00AC730E">
        <w:t>2</w:t>
      </w:r>
      <w:r w:rsidR="000C52E7">
        <w:t>3</w:t>
      </w:r>
      <w:r>
        <w:t>;</w:t>
      </w:r>
    </w:p>
    <w:p w14:paraId="3E3C6D3E" w14:textId="77777777" w:rsidR="00DF2FBC" w:rsidRDefault="00DF2FBC" w:rsidP="004E403B">
      <w:pPr>
        <w:pStyle w:val="BodyText2"/>
        <w:tabs>
          <w:tab w:val="clear" w:pos="1560"/>
          <w:tab w:val="num" w:pos="1134"/>
        </w:tabs>
        <w:ind w:left="1134"/>
      </w:pPr>
      <w:r>
        <w:t>the</w:t>
      </w:r>
      <w:r w:rsidRPr="0047482A">
        <w:t xml:space="preserve"> process </w:t>
      </w:r>
      <w:r>
        <w:t>for</w:t>
      </w:r>
      <w:r w:rsidRPr="0047482A">
        <w:t xml:space="preserve"> </w:t>
      </w:r>
      <w:r>
        <w:t>establishing</w:t>
      </w:r>
      <w:r w:rsidRPr="0047482A">
        <w:t xml:space="preserve"> and </w:t>
      </w:r>
      <w:r>
        <w:t>maintaining</w:t>
      </w:r>
      <w:r w:rsidRPr="0047482A">
        <w:t xml:space="preserve"> appropriate </w:t>
      </w:r>
      <w:r>
        <w:t>contingency</w:t>
      </w:r>
      <w:r w:rsidRPr="0047482A">
        <w:t xml:space="preserve"> arrangements </w:t>
      </w:r>
      <w:r>
        <w:t>(including</w:t>
      </w:r>
      <w:r w:rsidRPr="0047482A">
        <w:t xml:space="preserve"> </w:t>
      </w:r>
      <w:r>
        <w:t>robust</w:t>
      </w:r>
      <w:r w:rsidRPr="0047482A">
        <w:t xml:space="preserve"> and credible </w:t>
      </w:r>
      <w:r>
        <w:t>recovery</w:t>
      </w:r>
      <w:r w:rsidRPr="0047482A">
        <w:t xml:space="preserve"> </w:t>
      </w:r>
      <w:r>
        <w:t>plans</w:t>
      </w:r>
      <w:r w:rsidRPr="0047482A">
        <w:t xml:space="preserve"> </w:t>
      </w:r>
      <w:r>
        <w:t>where</w:t>
      </w:r>
      <w:r w:rsidRPr="0047482A">
        <w:t xml:space="preserve"> warranted) </w:t>
      </w:r>
      <w:r>
        <w:t>for</w:t>
      </w:r>
      <w:r w:rsidRPr="0047482A">
        <w:t xml:space="preserve"> </w:t>
      </w:r>
      <w:r>
        <w:t>the</w:t>
      </w:r>
      <w:r w:rsidRPr="0047482A">
        <w:t xml:space="preserve"> operation </w:t>
      </w:r>
      <w:r>
        <w:t>of</w:t>
      </w:r>
      <w:r w:rsidRPr="0047482A">
        <w:t xml:space="preserve"> </w:t>
      </w:r>
      <w:r>
        <w:t>the</w:t>
      </w:r>
      <w:r w:rsidRPr="0047482A">
        <w:t xml:space="preserve"> </w:t>
      </w:r>
      <w:r>
        <w:t>risk</w:t>
      </w:r>
      <w:r w:rsidRPr="0047482A">
        <w:t xml:space="preserve"> management </w:t>
      </w:r>
      <w:r>
        <w:t>framework</w:t>
      </w:r>
      <w:r w:rsidRPr="0047482A">
        <w:t xml:space="preserve"> </w:t>
      </w:r>
      <w:r>
        <w:t>in</w:t>
      </w:r>
      <w:r w:rsidRPr="0047482A">
        <w:t xml:space="preserve"> stressed</w:t>
      </w:r>
      <w:r>
        <w:t xml:space="preserve"> </w:t>
      </w:r>
      <w:r w:rsidRPr="0047482A">
        <w:t>conditions; and</w:t>
      </w:r>
    </w:p>
    <w:p w14:paraId="2F37AEAE" w14:textId="77777777" w:rsidR="00DF2FBC" w:rsidRDefault="00DF2FBC" w:rsidP="004E403B">
      <w:pPr>
        <w:pStyle w:val="BodyText2"/>
        <w:tabs>
          <w:tab w:val="clear" w:pos="1560"/>
          <w:tab w:val="num" w:pos="1134"/>
        </w:tabs>
        <w:ind w:left="1134"/>
      </w:pPr>
      <w:r>
        <w:t>the process</w:t>
      </w:r>
      <w:r w:rsidRPr="0047482A">
        <w:t xml:space="preserve"> </w:t>
      </w:r>
      <w:r>
        <w:t>for review of</w:t>
      </w:r>
      <w:r w:rsidRPr="0047482A">
        <w:t xml:space="preserve"> </w:t>
      </w:r>
      <w:r>
        <w:t>the risk management framework.</w:t>
      </w:r>
    </w:p>
    <w:p w14:paraId="063503CF" w14:textId="77777777" w:rsidR="00DF2FBC" w:rsidRDefault="00DF2FBC" w:rsidP="00DF2FBC">
      <w:pPr>
        <w:pStyle w:val="BodyText1"/>
      </w:pPr>
      <w:r>
        <w:t>An</w:t>
      </w:r>
      <w:r w:rsidRPr="00C92853">
        <w:t xml:space="preserve"> </w:t>
      </w:r>
      <w:r>
        <w:t>APRA-regulated</w:t>
      </w:r>
      <w:r w:rsidRPr="00C92853">
        <w:t xml:space="preserve"> </w:t>
      </w:r>
      <w:r>
        <w:t>institution</w:t>
      </w:r>
      <w:r w:rsidRPr="00C92853">
        <w:t xml:space="preserve"> </w:t>
      </w:r>
      <w:r>
        <w:t>must</w:t>
      </w:r>
      <w:r w:rsidRPr="00C92853">
        <w:t xml:space="preserve"> </w:t>
      </w:r>
      <w:r>
        <w:t>monitor</w:t>
      </w:r>
      <w:r w:rsidRPr="00C92853">
        <w:t xml:space="preserve"> </w:t>
      </w:r>
      <w:r>
        <w:t>the date</w:t>
      </w:r>
      <w:r w:rsidRPr="00C92853">
        <w:t xml:space="preserve"> </w:t>
      </w:r>
      <w:r>
        <w:t>when each</w:t>
      </w:r>
      <w:r w:rsidRPr="00C92853">
        <w:t xml:space="preserve"> </w:t>
      </w:r>
      <w:r>
        <w:t>policy</w:t>
      </w:r>
      <w:r w:rsidRPr="00C92853">
        <w:t xml:space="preserve"> </w:t>
      </w:r>
      <w:r>
        <w:t>or</w:t>
      </w:r>
      <w:r w:rsidRPr="00C92853">
        <w:t xml:space="preserve"> </w:t>
      </w:r>
      <w:r>
        <w:t>procedure</w:t>
      </w:r>
      <w:r w:rsidRPr="00C92853">
        <w:t xml:space="preserve"> </w:t>
      </w:r>
      <w:r>
        <w:t>was</w:t>
      </w:r>
      <w:r w:rsidRPr="00C92853">
        <w:t xml:space="preserve"> </w:t>
      </w:r>
      <w:r>
        <w:t>last</w:t>
      </w:r>
      <w:r w:rsidRPr="00C92853">
        <w:t xml:space="preserve"> </w:t>
      </w:r>
      <w:r>
        <w:t>revised,</w:t>
      </w:r>
      <w:r w:rsidRPr="00C92853">
        <w:t xml:space="preserve"> </w:t>
      </w:r>
      <w:r>
        <w:t>the</w:t>
      </w:r>
      <w:r w:rsidRPr="00C92853">
        <w:t xml:space="preserve"> </w:t>
      </w:r>
      <w:r>
        <w:t>date</w:t>
      </w:r>
      <w:r w:rsidRPr="00C92853">
        <w:t xml:space="preserve"> </w:t>
      </w:r>
      <w:r>
        <w:t>that</w:t>
      </w:r>
      <w:r w:rsidRPr="00C92853">
        <w:t xml:space="preserve"> </w:t>
      </w:r>
      <w:r>
        <w:t>it</w:t>
      </w:r>
      <w:r w:rsidRPr="00C92853">
        <w:t xml:space="preserve"> </w:t>
      </w:r>
      <w:r>
        <w:t>is</w:t>
      </w:r>
      <w:r w:rsidRPr="00C92853">
        <w:t xml:space="preserve"> next </w:t>
      </w:r>
      <w:r>
        <w:t>due</w:t>
      </w:r>
      <w:r w:rsidRPr="00C92853">
        <w:t xml:space="preserve"> </w:t>
      </w:r>
      <w:r>
        <w:t>for</w:t>
      </w:r>
      <w:r w:rsidRPr="00C92853">
        <w:t xml:space="preserve"> </w:t>
      </w:r>
      <w:r>
        <w:t>review,</w:t>
      </w:r>
      <w:r w:rsidRPr="00C92853">
        <w:t xml:space="preserve"> </w:t>
      </w:r>
      <w:r>
        <w:t>and</w:t>
      </w:r>
      <w:r w:rsidRPr="00C92853">
        <w:t xml:space="preserve"> </w:t>
      </w:r>
      <w:r>
        <w:t>who</w:t>
      </w:r>
      <w:r w:rsidRPr="00C92853">
        <w:t xml:space="preserve"> </w:t>
      </w:r>
      <w:r>
        <w:t>is</w:t>
      </w:r>
      <w:r w:rsidRPr="00C92853">
        <w:t xml:space="preserve"> </w:t>
      </w:r>
      <w:r>
        <w:t>responsible for the</w:t>
      </w:r>
      <w:r w:rsidRPr="00C92853">
        <w:t xml:space="preserve"> </w:t>
      </w:r>
      <w:r>
        <w:t>review.</w:t>
      </w:r>
    </w:p>
    <w:p w14:paraId="3ADFD153" w14:textId="77777777" w:rsidR="00DF2FBC" w:rsidRDefault="00DF2FBC" w:rsidP="00DF2FBC">
      <w:pPr>
        <w:pStyle w:val="Heading1"/>
      </w:pPr>
      <w:bookmarkStart w:id="48" w:name="_Toc454537701"/>
      <w:r>
        <w:t>Risk management function</w:t>
      </w:r>
      <w:bookmarkEnd w:id="48"/>
    </w:p>
    <w:p w14:paraId="376E2EAD" w14:textId="77777777" w:rsidR="00DF2FBC" w:rsidRDefault="00DF2FBC" w:rsidP="00DF2FBC">
      <w:pPr>
        <w:pStyle w:val="BodyText1"/>
      </w:pPr>
      <w:bookmarkStart w:id="49" w:name="_bookmark4"/>
      <w:bookmarkStart w:id="50" w:name="_Ref443042130"/>
      <w:bookmarkStart w:id="51" w:name="_Ref314637997"/>
      <w:bookmarkEnd w:id="49"/>
      <w:r>
        <w:t>An</w:t>
      </w:r>
      <w:r w:rsidRPr="00C92853">
        <w:t xml:space="preserve"> </w:t>
      </w:r>
      <w:r>
        <w:t>APRA-regulated</w:t>
      </w:r>
      <w:r w:rsidRPr="00C92853">
        <w:t xml:space="preserve"> </w:t>
      </w:r>
      <w:r>
        <w:t>institution</w:t>
      </w:r>
      <w:r w:rsidRPr="00C92853">
        <w:t xml:space="preserve"> </w:t>
      </w:r>
      <w:r>
        <w:t>must</w:t>
      </w:r>
      <w:r w:rsidRPr="00C92853">
        <w:t xml:space="preserve"> </w:t>
      </w:r>
      <w:r>
        <w:t>have</w:t>
      </w:r>
      <w:r w:rsidRPr="00C92853">
        <w:t xml:space="preserve"> </w:t>
      </w:r>
      <w:r>
        <w:t>a</w:t>
      </w:r>
      <w:r w:rsidRPr="00C92853">
        <w:t xml:space="preserve"> </w:t>
      </w:r>
      <w:r>
        <w:t>designated</w:t>
      </w:r>
      <w:r w:rsidRPr="00C92853">
        <w:t xml:space="preserve"> </w:t>
      </w:r>
      <w:r>
        <w:t>risk</w:t>
      </w:r>
      <w:r w:rsidRPr="00C92853">
        <w:t xml:space="preserve"> </w:t>
      </w:r>
      <w:r>
        <w:t>management</w:t>
      </w:r>
      <w:r w:rsidRPr="00C92853">
        <w:t xml:space="preserve"> </w:t>
      </w:r>
      <w:r>
        <w:t xml:space="preserve">function for the institution </w:t>
      </w:r>
      <w:bookmarkStart w:id="52" w:name="_Ref443050644"/>
      <w:bookmarkEnd w:id="50"/>
      <w:r>
        <w:t>that, at a minimum:</w:t>
      </w:r>
      <w:bookmarkEnd w:id="51"/>
      <w:bookmarkEnd w:id="52"/>
    </w:p>
    <w:p w14:paraId="19016E4E" w14:textId="77777777" w:rsidR="00DF2FBC" w:rsidRDefault="00DF2FBC" w:rsidP="004E403B">
      <w:pPr>
        <w:pStyle w:val="BodyText2"/>
        <w:tabs>
          <w:tab w:val="clear" w:pos="1560"/>
          <w:tab w:val="num" w:pos="1134"/>
        </w:tabs>
        <w:ind w:left="1134"/>
      </w:pPr>
      <w:r>
        <w:t>is</w:t>
      </w:r>
      <w:r w:rsidRPr="0047482A">
        <w:t xml:space="preserve"> </w:t>
      </w:r>
      <w:r>
        <w:t>responsible</w:t>
      </w:r>
      <w:r w:rsidRPr="0047482A">
        <w:t xml:space="preserve"> </w:t>
      </w:r>
      <w:r>
        <w:t>for</w:t>
      </w:r>
      <w:r w:rsidRPr="0047482A">
        <w:t xml:space="preserve"> </w:t>
      </w:r>
      <w:r>
        <w:t>assisting</w:t>
      </w:r>
      <w:r w:rsidRPr="0047482A">
        <w:t xml:space="preserve"> </w:t>
      </w:r>
      <w:r>
        <w:t>the</w:t>
      </w:r>
      <w:r w:rsidRPr="0047482A">
        <w:t xml:space="preserve"> </w:t>
      </w:r>
      <w:r w:rsidRPr="00B902F7">
        <w:t>Board</w:t>
      </w:r>
      <w:r>
        <w:t xml:space="preserve"> of the APRA-regulated institution,</w:t>
      </w:r>
      <w:r w:rsidRPr="0047482A">
        <w:t xml:space="preserve"> </w:t>
      </w:r>
      <w:r>
        <w:t>board</w:t>
      </w:r>
      <w:r w:rsidRPr="0047482A">
        <w:t xml:space="preserve"> </w:t>
      </w:r>
      <w:r>
        <w:t>committees</w:t>
      </w:r>
      <w:r w:rsidRPr="0047482A">
        <w:t xml:space="preserve"> </w:t>
      </w:r>
      <w:r>
        <w:t>of the APRA-regulated institution and</w:t>
      </w:r>
      <w:r w:rsidRPr="0047482A">
        <w:t xml:space="preserve"> </w:t>
      </w:r>
      <w:r>
        <w:t>senior</w:t>
      </w:r>
      <w:r w:rsidRPr="0047482A">
        <w:t xml:space="preserve"> </w:t>
      </w:r>
      <w:r>
        <w:t>management of the institution to  maintain the risk management framework;</w:t>
      </w:r>
    </w:p>
    <w:p w14:paraId="66F15670" w14:textId="77777777" w:rsidR="00DF2FBC" w:rsidRPr="002E7425" w:rsidRDefault="00DF2FBC" w:rsidP="004E403B">
      <w:pPr>
        <w:pStyle w:val="BodyText2"/>
        <w:tabs>
          <w:tab w:val="clear" w:pos="1560"/>
          <w:tab w:val="num" w:pos="1134"/>
        </w:tabs>
        <w:ind w:left="1134"/>
      </w:pPr>
      <w:r>
        <w:t xml:space="preserve">is </w:t>
      </w:r>
      <w:r w:rsidRPr="002E7425">
        <w:t>appropriate to the size, business mix and complexity of the institution;</w:t>
      </w:r>
    </w:p>
    <w:p w14:paraId="538DF80E" w14:textId="77777777" w:rsidR="00DF2FBC" w:rsidRPr="002E7425" w:rsidRDefault="00DF2FBC" w:rsidP="004E403B">
      <w:pPr>
        <w:pStyle w:val="BodyText2"/>
        <w:tabs>
          <w:tab w:val="clear" w:pos="1560"/>
          <w:tab w:val="num" w:pos="1134"/>
        </w:tabs>
        <w:ind w:left="1134"/>
      </w:pPr>
      <w:r w:rsidRPr="002E7425">
        <w:t>is operationally independent;</w:t>
      </w:r>
    </w:p>
    <w:p w14:paraId="0872041C" w14:textId="77777777" w:rsidR="00DF2FBC" w:rsidRPr="002E7425" w:rsidRDefault="00DF2FBC" w:rsidP="004E403B">
      <w:pPr>
        <w:pStyle w:val="BodyText2"/>
        <w:tabs>
          <w:tab w:val="clear" w:pos="1560"/>
          <w:tab w:val="num" w:pos="1134"/>
        </w:tabs>
        <w:ind w:left="1134"/>
      </w:pPr>
      <w:r w:rsidRPr="002E7425">
        <w:t>has the necessary authority and reporting lines to the Board</w:t>
      </w:r>
      <w:r>
        <w:t xml:space="preserve"> of the APRA-regulated institution</w:t>
      </w:r>
      <w:r w:rsidRPr="002E7425">
        <w:t xml:space="preserve">, board committees </w:t>
      </w:r>
      <w:r>
        <w:t>of the APRA-regulated institution</w:t>
      </w:r>
      <w:r w:rsidRPr="002E7425">
        <w:t xml:space="preserve"> and senior management </w:t>
      </w:r>
      <w:r>
        <w:t>of the institution</w:t>
      </w:r>
      <w:r w:rsidRPr="002E7425">
        <w:t xml:space="preserve"> to conduct its risk management activities in an effective and independent manner;</w:t>
      </w:r>
    </w:p>
    <w:p w14:paraId="1914638A" w14:textId="77777777" w:rsidR="00DF2FBC" w:rsidRPr="002E7425" w:rsidRDefault="00DF2FBC" w:rsidP="004E403B">
      <w:pPr>
        <w:pStyle w:val="BodyText2"/>
        <w:tabs>
          <w:tab w:val="clear" w:pos="1560"/>
          <w:tab w:val="num" w:pos="1134"/>
        </w:tabs>
        <w:ind w:left="1134"/>
      </w:pPr>
      <w:r w:rsidRPr="002E7425">
        <w:t>is resourced with staff who have clearly defined roles and responsibilities and who possess appropriate experience and qualifications to exercise those responsibilities;</w:t>
      </w:r>
    </w:p>
    <w:p w14:paraId="3E3B75E8" w14:textId="77777777" w:rsidR="00DF2FBC" w:rsidRPr="002E7425" w:rsidRDefault="00DF2FBC" w:rsidP="004E403B">
      <w:pPr>
        <w:pStyle w:val="BodyText2"/>
        <w:tabs>
          <w:tab w:val="clear" w:pos="1560"/>
          <w:tab w:val="num" w:pos="1134"/>
        </w:tabs>
        <w:ind w:left="1134"/>
      </w:pPr>
      <w:r w:rsidRPr="002E7425">
        <w:t>has access to all aspects of the institution that have the potential to generate material risk, including information technology systems and systems development resources; and</w:t>
      </w:r>
    </w:p>
    <w:p w14:paraId="0A2717C8" w14:textId="77777777" w:rsidR="00DF2FBC" w:rsidRDefault="00DF2FBC" w:rsidP="004E403B">
      <w:pPr>
        <w:pStyle w:val="BodyText2"/>
        <w:tabs>
          <w:tab w:val="clear" w:pos="1560"/>
          <w:tab w:val="num" w:pos="1134"/>
        </w:tabs>
        <w:ind w:left="1134"/>
      </w:pPr>
      <w:r w:rsidRPr="002E7425">
        <w:t>is required to notify the Board of any significant breach of, or material deviation</w:t>
      </w:r>
      <w:r>
        <w:t xml:space="preserve"> from, the risk</w:t>
      </w:r>
      <w:r w:rsidRPr="0047482A">
        <w:t xml:space="preserve"> </w:t>
      </w:r>
      <w:r>
        <w:t>management framework.</w:t>
      </w:r>
    </w:p>
    <w:p w14:paraId="18C8069C" w14:textId="77777777" w:rsidR="00DF2FBC" w:rsidRPr="007953C9" w:rsidRDefault="00DF2FBC" w:rsidP="00DF2FBC">
      <w:pPr>
        <w:pStyle w:val="BodyText1"/>
      </w:pPr>
      <w:r>
        <w:t>An</w:t>
      </w:r>
      <w:r w:rsidRPr="00C92853">
        <w:t xml:space="preserve"> </w:t>
      </w:r>
      <w:r>
        <w:t>APRA-regulated</w:t>
      </w:r>
      <w:r w:rsidRPr="00C92853">
        <w:t xml:space="preserve"> </w:t>
      </w:r>
      <w:r>
        <w:t>institution</w:t>
      </w:r>
      <w:r w:rsidRPr="00C92853">
        <w:t xml:space="preserve"> </w:t>
      </w:r>
      <w:r>
        <w:t>must</w:t>
      </w:r>
      <w:r w:rsidRPr="00C92853">
        <w:t xml:space="preserve"> </w:t>
      </w:r>
      <w:r>
        <w:t>designate</w:t>
      </w:r>
      <w:r w:rsidRPr="00C92853">
        <w:t xml:space="preserve"> </w:t>
      </w:r>
      <w:r>
        <w:t>a</w:t>
      </w:r>
      <w:r w:rsidRPr="00C92853">
        <w:t xml:space="preserve"> </w:t>
      </w:r>
      <w:r>
        <w:t>person</w:t>
      </w:r>
      <w:r w:rsidRPr="00C92853">
        <w:t xml:space="preserve"> </w:t>
      </w:r>
      <w:r>
        <w:t>to</w:t>
      </w:r>
      <w:r w:rsidRPr="00C92853">
        <w:t xml:space="preserve"> </w:t>
      </w:r>
      <w:r>
        <w:t>be</w:t>
      </w:r>
      <w:r w:rsidRPr="00C92853">
        <w:t xml:space="preserve"> </w:t>
      </w:r>
      <w:r>
        <w:t>responsible</w:t>
      </w:r>
      <w:r w:rsidRPr="00C92853">
        <w:t xml:space="preserve"> </w:t>
      </w:r>
      <w:r>
        <w:t>for</w:t>
      </w:r>
      <w:r w:rsidRPr="00C92853">
        <w:t xml:space="preserve"> </w:t>
      </w:r>
      <w:r>
        <w:t>that</w:t>
      </w:r>
      <w:r w:rsidRPr="00C92853">
        <w:t xml:space="preserve"> </w:t>
      </w:r>
      <w:r>
        <w:t>function,</w:t>
      </w:r>
      <w:r w:rsidRPr="00C92853">
        <w:t xml:space="preserve"> </w:t>
      </w:r>
      <w:r>
        <w:t>referred</w:t>
      </w:r>
      <w:r w:rsidRPr="00C92853">
        <w:t xml:space="preserve"> </w:t>
      </w:r>
      <w:r>
        <w:t>to</w:t>
      </w:r>
      <w:r w:rsidRPr="00C92853">
        <w:t xml:space="preserve"> </w:t>
      </w:r>
      <w:r>
        <w:t>in</w:t>
      </w:r>
      <w:r w:rsidRPr="00C92853">
        <w:t xml:space="preserve"> </w:t>
      </w:r>
      <w:r>
        <w:t>this</w:t>
      </w:r>
      <w:r w:rsidRPr="00C92853">
        <w:t xml:space="preserve"> </w:t>
      </w:r>
      <w:r>
        <w:t>standard</w:t>
      </w:r>
      <w:r w:rsidRPr="00C92853">
        <w:t xml:space="preserve"> </w:t>
      </w:r>
      <w:r>
        <w:t>as</w:t>
      </w:r>
      <w:r w:rsidRPr="00C92853">
        <w:t xml:space="preserve"> </w:t>
      </w:r>
      <w:r>
        <w:t>a</w:t>
      </w:r>
      <w:r w:rsidRPr="00C92853">
        <w:t xml:space="preserve"> </w:t>
      </w:r>
      <w:r>
        <w:t>CRO.</w:t>
      </w:r>
      <w:r w:rsidRPr="00C92853">
        <w:t xml:space="preserve"> </w:t>
      </w:r>
      <w:r>
        <w:t>The</w:t>
      </w:r>
      <w:r w:rsidRPr="00C92853">
        <w:t xml:space="preserve"> </w:t>
      </w:r>
      <w:r>
        <w:t>CRO</w:t>
      </w:r>
      <w:r w:rsidRPr="00C92853">
        <w:t xml:space="preserve"> </w:t>
      </w:r>
      <w:r>
        <w:t>must</w:t>
      </w:r>
      <w:r w:rsidRPr="00C92853">
        <w:t xml:space="preserve"> </w:t>
      </w:r>
      <w:r>
        <w:t>be</w:t>
      </w:r>
      <w:r w:rsidRPr="00C92853">
        <w:t xml:space="preserve"> </w:t>
      </w:r>
      <w:r>
        <w:t>involved</w:t>
      </w:r>
      <w:r w:rsidRPr="00C92853">
        <w:t xml:space="preserve"> in, </w:t>
      </w:r>
      <w:r>
        <w:t>and</w:t>
      </w:r>
      <w:r w:rsidRPr="00C92853">
        <w:t xml:space="preserve"> </w:t>
      </w:r>
      <w:r>
        <w:t>have</w:t>
      </w:r>
      <w:r w:rsidRPr="00C92853">
        <w:t xml:space="preserve"> </w:t>
      </w:r>
      <w:r>
        <w:t>the</w:t>
      </w:r>
      <w:r w:rsidRPr="00C92853">
        <w:t xml:space="preserve"> </w:t>
      </w:r>
      <w:r>
        <w:t>authority</w:t>
      </w:r>
      <w:r w:rsidRPr="00C92853">
        <w:t xml:space="preserve"> </w:t>
      </w:r>
      <w:r>
        <w:t>to</w:t>
      </w:r>
      <w:r w:rsidRPr="00C92853">
        <w:t xml:space="preserve"> </w:t>
      </w:r>
      <w:r>
        <w:t>provide effective challenge</w:t>
      </w:r>
      <w:r w:rsidRPr="00C92853">
        <w:t xml:space="preserve"> </w:t>
      </w:r>
      <w:r>
        <w:t>to,</w:t>
      </w:r>
      <w:r w:rsidRPr="00C92853">
        <w:t xml:space="preserve"> </w:t>
      </w:r>
      <w:r>
        <w:t xml:space="preserve">activities and decisions that </w:t>
      </w:r>
      <w:r w:rsidRPr="00C92853">
        <w:t xml:space="preserve">may </w:t>
      </w:r>
      <w:r>
        <w:t>materially affect</w:t>
      </w:r>
      <w:r w:rsidRPr="00C92853">
        <w:t xml:space="preserve"> </w:t>
      </w:r>
      <w:r>
        <w:t>the institution’s risk profile.</w:t>
      </w:r>
    </w:p>
    <w:p w14:paraId="4CB255EE" w14:textId="77777777" w:rsidR="00DF2FBC" w:rsidRDefault="00DF2FBC" w:rsidP="00DF2FBC">
      <w:pPr>
        <w:pStyle w:val="BodyText1"/>
      </w:pPr>
      <w:bookmarkStart w:id="53" w:name="_bookmark5"/>
      <w:bookmarkStart w:id="54" w:name="_Ref372632930"/>
      <w:bookmarkEnd w:id="53"/>
      <w:r>
        <w:t>The</w:t>
      </w:r>
      <w:r w:rsidRPr="00C92853">
        <w:t xml:space="preserve"> </w:t>
      </w:r>
      <w:r>
        <w:t>CRO</w:t>
      </w:r>
      <w:r w:rsidRPr="00C92853">
        <w:t xml:space="preserve"> </w:t>
      </w:r>
      <w:r>
        <w:t>must</w:t>
      </w:r>
      <w:r w:rsidRPr="00C92853">
        <w:t xml:space="preserve"> </w:t>
      </w:r>
      <w:r>
        <w:t>be</w:t>
      </w:r>
      <w:r w:rsidRPr="00C92853">
        <w:t xml:space="preserve"> </w:t>
      </w:r>
      <w:r>
        <w:t>independent</w:t>
      </w:r>
      <w:r w:rsidRPr="00C92853">
        <w:t xml:space="preserve"> </w:t>
      </w:r>
      <w:r>
        <w:t>from</w:t>
      </w:r>
      <w:r w:rsidRPr="00C92853">
        <w:t xml:space="preserve"> </w:t>
      </w:r>
      <w:r>
        <w:t>business</w:t>
      </w:r>
      <w:r w:rsidRPr="00C92853">
        <w:t xml:space="preserve"> </w:t>
      </w:r>
      <w:r>
        <w:t>lines,</w:t>
      </w:r>
      <w:r w:rsidRPr="00C92853">
        <w:t xml:space="preserve"> </w:t>
      </w:r>
      <w:r>
        <w:t>other</w:t>
      </w:r>
      <w:r w:rsidRPr="00C92853">
        <w:t xml:space="preserve"> </w:t>
      </w:r>
      <w:r>
        <w:t>revenue-generating</w:t>
      </w:r>
      <w:r w:rsidRPr="00C92853">
        <w:t xml:space="preserve"> </w:t>
      </w:r>
      <w:r>
        <w:t>responsibilities and the finance function. The CRO must not be the Chief Executive</w:t>
      </w:r>
      <w:r w:rsidRPr="00C92853">
        <w:t xml:space="preserve"> </w:t>
      </w:r>
      <w:r>
        <w:t>Officer</w:t>
      </w:r>
      <w:r w:rsidRPr="00C92853">
        <w:t xml:space="preserve"> </w:t>
      </w:r>
      <w:r>
        <w:t>(CEO),</w:t>
      </w:r>
      <w:r w:rsidRPr="00C92853">
        <w:t xml:space="preserve"> </w:t>
      </w:r>
      <w:r>
        <w:t>Chief</w:t>
      </w:r>
      <w:r w:rsidRPr="00C92853">
        <w:t xml:space="preserve"> </w:t>
      </w:r>
      <w:r>
        <w:t>Financial</w:t>
      </w:r>
      <w:r w:rsidRPr="00C92853">
        <w:t xml:space="preserve"> </w:t>
      </w:r>
      <w:r>
        <w:t>Officer,</w:t>
      </w:r>
      <w:r w:rsidRPr="00C92853">
        <w:t xml:space="preserve"> </w:t>
      </w:r>
      <w:r w:rsidRPr="00164E1B">
        <w:rPr>
          <w:b/>
        </w:rPr>
        <w:t>Appointed Actuary</w:t>
      </w:r>
      <w:r w:rsidRPr="00C92853">
        <w:t xml:space="preserve"> or </w:t>
      </w:r>
      <w:r>
        <w:t>Head</w:t>
      </w:r>
      <w:r w:rsidRPr="00C92853">
        <w:t xml:space="preserve"> </w:t>
      </w:r>
      <w:r>
        <w:t>of</w:t>
      </w:r>
      <w:r w:rsidRPr="00C92853">
        <w:t xml:space="preserve"> </w:t>
      </w:r>
      <w:r>
        <w:t>Internal Audit.</w:t>
      </w:r>
      <w:bookmarkEnd w:id="54"/>
    </w:p>
    <w:p w14:paraId="70975B55" w14:textId="77777777" w:rsidR="00DF2FBC" w:rsidRDefault="00DF2FBC" w:rsidP="00DF2FBC">
      <w:pPr>
        <w:pStyle w:val="BodyText1"/>
      </w:pPr>
      <w:bookmarkStart w:id="55" w:name="_bookmark6"/>
      <w:bookmarkStart w:id="56" w:name="_Ref372632933"/>
      <w:bookmarkEnd w:id="55"/>
      <w:r>
        <w:t>The</w:t>
      </w:r>
      <w:r w:rsidRPr="00C92853">
        <w:t xml:space="preserve"> </w:t>
      </w:r>
      <w:r>
        <w:t>CRO</w:t>
      </w:r>
      <w:r w:rsidRPr="00C92853">
        <w:t xml:space="preserve"> </w:t>
      </w:r>
      <w:r>
        <w:t>must</w:t>
      </w:r>
      <w:r w:rsidRPr="00C92853">
        <w:t xml:space="preserve"> </w:t>
      </w:r>
      <w:r>
        <w:t>have</w:t>
      </w:r>
      <w:r w:rsidRPr="00C92853">
        <w:t xml:space="preserve"> </w:t>
      </w:r>
      <w:r>
        <w:t>a</w:t>
      </w:r>
      <w:r w:rsidRPr="00C92853">
        <w:t xml:space="preserve"> </w:t>
      </w:r>
      <w:r>
        <w:t>direct</w:t>
      </w:r>
      <w:r w:rsidRPr="00C92853">
        <w:t xml:space="preserve"> </w:t>
      </w:r>
      <w:r>
        <w:t>reporting</w:t>
      </w:r>
      <w:r w:rsidRPr="00C92853">
        <w:t xml:space="preserve"> </w:t>
      </w:r>
      <w:r>
        <w:t>line</w:t>
      </w:r>
      <w:r w:rsidRPr="00C92853">
        <w:t xml:space="preserve"> </w:t>
      </w:r>
      <w:r>
        <w:t>to</w:t>
      </w:r>
      <w:r w:rsidRPr="00C92853">
        <w:t xml:space="preserve"> </w:t>
      </w:r>
      <w:r>
        <w:t>the</w:t>
      </w:r>
      <w:r w:rsidRPr="00C92853">
        <w:t xml:space="preserve"> </w:t>
      </w:r>
      <w:r>
        <w:t>CEO,</w:t>
      </w:r>
      <w:r w:rsidRPr="00C92853">
        <w:t xml:space="preserve"> </w:t>
      </w:r>
      <w:r>
        <w:t>and</w:t>
      </w:r>
      <w:r w:rsidRPr="00C92853">
        <w:t xml:space="preserve"> </w:t>
      </w:r>
      <w:r>
        <w:t>have</w:t>
      </w:r>
      <w:r w:rsidRPr="00C92853">
        <w:t xml:space="preserve"> </w:t>
      </w:r>
      <w:r>
        <w:t>regular</w:t>
      </w:r>
      <w:r w:rsidRPr="00C92853">
        <w:t xml:space="preserve"> </w:t>
      </w:r>
      <w:r>
        <w:t>and</w:t>
      </w:r>
      <w:r w:rsidRPr="00C92853">
        <w:t xml:space="preserve"> </w:t>
      </w:r>
      <w:r>
        <w:t>unfettered</w:t>
      </w:r>
      <w:r w:rsidRPr="00C92853">
        <w:t xml:space="preserve"> </w:t>
      </w:r>
      <w:r>
        <w:t>access to the</w:t>
      </w:r>
      <w:r w:rsidRPr="00C92853">
        <w:t xml:space="preserve"> </w:t>
      </w:r>
      <w:r w:rsidRPr="00B902F7">
        <w:t>Board</w:t>
      </w:r>
      <w:r w:rsidRPr="00C92853">
        <w:t xml:space="preserve"> </w:t>
      </w:r>
      <w:r>
        <w:t>and</w:t>
      </w:r>
      <w:r w:rsidRPr="00C92853">
        <w:t xml:space="preserve"> </w:t>
      </w:r>
      <w:r>
        <w:t>the</w:t>
      </w:r>
      <w:r w:rsidRPr="00C92853">
        <w:t xml:space="preserve"> </w:t>
      </w:r>
      <w:r>
        <w:t>Board Risk Committee.</w:t>
      </w:r>
      <w:bookmarkEnd w:id="56"/>
    </w:p>
    <w:p w14:paraId="7997BDD7" w14:textId="77777777" w:rsidR="00DF2FBC" w:rsidRDefault="00DF2FBC" w:rsidP="00DF2FBC">
      <w:pPr>
        <w:pStyle w:val="BodyText1"/>
      </w:pPr>
      <w:r>
        <w:t>Where</w:t>
      </w:r>
      <w:r w:rsidRPr="00C92853">
        <w:t xml:space="preserve"> </w:t>
      </w:r>
      <w:r>
        <w:t>an</w:t>
      </w:r>
      <w:r w:rsidRPr="00C92853">
        <w:t xml:space="preserve"> </w:t>
      </w:r>
      <w:r>
        <w:t>APRA-regulated</w:t>
      </w:r>
      <w:r w:rsidRPr="00C92853">
        <w:t xml:space="preserve"> </w:t>
      </w:r>
      <w:r>
        <w:t>institution</w:t>
      </w:r>
      <w:r w:rsidRPr="00C92853">
        <w:t xml:space="preserve"> </w:t>
      </w:r>
      <w:r>
        <w:t>believes</w:t>
      </w:r>
      <w:r w:rsidRPr="00C92853">
        <w:t xml:space="preserve"> </w:t>
      </w:r>
      <w:r>
        <w:t>that</w:t>
      </w:r>
      <w:r w:rsidRPr="00C92853">
        <w:t xml:space="preserve"> </w:t>
      </w:r>
      <w:r>
        <w:t>the</w:t>
      </w:r>
      <w:r w:rsidRPr="00C92853">
        <w:t xml:space="preserve"> </w:t>
      </w:r>
      <w:r>
        <w:t>requirements</w:t>
      </w:r>
      <w:r w:rsidRPr="00C92853">
        <w:t xml:space="preserve"> </w:t>
      </w:r>
      <w:r>
        <w:t>in</w:t>
      </w:r>
      <w:r w:rsidRPr="00C92853">
        <w:t xml:space="preserve"> </w:t>
      </w:r>
      <w:r w:rsidRPr="002E7425">
        <w:t xml:space="preserve">paragraphs </w:t>
      </w:r>
      <w:r w:rsidR="0067326D">
        <w:t>39</w:t>
      </w:r>
      <w:r w:rsidRPr="002E7425">
        <w:t xml:space="preserve"> and </w:t>
      </w:r>
      <w:r>
        <w:fldChar w:fldCharType="begin"/>
      </w:r>
      <w:r>
        <w:instrText xml:space="preserve"> REF _Ref372632933 \r \h  \* MERGEFORMAT </w:instrText>
      </w:r>
      <w:r>
        <w:fldChar w:fldCharType="separate"/>
      </w:r>
      <w:r w:rsidR="00AA5CFE">
        <w:t>40</w:t>
      </w:r>
      <w:r>
        <w:fldChar w:fldCharType="end"/>
      </w:r>
      <w:r w:rsidRPr="002E7425">
        <w:t xml:space="preserve"> are</w:t>
      </w:r>
      <w:r w:rsidRPr="00C92853">
        <w:t xml:space="preserve"> </w:t>
      </w:r>
      <w:r>
        <w:t>inappropriate</w:t>
      </w:r>
      <w:r w:rsidRPr="00C92853">
        <w:t xml:space="preserve"> </w:t>
      </w:r>
      <w:r>
        <w:t>for</w:t>
      </w:r>
      <w:r w:rsidRPr="00C92853">
        <w:t xml:space="preserve"> </w:t>
      </w:r>
      <w:r>
        <w:t>its</w:t>
      </w:r>
      <w:r w:rsidRPr="00C92853">
        <w:t xml:space="preserve"> </w:t>
      </w:r>
      <w:r>
        <w:t>particular</w:t>
      </w:r>
      <w:r w:rsidRPr="00C92853">
        <w:t xml:space="preserve"> </w:t>
      </w:r>
      <w:r>
        <w:t>circumstances,</w:t>
      </w:r>
      <w:r w:rsidRPr="00C92853">
        <w:t xml:space="preserve"> </w:t>
      </w:r>
      <w:r>
        <w:t>it</w:t>
      </w:r>
      <w:r w:rsidRPr="00C92853">
        <w:t xml:space="preserve"> </w:t>
      </w:r>
      <w:r>
        <w:t>may</w:t>
      </w:r>
      <w:r w:rsidRPr="00C92853">
        <w:t xml:space="preserve"> </w:t>
      </w:r>
      <w:r>
        <w:t>propose</w:t>
      </w:r>
      <w:r w:rsidRPr="00C92853">
        <w:t xml:space="preserve"> </w:t>
      </w:r>
      <w:r>
        <w:t>alternative</w:t>
      </w:r>
      <w:r w:rsidRPr="00C92853">
        <w:t xml:space="preserve"> </w:t>
      </w:r>
      <w:r>
        <w:t>arrangements</w:t>
      </w:r>
      <w:r w:rsidRPr="00C92853">
        <w:t xml:space="preserve"> </w:t>
      </w:r>
      <w:r>
        <w:t>to</w:t>
      </w:r>
      <w:r w:rsidRPr="00C92853">
        <w:t xml:space="preserve"> </w:t>
      </w:r>
      <w:r>
        <w:t>APRA.</w:t>
      </w:r>
      <w:r w:rsidRPr="00C92853">
        <w:t xml:space="preserve"> </w:t>
      </w:r>
      <w:r>
        <w:t>Proposals</w:t>
      </w:r>
      <w:r w:rsidRPr="00C92853">
        <w:t xml:space="preserve"> </w:t>
      </w:r>
      <w:r>
        <w:t>for</w:t>
      </w:r>
      <w:r w:rsidRPr="00C92853">
        <w:t xml:space="preserve"> </w:t>
      </w:r>
      <w:r>
        <w:t>alternative</w:t>
      </w:r>
      <w:r w:rsidRPr="00C92853">
        <w:t xml:space="preserve"> </w:t>
      </w:r>
      <w:r>
        <w:t>arrangements</w:t>
      </w:r>
      <w:r w:rsidRPr="00C92853">
        <w:t xml:space="preserve"> </w:t>
      </w:r>
      <w:r>
        <w:t>must</w:t>
      </w:r>
      <w:r w:rsidRPr="00C92853">
        <w:t xml:space="preserve"> </w:t>
      </w:r>
      <w:r>
        <w:t>outline</w:t>
      </w:r>
      <w:r w:rsidRPr="00C92853">
        <w:t xml:space="preserve"> </w:t>
      </w:r>
      <w:r>
        <w:t>the</w:t>
      </w:r>
      <w:r w:rsidRPr="00C92853">
        <w:t xml:space="preserve"> </w:t>
      </w:r>
      <w:r>
        <w:t>circumstances</w:t>
      </w:r>
      <w:r w:rsidRPr="00C92853">
        <w:t xml:space="preserve"> </w:t>
      </w:r>
      <w:r>
        <w:t>that</w:t>
      </w:r>
      <w:r w:rsidRPr="00C92853">
        <w:t xml:space="preserve"> </w:t>
      </w:r>
      <w:r>
        <w:t>are</w:t>
      </w:r>
      <w:r w:rsidRPr="00C92853">
        <w:t xml:space="preserve"> </w:t>
      </w:r>
      <w:r>
        <w:t>particular</w:t>
      </w:r>
      <w:r w:rsidRPr="00C92853">
        <w:t xml:space="preserve"> </w:t>
      </w:r>
      <w:r>
        <w:t>to</w:t>
      </w:r>
      <w:r w:rsidRPr="00C92853">
        <w:t xml:space="preserve"> </w:t>
      </w:r>
      <w:r>
        <w:t>that</w:t>
      </w:r>
      <w:r w:rsidRPr="00C92853">
        <w:t xml:space="preserve"> </w:t>
      </w:r>
      <w:r>
        <w:t>institution</w:t>
      </w:r>
      <w:r w:rsidRPr="00C92853">
        <w:t xml:space="preserve"> </w:t>
      </w:r>
      <w:r>
        <w:t>and</w:t>
      </w:r>
      <w:r w:rsidRPr="00C92853">
        <w:t xml:space="preserve"> </w:t>
      </w:r>
      <w:r>
        <w:t>include</w:t>
      </w:r>
      <w:r w:rsidRPr="00C92853">
        <w:t xml:space="preserve"> </w:t>
      </w:r>
      <w:r>
        <w:t>details</w:t>
      </w:r>
      <w:r w:rsidRPr="00C92853">
        <w:t xml:space="preserve"> </w:t>
      </w:r>
      <w:r>
        <w:t>of,</w:t>
      </w:r>
      <w:r w:rsidRPr="00C92853">
        <w:t xml:space="preserve"> </w:t>
      </w:r>
      <w:r>
        <w:t>and</w:t>
      </w:r>
      <w:r w:rsidRPr="00C92853">
        <w:t xml:space="preserve"> </w:t>
      </w:r>
      <w:r>
        <w:t>supporting</w:t>
      </w:r>
      <w:r w:rsidRPr="00C92853">
        <w:t xml:space="preserve"> </w:t>
      </w:r>
      <w:r>
        <w:t>reasons</w:t>
      </w:r>
      <w:r w:rsidRPr="00C92853">
        <w:t xml:space="preserve"> </w:t>
      </w:r>
      <w:r>
        <w:t>for,</w:t>
      </w:r>
      <w:r w:rsidRPr="00C92853">
        <w:t xml:space="preserve"> </w:t>
      </w:r>
      <w:r>
        <w:t>these</w:t>
      </w:r>
      <w:r w:rsidRPr="00C92853">
        <w:t xml:space="preserve"> </w:t>
      </w:r>
      <w:r>
        <w:t>arrangements.</w:t>
      </w:r>
      <w:r w:rsidRPr="00C92853">
        <w:t xml:space="preserve"> </w:t>
      </w:r>
      <w:r>
        <w:t>APRA</w:t>
      </w:r>
      <w:r w:rsidRPr="00C92853">
        <w:t xml:space="preserve"> </w:t>
      </w:r>
      <w:r>
        <w:t>may approve</w:t>
      </w:r>
      <w:r w:rsidRPr="00C92853">
        <w:t xml:space="preserve"> </w:t>
      </w:r>
      <w:r>
        <w:t>alternative</w:t>
      </w:r>
      <w:r w:rsidRPr="00C92853">
        <w:t xml:space="preserve"> </w:t>
      </w:r>
      <w:r>
        <w:t>arrangements</w:t>
      </w:r>
      <w:r w:rsidRPr="00C92853">
        <w:t xml:space="preserve"> </w:t>
      </w:r>
      <w:r>
        <w:t>for</w:t>
      </w:r>
      <w:r w:rsidRPr="00C92853">
        <w:t xml:space="preserve"> </w:t>
      </w:r>
      <w:r>
        <w:t>the</w:t>
      </w:r>
      <w:r w:rsidRPr="00C92853">
        <w:t xml:space="preserve"> </w:t>
      </w:r>
      <w:r>
        <w:t>institution</w:t>
      </w:r>
      <w:r w:rsidRPr="00C92853">
        <w:t xml:space="preserve"> </w:t>
      </w:r>
      <w:r>
        <w:t>if</w:t>
      </w:r>
      <w:r w:rsidRPr="00C92853">
        <w:t xml:space="preserve"> </w:t>
      </w:r>
      <w:r>
        <w:t>satisfied</w:t>
      </w:r>
      <w:r w:rsidRPr="00C92853">
        <w:t xml:space="preserve"> </w:t>
      </w:r>
      <w:r>
        <w:t>that</w:t>
      </w:r>
      <w:r w:rsidRPr="00C92853">
        <w:t xml:space="preserve"> </w:t>
      </w:r>
      <w:r>
        <w:t>those</w:t>
      </w:r>
      <w:r w:rsidRPr="00C92853">
        <w:t xml:space="preserve"> </w:t>
      </w:r>
      <w:r>
        <w:t>arrangements,</w:t>
      </w:r>
      <w:r w:rsidRPr="00C92853">
        <w:t xml:space="preserve"> </w:t>
      </w:r>
      <w:r>
        <w:t>in</w:t>
      </w:r>
      <w:r w:rsidRPr="00C92853">
        <w:t xml:space="preserve"> </w:t>
      </w:r>
      <w:r>
        <w:t>APRA’s</w:t>
      </w:r>
      <w:r w:rsidRPr="00C92853">
        <w:t xml:space="preserve"> </w:t>
      </w:r>
      <w:r>
        <w:t>view,</w:t>
      </w:r>
      <w:r w:rsidRPr="00C92853">
        <w:t xml:space="preserve"> </w:t>
      </w:r>
      <w:r>
        <w:t>achieve</w:t>
      </w:r>
      <w:r w:rsidRPr="00C92853">
        <w:t xml:space="preserve"> </w:t>
      </w:r>
      <w:r>
        <w:t>the</w:t>
      </w:r>
      <w:r w:rsidRPr="00C92853">
        <w:t xml:space="preserve"> </w:t>
      </w:r>
      <w:r>
        <w:t>objectives</w:t>
      </w:r>
      <w:r w:rsidRPr="00C92853">
        <w:t xml:space="preserve"> </w:t>
      </w:r>
      <w:r>
        <w:t>of</w:t>
      </w:r>
      <w:r w:rsidRPr="00C92853">
        <w:t xml:space="preserve"> </w:t>
      </w:r>
      <w:r>
        <w:t>this Prudential Standard.</w:t>
      </w:r>
    </w:p>
    <w:p w14:paraId="4D5AEBF2" w14:textId="77777777" w:rsidR="00DF2FBC" w:rsidRPr="00F35821" w:rsidRDefault="00DF2FBC" w:rsidP="00E44B07">
      <w:pPr>
        <w:pStyle w:val="BodyText1"/>
        <w:rPr>
          <w:szCs w:val="16"/>
        </w:rPr>
      </w:pPr>
      <w:bookmarkStart w:id="57" w:name="_Ref443042151"/>
      <w:r w:rsidRPr="00E44B07">
        <w:t xml:space="preserve">An APRA-regulated institution may engage the services of an external service provider to perform part of the risk management function where the APRA-regulated institution can demonstrate to APRA that the risk management function meets the requirements in paragraph </w:t>
      </w:r>
      <w:r w:rsidRPr="00E44B07">
        <w:fldChar w:fldCharType="begin"/>
      </w:r>
      <w:r w:rsidRPr="00E44B07">
        <w:instrText xml:space="preserve"> REF _Ref443050644 \r \h  \* MERGEFORMAT </w:instrText>
      </w:r>
      <w:r w:rsidRPr="00E44B07">
        <w:fldChar w:fldCharType="separate"/>
      </w:r>
      <w:r w:rsidR="00AA5CFE">
        <w:t>37</w:t>
      </w:r>
      <w:r w:rsidRPr="00E44B07">
        <w:fldChar w:fldCharType="end"/>
      </w:r>
      <w:r w:rsidRPr="00E44B07">
        <w:t>.</w:t>
      </w:r>
      <w:r>
        <w:rPr>
          <w:rStyle w:val="FootnoteReference"/>
        </w:rPr>
        <w:footnoteReference w:id="9"/>
      </w:r>
      <w:bookmarkEnd w:id="57"/>
    </w:p>
    <w:p w14:paraId="341A9315" w14:textId="77777777" w:rsidR="00DF2FBC" w:rsidRDefault="00DF2FBC" w:rsidP="00DF2FBC">
      <w:pPr>
        <w:pStyle w:val="Heading1"/>
      </w:pPr>
      <w:bookmarkStart w:id="58" w:name="_Toc454537702"/>
      <w:r>
        <w:t>Compliance</w:t>
      </w:r>
      <w:r w:rsidRPr="00650178">
        <w:t xml:space="preserve"> </w:t>
      </w:r>
      <w:r>
        <w:t>function</w:t>
      </w:r>
      <w:bookmarkEnd w:id="58"/>
    </w:p>
    <w:p w14:paraId="7A89633E" w14:textId="77777777" w:rsidR="00DF2FBC" w:rsidRDefault="00DF2FBC" w:rsidP="00DF2FBC">
      <w:pPr>
        <w:pStyle w:val="BodyText1"/>
      </w:pPr>
      <w:r>
        <w:t>An APRA-regulated institution must have</w:t>
      </w:r>
      <w:r w:rsidRPr="00C92853">
        <w:t xml:space="preserve"> </w:t>
      </w:r>
      <w:r>
        <w:t>a designated compliance function</w:t>
      </w:r>
      <w:r w:rsidRPr="00C92853">
        <w:t xml:space="preserve"> </w:t>
      </w:r>
      <w:r>
        <w:t>that</w:t>
      </w:r>
      <w:r w:rsidRPr="00C92853">
        <w:t xml:space="preserve"> </w:t>
      </w:r>
      <w:r>
        <w:t>assists</w:t>
      </w:r>
      <w:r w:rsidRPr="00C92853">
        <w:t xml:space="preserve"> </w:t>
      </w:r>
      <w:r>
        <w:t>senior</w:t>
      </w:r>
      <w:r w:rsidRPr="00C92853">
        <w:t xml:space="preserve"> </w:t>
      </w:r>
      <w:r>
        <w:t>management</w:t>
      </w:r>
      <w:r w:rsidRPr="00C92853">
        <w:t xml:space="preserve"> </w:t>
      </w:r>
      <w:r w:rsidRPr="00550915">
        <w:t>of the institution</w:t>
      </w:r>
      <w:r w:rsidRPr="00C92853">
        <w:t xml:space="preserve"> </w:t>
      </w:r>
      <w:r>
        <w:t>in</w:t>
      </w:r>
      <w:r w:rsidRPr="00C92853">
        <w:t xml:space="preserve"> </w:t>
      </w:r>
      <w:r>
        <w:t>effectively</w:t>
      </w:r>
      <w:r w:rsidRPr="00C92853">
        <w:t xml:space="preserve"> </w:t>
      </w:r>
      <w:r>
        <w:t>managing</w:t>
      </w:r>
      <w:r w:rsidRPr="00C92853">
        <w:t xml:space="preserve"> </w:t>
      </w:r>
      <w:r>
        <w:t>compliance</w:t>
      </w:r>
      <w:r w:rsidRPr="00C92853">
        <w:t xml:space="preserve"> </w:t>
      </w:r>
      <w:r>
        <w:t>risks.</w:t>
      </w:r>
      <w:r w:rsidRPr="00C92853">
        <w:t xml:space="preserve"> </w:t>
      </w:r>
      <w:r>
        <w:t>The</w:t>
      </w:r>
      <w:r w:rsidRPr="00C92853">
        <w:t xml:space="preserve"> </w:t>
      </w:r>
      <w:r>
        <w:t>compliance</w:t>
      </w:r>
      <w:r w:rsidRPr="00C92853">
        <w:t xml:space="preserve"> </w:t>
      </w:r>
      <w:r>
        <w:t>function</w:t>
      </w:r>
      <w:r w:rsidRPr="00C92853">
        <w:t xml:space="preserve"> </w:t>
      </w:r>
      <w:r>
        <w:t>must</w:t>
      </w:r>
      <w:r w:rsidRPr="00C92853">
        <w:t xml:space="preserve"> </w:t>
      </w:r>
      <w:r>
        <w:t>be</w:t>
      </w:r>
      <w:r w:rsidRPr="00C92853">
        <w:t xml:space="preserve"> </w:t>
      </w:r>
      <w:r>
        <w:t>adequately</w:t>
      </w:r>
      <w:r w:rsidRPr="00C92853">
        <w:t xml:space="preserve"> </w:t>
      </w:r>
      <w:r>
        <w:t>staffed</w:t>
      </w:r>
      <w:r w:rsidRPr="00C92853">
        <w:t xml:space="preserve"> by </w:t>
      </w:r>
      <w:r>
        <w:t>appropriately</w:t>
      </w:r>
      <w:r w:rsidRPr="00C92853">
        <w:t xml:space="preserve"> </w:t>
      </w:r>
      <w:r>
        <w:t>trained</w:t>
      </w:r>
      <w:r w:rsidRPr="00C92853">
        <w:t xml:space="preserve"> </w:t>
      </w:r>
      <w:r>
        <w:t>and</w:t>
      </w:r>
      <w:r w:rsidRPr="00C92853">
        <w:t xml:space="preserve"> </w:t>
      </w:r>
      <w:r>
        <w:t>competent</w:t>
      </w:r>
      <w:r w:rsidRPr="00C92853">
        <w:t xml:space="preserve"> </w:t>
      </w:r>
      <w:r>
        <w:t>persons</w:t>
      </w:r>
      <w:r w:rsidRPr="00C92853">
        <w:t xml:space="preserve"> who </w:t>
      </w:r>
      <w:r>
        <w:t>have</w:t>
      </w:r>
      <w:r w:rsidRPr="00C92853">
        <w:t xml:space="preserve"> </w:t>
      </w:r>
      <w:r>
        <w:t>sufficient</w:t>
      </w:r>
      <w:r w:rsidRPr="00C92853">
        <w:t xml:space="preserve"> </w:t>
      </w:r>
      <w:r>
        <w:t>authority</w:t>
      </w:r>
      <w:r w:rsidRPr="00C92853">
        <w:t xml:space="preserve"> </w:t>
      </w:r>
      <w:r>
        <w:t>to</w:t>
      </w:r>
      <w:r w:rsidRPr="00C92853">
        <w:t xml:space="preserve"> </w:t>
      </w:r>
      <w:r>
        <w:t>perform</w:t>
      </w:r>
      <w:r w:rsidRPr="00C92853">
        <w:t xml:space="preserve"> </w:t>
      </w:r>
      <w:r>
        <w:t>their</w:t>
      </w:r>
      <w:r w:rsidRPr="00C92853">
        <w:t xml:space="preserve"> </w:t>
      </w:r>
      <w:r>
        <w:t>role</w:t>
      </w:r>
      <w:r w:rsidRPr="00C92853">
        <w:t xml:space="preserve"> </w:t>
      </w:r>
      <w:r>
        <w:t>effectively, and have a reporting</w:t>
      </w:r>
      <w:r w:rsidRPr="00C92853">
        <w:t xml:space="preserve"> </w:t>
      </w:r>
      <w:r>
        <w:t>line independent</w:t>
      </w:r>
      <w:r w:rsidRPr="00C92853">
        <w:t xml:space="preserve"> </w:t>
      </w:r>
      <w:r>
        <w:t>from business lines.</w:t>
      </w:r>
    </w:p>
    <w:p w14:paraId="03B140D5" w14:textId="77777777" w:rsidR="00DF2FBC" w:rsidRDefault="00DF2FBC" w:rsidP="00DF2FBC">
      <w:pPr>
        <w:pStyle w:val="Heading1"/>
      </w:pPr>
      <w:bookmarkStart w:id="59" w:name="_Toc454537703"/>
      <w:r>
        <w:t>Review</w:t>
      </w:r>
      <w:r>
        <w:rPr>
          <w:spacing w:val="2"/>
        </w:rPr>
        <w:t xml:space="preserve"> </w:t>
      </w:r>
      <w:r>
        <w:t>of the risk management framework</w:t>
      </w:r>
      <w:bookmarkEnd w:id="59"/>
    </w:p>
    <w:p w14:paraId="4210CFDF" w14:textId="77777777" w:rsidR="00DF2FBC" w:rsidRDefault="00DF2FBC" w:rsidP="00DF2FBC">
      <w:pPr>
        <w:pStyle w:val="BodyText1"/>
      </w:pPr>
      <w:bookmarkStart w:id="60" w:name="_bookmark7"/>
      <w:bookmarkStart w:id="61" w:name="_Ref350350003"/>
      <w:bookmarkStart w:id="62" w:name="_Ref443041859"/>
      <w:bookmarkStart w:id="63" w:name="_Ref322075417"/>
      <w:bookmarkStart w:id="64" w:name="_Ref314638115"/>
      <w:bookmarkStart w:id="65" w:name="_Toc295999262"/>
      <w:bookmarkEnd w:id="60"/>
      <w:r>
        <w:t>An</w:t>
      </w:r>
      <w:r w:rsidRPr="00C92853">
        <w:t xml:space="preserve"> </w:t>
      </w:r>
      <w:r>
        <w:t>APRA-regulated</w:t>
      </w:r>
      <w:r w:rsidRPr="00C92853">
        <w:t xml:space="preserve"> </w:t>
      </w:r>
      <w:r>
        <w:t>institution</w:t>
      </w:r>
      <w:r w:rsidRPr="00C92853">
        <w:t xml:space="preserve"> </w:t>
      </w:r>
      <w:r>
        <w:t>must</w:t>
      </w:r>
      <w:r w:rsidRPr="00C92853">
        <w:t xml:space="preserve"> </w:t>
      </w:r>
      <w:r>
        <w:t>ensure</w:t>
      </w:r>
      <w:r w:rsidRPr="00C92853">
        <w:t xml:space="preserve"> </w:t>
      </w:r>
      <w:r>
        <w:t>that</w:t>
      </w:r>
      <w:r w:rsidRPr="00C92853">
        <w:t xml:space="preserve"> </w:t>
      </w:r>
      <w:r>
        <w:t>compliance</w:t>
      </w:r>
      <w:r w:rsidRPr="00C92853">
        <w:t xml:space="preserve"> </w:t>
      </w:r>
      <w:r>
        <w:t>with,</w:t>
      </w:r>
      <w:r w:rsidRPr="00C92853">
        <w:t xml:space="preserve"> </w:t>
      </w:r>
      <w:r>
        <w:t>and</w:t>
      </w:r>
      <w:r w:rsidRPr="00C92853">
        <w:t xml:space="preserve"> </w:t>
      </w:r>
      <w:r w:rsidRPr="00DF16DE">
        <w:t>the</w:t>
      </w:r>
      <w:r w:rsidRPr="00C92853">
        <w:t xml:space="preserve"> </w:t>
      </w:r>
      <w:r>
        <w:t>effectiveness</w:t>
      </w:r>
      <w:r w:rsidRPr="00C92853">
        <w:t xml:space="preserve"> </w:t>
      </w:r>
      <w:r>
        <w:t>of,</w:t>
      </w:r>
      <w:r w:rsidRPr="00C92853">
        <w:t xml:space="preserve"> </w:t>
      </w:r>
      <w:r>
        <w:t>the</w:t>
      </w:r>
      <w:r w:rsidRPr="00C92853">
        <w:t xml:space="preserve"> </w:t>
      </w:r>
      <w:r>
        <w:t>risk</w:t>
      </w:r>
      <w:r w:rsidRPr="00C92853">
        <w:t xml:space="preserve"> </w:t>
      </w:r>
      <w:r>
        <w:t>management</w:t>
      </w:r>
      <w:r w:rsidRPr="00C92853">
        <w:t xml:space="preserve"> </w:t>
      </w:r>
      <w:r>
        <w:t>framework</w:t>
      </w:r>
      <w:r w:rsidRPr="00C92853">
        <w:t xml:space="preserve"> </w:t>
      </w:r>
      <w:r w:rsidRPr="00632B61">
        <w:t>of the institution</w:t>
      </w:r>
      <w:r w:rsidRPr="00C92853">
        <w:t xml:space="preserve"> </w:t>
      </w:r>
      <w:r>
        <w:t>is</w:t>
      </w:r>
      <w:r w:rsidRPr="00C92853">
        <w:t xml:space="preserve"> </w:t>
      </w:r>
      <w:r>
        <w:t>subject</w:t>
      </w:r>
      <w:r w:rsidRPr="00C92853">
        <w:t xml:space="preserve"> </w:t>
      </w:r>
      <w:r>
        <w:t>to</w:t>
      </w:r>
      <w:r w:rsidRPr="00C92853">
        <w:t xml:space="preserve"> </w:t>
      </w:r>
      <w:r>
        <w:t>review</w:t>
      </w:r>
      <w:r w:rsidRPr="00C92853">
        <w:t xml:space="preserve"> by </w:t>
      </w:r>
      <w:r>
        <w:t>internal</w:t>
      </w:r>
      <w:r w:rsidRPr="00C92853">
        <w:t xml:space="preserve"> </w:t>
      </w:r>
      <w:r>
        <w:t>and/or</w:t>
      </w:r>
      <w:r w:rsidRPr="00C92853">
        <w:t xml:space="preserve"> </w:t>
      </w:r>
      <w:r>
        <w:t>external</w:t>
      </w:r>
      <w:r w:rsidRPr="00C92853">
        <w:t xml:space="preserve"> </w:t>
      </w:r>
      <w:r>
        <w:t>audit</w:t>
      </w:r>
      <w:r w:rsidRPr="00C92853">
        <w:t xml:space="preserve"> </w:t>
      </w:r>
      <w:r>
        <w:t>at</w:t>
      </w:r>
      <w:r w:rsidRPr="00C92853">
        <w:t xml:space="preserve"> </w:t>
      </w:r>
      <w:r>
        <w:t>least</w:t>
      </w:r>
      <w:r w:rsidRPr="00C92853">
        <w:t xml:space="preserve"> </w:t>
      </w:r>
      <w:r>
        <w:t>annually.</w:t>
      </w:r>
      <w:bookmarkEnd w:id="61"/>
      <w:r w:rsidRPr="00C92853">
        <w:t xml:space="preserve"> </w:t>
      </w:r>
      <w:r>
        <w:t>The</w:t>
      </w:r>
      <w:r w:rsidRPr="00C92853">
        <w:t xml:space="preserve"> </w:t>
      </w:r>
      <w:r>
        <w:t>results</w:t>
      </w:r>
      <w:r w:rsidRPr="00C92853">
        <w:t xml:space="preserve"> </w:t>
      </w:r>
      <w:r>
        <w:t>of</w:t>
      </w:r>
      <w:r w:rsidRPr="00C92853">
        <w:t xml:space="preserve"> </w:t>
      </w:r>
      <w:r>
        <w:t>this</w:t>
      </w:r>
      <w:r w:rsidRPr="00C92853">
        <w:t xml:space="preserve"> </w:t>
      </w:r>
      <w:r>
        <w:t>review</w:t>
      </w:r>
      <w:r w:rsidRPr="00C92853">
        <w:t xml:space="preserve"> </w:t>
      </w:r>
      <w:r>
        <w:t>must</w:t>
      </w:r>
      <w:r w:rsidRPr="00C92853">
        <w:t xml:space="preserve"> </w:t>
      </w:r>
      <w:r>
        <w:t>be</w:t>
      </w:r>
      <w:r w:rsidRPr="00C92853">
        <w:t xml:space="preserve"> </w:t>
      </w:r>
      <w:r>
        <w:t>reported</w:t>
      </w:r>
      <w:r w:rsidRPr="00C92853">
        <w:t xml:space="preserve"> </w:t>
      </w:r>
      <w:r>
        <w:t>to</w:t>
      </w:r>
      <w:r w:rsidRPr="00C92853">
        <w:t xml:space="preserve"> </w:t>
      </w:r>
      <w:r>
        <w:t>the</w:t>
      </w:r>
      <w:r w:rsidRPr="00632B61">
        <w:t xml:space="preserve"> institution’s</w:t>
      </w:r>
      <w:r w:rsidRPr="00C92853">
        <w:t xml:space="preserve"> </w:t>
      </w:r>
      <w:r>
        <w:t>Board</w:t>
      </w:r>
      <w:r w:rsidRPr="00C92853">
        <w:t xml:space="preserve"> </w:t>
      </w:r>
      <w:r>
        <w:t>Audit</w:t>
      </w:r>
      <w:r w:rsidRPr="00C92853">
        <w:t xml:space="preserve"> </w:t>
      </w:r>
      <w:r>
        <w:t>Committee,</w:t>
      </w:r>
      <w:r w:rsidRPr="00C92853">
        <w:t xml:space="preserve"> </w:t>
      </w:r>
      <w:r>
        <w:t>the</w:t>
      </w:r>
      <w:r w:rsidRPr="00C92853">
        <w:t xml:space="preserve"> </w:t>
      </w:r>
      <w:r>
        <w:t>senior</w:t>
      </w:r>
      <w:r w:rsidRPr="00C92853">
        <w:t xml:space="preserve"> </w:t>
      </w:r>
      <w:r>
        <w:t>officer</w:t>
      </w:r>
      <w:r w:rsidRPr="00C92853">
        <w:t xml:space="preserve"> </w:t>
      </w:r>
      <w:r>
        <w:t>outside</w:t>
      </w:r>
      <w:r w:rsidRPr="00C92853">
        <w:t xml:space="preserve"> </w:t>
      </w:r>
      <w:r>
        <w:t>of</w:t>
      </w:r>
      <w:r w:rsidRPr="00C92853">
        <w:t xml:space="preserve"> </w:t>
      </w:r>
      <w:r>
        <w:t>Australia or Compliance</w:t>
      </w:r>
      <w:r w:rsidRPr="00C92853">
        <w:t xml:space="preserve"> </w:t>
      </w:r>
      <w:r>
        <w:t>Committee, as relevant.</w:t>
      </w:r>
      <w:bookmarkEnd w:id="62"/>
    </w:p>
    <w:p w14:paraId="1A036319" w14:textId="77777777" w:rsidR="00DF2FBC" w:rsidRPr="00F22811" w:rsidRDefault="00DF2FBC" w:rsidP="00DF2FBC">
      <w:pPr>
        <w:pStyle w:val="BodyText1"/>
      </w:pPr>
      <w:bookmarkStart w:id="66" w:name="_bookmark8"/>
      <w:bookmarkStart w:id="67" w:name="_Ref348103724"/>
      <w:bookmarkEnd w:id="66"/>
      <w:r w:rsidRPr="00F22811">
        <w:t xml:space="preserve">An APRA-regulated institution must, </w:t>
      </w:r>
      <w:r w:rsidRPr="001F7F09">
        <w:t xml:space="preserve">in addition to paragraph </w:t>
      </w:r>
      <w:r w:rsidR="004066DD">
        <w:t>4</w:t>
      </w:r>
      <w:r w:rsidR="0067326D">
        <w:t>4</w:t>
      </w:r>
      <w:r w:rsidRPr="00F22811">
        <w:t xml:space="preserve">, ensure that the appropriateness, effectiveness and adequacy of </w:t>
      </w:r>
      <w:r>
        <w:t>the institution’s</w:t>
      </w:r>
      <w:r w:rsidRPr="00F22811">
        <w:t xml:space="preserve"> risk management framework are subject to a comprehensive review by operationally independent, appropriately trained and competent persons (this may include external consultants) at least every three years</w:t>
      </w:r>
      <w:r>
        <w:t>.</w:t>
      </w:r>
      <w:r>
        <w:rPr>
          <w:rStyle w:val="FootnoteReference"/>
        </w:rPr>
        <w:footnoteReference w:id="10"/>
      </w:r>
      <w:bookmarkEnd w:id="63"/>
      <w:bookmarkEnd w:id="67"/>
      <w:r w:rsidRPr="00F22811">
        <w:t xml:space="preserve"> The results of this review must be reported to the </w:t>
      </w:r>
      <w:r w:rsidRPr="00206CE6">
        <w:t>institution’s</w:t>
      </w:r>
      <w:r w:rsidRPr="00C92853">
        <w:t xml:space="preserve"> </w:t>
      </w:r>
      <w:r w:rsidRPr="00F22811">
        <w:t>Board Risk Committee, the senior officer outside Australia or Compliance Committee, as relevant.</w:t>
      </w:r>
    </w:p>
    <w:p w14:paraId="0EFD7BB2" w14:textId="77777777" w:rsidR="00DF2FBC" w:rsidRDefault="00DF2FBC" w:rsidP="00DF2FBC">
      <w:pPr>
        <w:pStyle w:val="BodyText1"/>
      </w:pPr>
      <w:r w:rsidRPr="00F22811">
        <w:t xml:space="preserve">The scope of the comprehensive review must have regard to the size, business mix and complexity of the institution, the extent of any change to its operations or risk appetite, and any changes to the external environment in which the institution operates. </w:t>
      </w:r>
    </w:p>
    <w:p w14:paraId="2D7F0553" w14:textId="77777777" w:rsidR="00DF2FBC" w:rsidRPr="00F22811" w:rsidRDefault="00DF2FBC" w:rsidP="00DF2FBC">
      <w:pPr>
        <w:pStyle w:val="BodyText1"/>
      </w:pPr>
      <w:r w:rsidRPr="00F22811">
        <w:t xml:space="preserve">The </w:t>
      </w:r>
      <w:r w:rsidR="00820172" w:rsidRPr="0038629D">
        <w:t xml:space="preserve">comprehensive </w:t>
      </w:r>
      <w:r w:rsidRPr="00F22811">
        <w:t>review of the risk management framework must, at a minimum, assess whether:</w:t>
      </w:r>
      <w:bookmarkEnd w:id="64"/>
    </w:p>
    <w:p w14:paraId="7CFC1AB0" w14:textId="77777777" w:rsidR="00DF2FBC" w:rsidRPr="002E7425" w:rsidRDefault="00DF2FBC" w:rsidP="00561C5D">
      <w:pPr>
        <w:pStyle w:val="BodyText2"/>
        <w:tabs>
          <w:tab w:val="clear" w:pos="1560"/>
          <w:tab w:val="num" w:pos="1134"/>
        </w:tabs>
        <w:ind w:left="1134"/>
      </w:pPr>
      <w:r>
        <w:t xml:space="preserve">the </w:t>
      </w:r>
      <w:r w:rsidRPr="002E7425">
        <w:t>framework is implemented and effective;</w:t>
      </w:r>
    </w:p>
    <w:p w14:paraId="6E98D476" w14:textId="77777777" w:rsidR="00DF2FBC" w:rsidRDefault="00DF2FBC" w:rsidP="00561C5D">
      <w:pPr>
        <w:pStyle w:val="BodyText2"/>
        <w:tabs>
          <w:tab w:val="clear" w:pos="1560"/>
          <w:tab w:val="num" w:pos="1134"/>
        </w:tabs>
        <w:ind w:left="1134"/>
      </w:pPr>
      <w:r w:rsidRPr="002E7425">
        <w:t>it remains</w:t>
      </w:r>
      <w:r w:rsidRPr="0047482A">
        <w:t xml:space="preserve"> </w:t>
      </w:r>
      <w:r>
        <w:t>appropriate,</w:t>
      </w:r>
      <w:r w:rsidRPr="0047482A">
        <w:t xml:space="preserve"> </w:t>
      </w:r>
      <w:r>
        <w:t>taking</w:t>
      </w:r>
      <w:r w:rsidRPr="0047482A">
        <w:t xml:space="preserve"> </w:t>
      </w:r>
      <w:r>
        <w:t>into</w:t>
      </w:r>
      <w:r w:rsidRPr="0047482A">
        <w:t xml:space="preserve"> </w:t>
      </w:r>
      <w:r>
        <w:t>account</w:t>
      </w:r>
      <w:r w:rsidRPr="0047482A">
        <w:t xml:space="preserve"> </w:t>
      </w:r>
      <w:r>
        <w:t>the</w:t>
      </w:r>
      <w:r w:rsidRPr="0047482A">
        <w:t xml:space="preserve"> </w:t>
      </w:r>
      <w:r>
        <w:t>current</w:t>
      </w:r>
      <w:r w:rsidRPr="0047482A">
        <w:t xml:space="preserve"> </w:t>
      </w:r>
      <w:r>
        <w:t>business plan;</w:t>
      </w:r>
    </w:p>
    <w:p w14:paraId="781B9CE3" w14:textId="77777777" w:rsidR="00DF2FBC" w:rsidRPr="002E7425" w:rsidRDefault="00DF2FBC" w:rsidP="00561C5D">
      <w:pPr>
        <w:pStyle w:val="BodyText2"/>
        <w:tabs>
          <w:tab w:val="clear" w:pos="1560"/>
          <w:tab w:val="num" w:pos="1134"/>
        </w:tabs>
        <w:ind w:left="1134"/>
      </w:pPr>
      <w:r>
        <w:t xml:space="preserve">it remains </w:t>
      </w:r>
      <w:r w:rsidRPr="002E7425">
        <w:t>consistent with the Board’s risk appetite;</w:t>
      </w:r>
    </w:p>
    <w:p w14:paraId="565EB191" w14:textId="77777777" w:rsidR="00DF2FBC" w:rsidRPr="002E7425" w:rsidRDefault="00DF2FBC" w:rsidP="00561C5D">
      <w:pPr>
        <w:pStyle w:val="BodyText2"/>
        <w:tabs>
          <w:tab w:val="clear" w:pos="1560"/>
          <w:tab w:val="num" w:pos="1134"/>
        </w:tabs>
        <w:ind w:left="1134"/>
      </w:pPr>
      <w:r w:rsidRPr="002E7425">
        <w:t>it is supported by adequate resources; and</w:t>
      </w:r>
    </w:p>
    <w:p w14:paraId="09CEE052" w14:textId="77777777" w:rsidR="00DF2FBC" w:rsidRDefault="00DF2FBC" w:rsidP="00561C5D">
      <w:pPr>
        <w:pStyle w:val="BodyText2"/>
        <w:tabs>
          <w:tab w:val="clear" w:pos="1560"/>
          <w:tab w:val="num" w:pos="1134"/>
        </w:tabs>
        <w:ind w:left="1134"/>
      </w:pPr>
      <w:r w:rsidRPr="002E7425">
        <w:t>the RMS accurately documents the key elements of the risk management framework that</w:t>
      </w:r>
      <w:r w:rsidRPr="0047482A">
        <w:t xml:space="preserve"> </w:t>
      </w:r>
      <w:r>
        <w:t>give effect to the</w:t>
      </w:r>
      <w:r w:rsidRPr="0047482A">
        <w:t xml:space="preserve"> </w:t>
      </w:r>
      <w:r>
        <w:t>strategy</w:t>
      </w:r>
      <w:r w:rsidRPr="0047482A">
        <w:t xml:space="preserve"> </w:t>
      </w:r>
      <w:r>
        <w:t>for managing</w:t>
      </w:r>
      <w:r w:rsidRPr="0047482A">
        <w:t xml:space="preserve"> </w:t>
      </w:r>
      <w:r>
        <w:t>risk.</w:t>
      </w:r>
    </w:p>
    <w:p w14:paraId="608058B1" w14:textId="77777777" w:rsidR="00DF2FBC" w:rsidRDefault="00DF2FBC" w:rsidP="00DF2FBC">
      <w:pPr>
        <w:pStyle w:val="BodyText1"/>
      </w:pPr>
      <w:bookmarkStart w:id="68" w:name="_Ref347306875"/>
      <w:r>
        <w:t>Where</w:t>
      </w:r>
      <w:r w:rsidRPr="00C92853">
        <w:t xml:space="preserve"> </w:t>
      </w:r>
      <w:r>
        <w:t>a</w:t>
      </w:r>
      <w:r w:rsidRPr="00C92853">
        <w:t xml:space="preserve"> </w:t>
      </w:r>
      <w:r>
        <w:t>material</w:t>
      </w:r>
      <w:r w:rsidRPr="00C92853">
        <w:t xml:space="preserve"> </w:t>
      </w:r>
      <w:r>
        <w:t>change</w:t>
      </w:r>
      <w:r w:rsidRPr="00C92853">
        <w:t xml:space="preserve"> </w:t>
      </w:r>
      <w:r>
        <w:t>to</w:t>
      </w:r>
      <w:r w:rsidRPr="00C92853">
        <w:t xml:space="preserve"> </w:t>
      </w:r>
      <w:r>
        <w:t>the</w:t>
      </w:r>
      <w:r w:rsidRPr="00C92853">
        <w:t xml:space="preserve"> </w:t>
      </w:r>
      <w:r>
        <w:t>size,</w:t>
      </w:r>
      <w:r w:rsidRPr="00C92853">
        <w:t xml:space="preserve"> </w:t>
      </w:r>
      <w:r>
        <w:t>business</w:t>
      </w:r>
      <w:r w:rsidRPr="00C92853">
        <w:t xml:space="preserve"> </w:t>
      </w:r>
      <w:r>
        <w:t>mix</w:t>
      </w:r>
      <w:r w:rsidRPr="00C92853">
        <w:t xml:space="preserve"> </w:t>
      </w:r>
      <w:r>
        <w:t>and</w:t>
      </w:r>
      <w:r w:rsidRPr="00C92853">
        <w:t xml:space="preserve"> </w:t>
      </w:r>
      <w:r>
        <w:t>complexity of</w:t>
      </w:r>
      <w:r w:rsidRPr="00C92853">
        <w:t xml:space="preserve"> </w:t>
      </w:r>
      <w:r>
        <w:t>the operations</w:t>
      </w:r>
      <w:r w:rsidRPr="00C92853">
        <w:t xml:space="preserve"> </w:t>
      </w:r>
      <w:r>
        <w:t>is</w:t>
      </w:r>
      <w:r w:rsidRPr="00C92853">
        <w:t xml:space="preserve"> </w:t>
      </w:r>
      <w:r>
        <w:t>identified</w:t>
      </w:r>
      <w:r w:rsidRPr="00C92853">
        <w:t xml:space="preserve"> </w:t>
      </w:r>
      <w:r>
        <w:t>outside</w:t>
      </w:r>
      <w:r w:rsidRPr="00C92853">
        <w:t xml:space="preserve"> </w:t>
      </w:r>
      <w:r>
        <w:t>the</w:t>
      </w:r>
      <w:r w:rsidRPr="00C92853">
        <w:t xml:space="preserve"> </w:t>
      </w:r>
      <w:r>
        <w:t>review</w:t>
      </w:r>
      <w:r w:rsidRPr="00C92853">
        <w:t xml:space="preserve"> </w:t>
      </w:r>
      <w:r>
        <w:t>required</w:t>
      </w:r>
      <w:r w:rsidRPr="00C92853">
        <w:t xml:space="preserve"> </w:t>
      </w:r>
      <w:r>
        <w:t>in</w:t>
      </w:r>
      <w:r w:rsidRPr="00C92853">
        <w:t xml:space="preserve"> </w:t>
      </w:r>
      <w:r>
        <w:t>paragraph</w:t>
      </w:r>
      <w:r w:rsidRPr="00C92853">
        <w:t xml:space="preserve"> </w:t>
      </w:r>
      <w:r>
        <w:fldChar w:fldCharType="begin"/>
      </w:r>
      <w:r>
        <w:instrText xml:space="preserve"> REF _Ref348103724 \r \h  \* MERGEFORMAT </w:instrText>
      </w:r>
      <w:r>
        <w:fldChar w:fldCharType="separate"/>
      </w:r>
      <w:r w:rsidR="00AA5CFE">
        <w:t>45</w:t>
      </w:r>
      <w:r>
        <w:fldChar w:fldCharType="end"/>
      </w:r>
      <w:r>
        <w:t>,</w:t>
      </w:r>
      <w:r w:rsidRPr="00C92853">
        <w:t xml:space="preserve"> </w:t>
      </w:r>
      <w:r>
        <w:t>the</w:t>
      </w:r>
      <w:r w:rsidRPr="00C92853">
        <w:t xml:space="preserve"> APRA-regulated </w:t>
      </w:r>
      <w:r>
        <w:t>institution</w:t>
      </w:r>
      <w:r w:rsidRPr="00C92853">
        <w:t xml:space="preserve"> </w:t>
      </w:r>
      <w:r>
        <w:t>must</w:t>
      </w:r>
      <w:r w:rsidRPr="00C92853">
        <w:t xml:space="preserve"> </w:t>
      </w:r>
      <w:r>
        <w:t>assess</w:t>
      </w:r>
      <w:r w:rsidRPr="00C92853">
        <w:t xml:space="preserve"> </w:t>
      </w:r>
      <w:r>
        <w:t>whether</w:t>
      </w:r>
      <w:r w:rsidRPr="00C92853">
        <w:t xml:space="preserve"> any </w:t>
      </w:r>
      <w:r>
        <w:t>amendment</w:t>
      </w:r>
      <w:r w:rsidRPr="00C92853">
        <w:t xml:space="preserve"> </w:t>
      </w:r>
      <w:r>
        <w:t>to,</w:t>
      </w:r>
      <w:r w:rsidRPr="00C92853">
        <w:t xml:space="preserve"> </w:t>
      </w:r>
      <w:r>
        <w:t>or</w:t>
      </w:r>
      <w:r w:rsidRPr="00C92853">
        <w:t xml:space="preserve"> </w:t>
      </w:r>
      <w:r>
        <w:t>a</w:t>
      </w:r>
      <w:r w:rsidRPr="00C92853">
        <w:t xml:space="preserve"> </w:t>
      </w:r>
      <w:r>
        <w:t>review</w:t>
      </w:r>
      <w:r w:rsidRPr="00C92853">
        <w:t xml:space="preserve"> </w:t>
      </w:r>
      <w:r>
        <w:t>of,</w:t>
      </w:r>
      <w:r w:rsidRPr="00C92853">
        <w:t xml:space="preserve"> </w:t>
      </w:r>
      <w:r>
        <w:t>the</w:t>
      </w:r>
      <w:r w:rsidRPr="00C92853">
        <w:t xml:space="preserve"> </w:t>
      </w:r>
      <w:r>
        <w:t>risk</w:t>
      </w:r>
      <w:r w:rsidRPr="00C92853">
        <w:t xml:space="preserve"> </w:t>
      </w:r>
      <w:r>
        <w:t>management</w:t>
      </w:r>
      <w:r w:rsidRPr="00C92853">
        <w:t xml:space="preserve"> </w:t>
      </w:r>
      <w:r>
        <w:t>framework</w:t>
      </w:r>
      <w:r w:rsidRPr="00C92853">
        <w:t xml:space="preserve"> </w:t>
      </w:r>
      <w:r>
        <w:t>is</w:t>
      </w:r>
      <w:r w:rsidRPr="00C92853">
        <w:t xml:space="preserve"> </w:t>
      </w:r>
      <w:r>
        <w:t>necessary</w:t>
      </w:r>
      <w:r w:rsidRPr="00C92853">
        <w:t xml:space="preserve"> </w:t>
      </w:r>
      <w:r>
        <w:t>to</w:t>
      </w:r>
      <w:r w:rsidRPr="00C92853">
        <w:t xml:space="preserve"> </w:t>
      </w:r>
      <w:r>
        <w:t>take</w:t>
      </w:r>
      <w:r w:rsidRPr="00C92853">
        <w:t xml:space="preserve"> </w:t>
      </w:r>
      <w:r>
        <w:t>account</w:t>
      </w:r>
      <w:r w:rsidRPr="00C92853">
        <w:t xml:space="preserve"> </w:t>
      </w:r>
      <w:r>
        <w:t>of</w:t>
      </w:r>
      <w:r w:rsidRPr="00C92853">
        <w:t xml:space="preserve"> </w:t>
      </w:r>
      <w:r>
        <w:t>these</w:t>
      </w:r>
      <w:r w:rsidRPr="00C92853">
        <w:t xml:space="preserve"> </w:t>
      </w:r>
      <w:r>
        <w:t>developments</w:t>
      </w:r>
      <w:r w:rsidRPr="00C92853">
        <w:t xml:space="preserve"> </w:t>
      </w:r>
      <w:r>
        <w:t>at</w:t>
      </w:r>
      <w:r w:rsidRPr="00C92853">
        <w:t xml:space="preserve"> </w:t>
      </w:r>
      <w:r>
        <w:t>that time.</w:t>
      </w:r>
      <w:bookmarkEnd w:id="68"/>
    </w:p>
    <w:p w14:paraId="36D77344" w14:textId="77777777" w:rsidR="00DF2FBC" w:rsidRDefault="00DF2FBC" w:rsidP="00DF2FBC">
      <w:pPr>
        <w:pStyle w:val="Heading1"/>
      </w:pPr>
      <w:bookmarkStart w:id="69" w:name="_Toc454537704"/>
      <w:bookmarkStart w:id="70" w:name="_Toc295999264"/>
      <w:bookmarkEnd w:id="65"/>
      <w:r>
        <w:t>Risk</w:t>
      </w:r>
      <w:r>
        <w:rPr>
          <w:spacing w:val="1"/>
        </w:rPr>
        <w:t xml:space="preserve"> </w:t>
      </w:r>
      <w:r>
        <w:t>management declaration</w:t>
      </w:r>
      <w:bookmarkEnd w:id="69"/>
    </w:p>
    <w:p w14:paraId="026DBFF0" w14:textId="77777777" w:rsidR="00DF2FBC" w:rsidRDefault="00DF2FBC" w:rsidP="00DF2FBC">
      <w:pPr>
        <w:pStyle w:val="BodyText1"/>
      </w:pPr>
      <w:bookmarkStart w:id="71" w:name="_bookmark9"/>
      <w:bookmarkStart w:id="72" w:name="_Ref316545499"/>
      <w:bookmarkEnd w:id="71"/>
      <w:r>
        <w:t>The</w:t>
      </w:r>
      <w:r w:rsidRPr="00C92853">
        <w:t xml:space="preserve"> </w:t>
      </w:r>
      <w:r w:rsidRPr="00B902F7">
        <w:t>Board</w:t>
      </w:r>
      <w:r w:rsidRPr="00C92853">
        <w:t xml:space="preserve"> of an APRA-regulated institution </w:t>
      </w:r>
      <w:r>
        <w:t>must</w:t>
      </w:r>
      <w:r w:rsidRPr="00C92853">
        <w:t xml:space="preserve"> </w:t>
      </w:r>
      <w:r>
        <w:t>make</w:t>
      </w:r>
      <w:r w:rsidRPr="00C92853">
        <w:t xml:space="preserve"> </w:t>
      </w:r>
      <w:r>
        <w:t>an</w:t>
      </w:r>
      <w:r w:rsidRPr="00C92853">
        <w:t xml:space="preserve"> </w:t>
      </w:r>
      <w:r>
        <w:t>annual</w:t>
      </w:r>
      <w:r w:rsidRPr="00C92853">
        <w:t xml:space="preserve"> </w:t>
      </w:r>
      <w:r>
        <w:t>declaration</w:t>
      </w:r>
      <w:r w:rsidRPr="00C92853">
        <w:t xml:space="preserve"> </w:t>
      </w:r>
      <w:r>
        <w:t>to</w:t>
      </w:r>
      <w:r w:rsidRPr="00C92853">
        <w:t xml:space="preserve"> </w:t>
      </w:r>
      <w:r>
        <w:t>APRA</w:t>
      </w:r>
      <w:r w:rsidRPr="00C92853">
        <w:t xml:space="preserve"> </w:t>
      </w:r>
      <w:r>
        <w:t>on</w:t>
      </w:r>
      <w:r w:rsidRPr="00C92853">
        <w:t xml:space="preserve"> </w:t>
      </w:r>
      <w:r>
        <w:t>risk</w:t>
      </w:r>
      <w:r w:rsidRPr="00C92853">
        <w:t xml:space="preserve"> </w:t>
      </w:r>
      <w:r>
        <w:t>management</w:t>
      </w:r>
      <w:r w:rsidRPr="00C92853">
        <w:t xml:space="preserve"> of the institution </w:t>
      </w:r>
      <w:r>
        <w:t>(risk</w:t>
      </w:r>
      <w:r w:rsidRPr="00C92853">
        <w:t xml:space="preserve"> </w:t>
      </w:r>
      <w:r>
        <w:t>management declaration)</w:t>
      </w:r>
      <w:r w:rsidRPr="00C92853">
        <w:t xml:space="preserve"> </w:t>
      </w:r>
      <w:r>
        <w:t>that</w:t>
      </w:r>
      <w:r w:rsidRPr="00C92853">
        <w:t xml:space="preserve"> </w:t>
      </w:r>
      <w:r>
        <w:t>must satisfy</w:t>
      </w:r>
      <w:r w:rsidRPr="00C92853">
        <w:t xml:space="preserve"> </w:t>
      </w:r>
      <w:r>
        <w:t>the</w:t>
      </w:r>
      <w:r w:rsidRPr="00C92853">
        <w:t xml:space="preserve"> </w:t>
      </w:r>
      <w:r>
        <w:t>requirements set out in</w:t>
      </w:r>
      <w:r w:rsidRPr="00C92853">
        <w:t xml:space="preserve"> </w:t>
      </w:r>
      <w:r>
        <w:t>Attachment A to this Prudential Standard. The declaration</w:t>
      </w:r>
      <w:r w:rsidRPr="00C92853">
        <w:t xml:space="preserve"> </w:t>
      </w:r>
      <w:r>
        <w:t>must</w:t>
      </w:r>
      <w:r w:rsidRPr="00C92853">
        <w:t xml:space="preserve"> </w:t>
      </w:r>
      <w:r>
        <w:t xml:space="preserve">be signed </w:t>
      </w:r>
      <w:r w:rsidRPr="00C92853">
        <w:t xml:space="preserve">by </w:t>
      </w:r>
      <w:r>
        <w:t>the</w:t>
      </w:r>
      <w:r w:rsidRPr="00C92853">
        <w:t xml:space="preserve"> </w:t>
      </w:r>
      <w:r>
        <w:t>chairperson</w:t>
      </w:r>
      <w:r w:rsidRPr="00C92853">
        <w:t xml:space="preserve"> </w:t>
      </w:r>
      <w:r>
        <w:t>of</w:t>
      </w:r>
      <w:r w:rsidRPr="00C92853">
        <w:t xml:space="preserve"> </w:t>
      </w:r>
      <w:r>
        <w:t>the</w:t>
      </w:r>
      <w:r w:rsidRPr="00C92853">
        <w:t xml:space="preserve"> </w:t>
      </w:r>
      <w:r>
        <w:t>Board</w:t>
      </w:r>
      <w:r w:rsidRPr="00C92853">
        <w:t xml:space="preserve"> </w:t>
      </w:r>
      <w:r>
        <w:t>and</w:t>
      </w:r>
      <w:r w:rsidRPr="00C92853">
        <w:t xml:space="preserve"> </w:t>
      </w:r>
      <w:r>
        <w:t>the</w:t>
      </w:r>
      <w:r w:rsidRPr="00C92853">
        <w:t xml:space="preserve"> </w:t>
      </w:r>
      <w:r>
        <w:t>chairperson</w:t>
      </w:r>
      <w:r w:rsidRPr="00C92853">
        <w:t xml:space="preserve"> </w:t>
      </w:r>
      <w:r>
        <w:t>of</w:t>
      </w:r>
      <w:r w:rsidRPr="00C92853">
        <w:t xml:space="preserve"> </w:t>
      </w:r>
      <w:r>
        <w:t>the</w:t>
      </w:r>
      <w:r w:rsidRPr="00C92853">
        <w:t xml:space="preserve"> </w:t>
      </w:r>
      <w:r>
        <w:t>Board</w:t>
      </w:r>
      <w:r w:rsidRPr="00C92853">
        <w:t xml:space="preserve"> </w:t>
      </w:r>
      <w:r>
        <w:t>Risk</w:t>
      </w:r>
      <w:r w:rsidRPr="00C92853">
        <w:t xml:space="preserve"> </w:t>
      </w:r>
      <w:r>
        <w:t>Committee.</w:t>
      </w:r>
      <w:r w:rsidRPr="00C92853">
        <w:t xml:space="preserve"> In </w:t>
      </w:r>
      <w:r>
        <w:t>the</w:t>
      </w:r>
      <w:r w:rsidRPr="00C92853">
        <w:t xml:space="preserve"> </w:t>
      </w:r>
      <w:r>
        <w:t>case</w:t>
      </w:r>
      <w:r w:rsidRPr="00C92853">
        <w:t xml:space="preserve"> </w:t>
      </w:r>
      <w:r>
        <w:t>of</w:t>
      </w:r>
      <w:r w:rsidRPr="00C92853">
        <w:t xml:space="preserve"> </w:t>
      </w:r>
      <w:r>
        <w:t>a</w:t>
      </w:r>
      <w:r w:rsidRPr="00C92853">
        <w:t xml:space="preserve"> </w:t>
      </w:r>
      <w:r>
        <w:t>Category</w:t>
      </w:r>
      <w:r w:rsidRPr="00C92853">
        <w:t xml:space="preserve"> </w:t>
      </w:r>
      <w:r>
        <w:t>C</w:t>
      </w:r>
      <w:r w:rsidRPr="00C92853">
        <w:t xml:space="preserve"> </w:t>
      </w:r>
      <w:r>
        <w:t>insurer,</w:t>
      </w:r>
      <w:r w:rsidRPr="00C92853">
        <w:t xml:space="preserve"> </w:t>
      </w:r>
      <w:r>
        <w:t>foreign</w:t>
      </w:r>
      <w:r w:rsidRPr="00C92853">
        <w:t xml:space="preserve"> </w:t>
      </w:r>
      <w:r>
        <w:t>ADI,</w:t>
      </w:r>
      <w:r w:rsidRPr="00C92853">
        <w:t xml:space="preserve"> </w:t>
      </w:r>
      <w:r>
        <w:t>or</w:t>
      </w:r>
      <w:r w:rsidRPr="00C92853">
        <w:t xml:space="preserve"> </w:t>
      </w:r>
      <w:r>
        <w:t>EFLIC,</w:t>
      </w:r>
      <w:r w:rsidRPr="00C92853">
        <w:t xml:space="preserve"> </w:t>
      </w:r>
      <w:r>
        <w:t>the</w:t>
      </w:r>
      <w:r w:rsidRPr="00C92853">
        <w:t xml:space="preserve"> </w:t>
      </w:r>
      <w:r>
        <w:t>risk</w:t>
      </w:r>
      <w:r w:rsidRPr="00C92853">
        <w:t xml:space="preserve"> </w:t>
      </w:r>
      <w:r>
        <w:t>management</w:t>
      </w:r>
      <w:r w:rsidRPr="00C92853">
        <w:t xml:space="preserve"> </w:t>
      </w:r>
      <w:r>
        <w:t>declaration</w:t>
      </w:r>
      <w:r w:rsidRPr="00C92853">
        <w:t xml:space="preserve"> </w:t>
      </w:r>
      <w:r>
        <w:t>must</w:t>
      </w:r>
      <w:r w:rsidRPr="00C92853">
        <w:t xml:space="preserve"> </w:t>
      </w:r>
      <w:r>
        <w:t>be</w:t>
      </w:r>
      <w:r w:rsidRPr="00C92853">
        <w:t xml:space="preserve"> </w:t>
      </w:r>
      <w:r>
        <w:t>signed</w:t>
      </w:r>
      <w:r w:rsidRPr="00C92853">
        <w:t xml:space="preserve"> by </w:t>
      </w:r>
      <w:r>
        <w:t>the</w:t>
      </w:r>
      <w:r w:rsidRPr="00C92853">
        <w:t xml:space="preserve"> </w:t>
      </w:r>
      <w:r>
        <w:t>senior</w:t>
      </w:r>
      <w:r w:rsidRPr="00C92853">
        <w:t xml:space="preserve"> </w:t>
      </w:r>
      <w:r>
        <w:t>officer</w:t>
      </w:r>
      <w:r w:rsidRPr="00C92853">
        <w:t xml:space="preserve"> </w:t>
      </w:r>
      <w:r>
        <w:t>outside</w:t>
      </w:r>
      <w:r w:rsidRPr="00C92853">
        <w:t xml:space="preserve"> </w:t>
      </w:r>
      <w:r>
        <w:t>Australia</w:t>
      </w:r>
      <w:r w:rsidRPr="00C92853">
        <w:t xml:space="preserve"> </w:t>
      </w:r>
      <w:r>
        <w:t>or</w:t>
      </w:r>
      <w:r w:rsidRPr="00C92853">
        <w:t xml:space="preserve"> </w:t>
      </w:r>
      <w:r>
        <w:t>two</w:t>
      </w:r>
      <w:r w:rsidRPr="00C92853">
        <w:t xml:space="preserve"> </w:t>
      </w:r>
      <w:r>
        <w:t>members of</w:t>
      </w:r>
      <w:r w:rsidRPr="00C92853">
        <w:t xml:space="preserve"> </w:t>
      </w:r>
      <w:r>
        <w:t>the Compliance Committee, as relevant.</w:t>
      </w:r>
      <w:bookmarkEnd w:id="72"/>
    </w:p>
    <w:p w14:paraId="4769118F" w14:textId="77777777" w:rsidR="00DF2FBC" w:rsidRDefault="00DF2FBC" w:rsidP="00DF2FBC">
      <w:pPr>
        <w:pStyle w:val="BodyText1"/>
      </w:pPr>
      <w:bookmarkStart w:id="73" w:name="_Ref444183395"/>
      <w:r>
        <w:t>The</w:t>
      </w:r>
      <w:r w:rsidRPr="00C92853">
        <w:t xml:space="preserve"> </w:t>
      </w:r>
      <w:r w:rsidRPr="00B902F7">
        <w:t>Board</w:t>
      </w:r>
      <w:r w:rsidRPr="00C92853">
        <w:t xml:space="preserve"> of an APRA-regulated institution </w:t>
      </w:r>
      <w:r>
        <w:t>must</w:t>
      </w:r>
      <w:r w:rsidRPr="00C92853">
        <w:t xml:space="preserve"> </w:t>
      </w:r>
      <w:r>
        <w:t>qualify</w:t>
      </w:r>
      <w:r w:rsidRPr="00C92853">
        <w:t xml:space="preserve"> </w:t>
      </w:r>
      <w:r>
        <w:t>the</w:t>
      </w:r>
      <w:r w:rsidRPr="00C92853">
        <w:t xml:space="preserve"> </w:t>
      </w:r>
      <w:r>
        <w:t>risk</w:t>
      </w:r>
      <w:r w:rsidRPr="00C92853">
        <w:t xml:space="preserve"> </w:t>
      </w:r>
      <w:r>
        <w:t>management</w:t>
      </w:r>
      <w:r w:rsidRPr="00C92853">
        <w:t xml:space="preserve"> </w:t>
      </w:r>
      <w:r>
        <w:t>declaration</w:t>
      </w:r>
      <w:r w:rsidRPr="00C92853">
        <w:t xml:space="preserve"> of the institution </w:t>
      </w:r>
      <w:r>
        <w:t>if</w:t>
      </w:r>
      <w:r w:rsidRPr="00C92853">
        <w:t xml:space="preserve"> </w:t>
      </w:r>
      <w:r>
        <w:t>there</w:t>
      </w:r>
      <w:r w:rsidRPr="00C92853">
        <w:t xml:space="preserve"> </w:t>
      </w:r>
      <w:r>
        <w:t>has</w:t>
      </w:r>
      <w:r w:rsidRPr="00C92853">
        <w:t xml:space="preserve"> </w:t>
      </w:r>
      <w:r>
        <w:t>been</w:t>
      </w:r>
      <w:r w:rsidRPr="00C92853">
        <w:t xml:space="preserve"> </w:t>
      </w:r>
      <w:r>
        <w:t>any</w:t>
      </w:r>
      <w:r w:rsidRPr="00C92853">
        <w:t xml:space="preserve"> </w:t>
      </w:r>
      <w:r>
        <w:t>significant</w:t>
      </w:r>
      <w:r w:rsidRPr="00C92853">
        <w:t xml:space="preserve"> </w:t>
      </w:r>
      <w:r>
        <w:t>breach</w:t>
      </w:r>
      <w:r w:rsidRPr="00C92853">
        <w:t xml:space="preserve"> </w:t>
      </w:r>
      <w:r>
        <w:t>of,</w:t>
      </w:r>
      <w:r w:rsidRPr="00C92853">
        <w:t xml:space="preserve"> </w:t>
      </w:r>
      <w:r>
        <w:t>or</w:t>
      </w:r>
      <w:r w:rsidRPr="00C92853">
        <w:t xml:space="preserve"> </w:t>
      </w:r>
      <w:r>
        <w:t>material</w:t>
      </w:r>
      <w:r w:rsidRPr="00C92853">
        <w:t xml:space="preserve"> </w:t>
      </w:r>
      <w:r>
        <w:t>deviation</w:t>
      </w:r>
      <w:r w:rsidRPr="00C92853">
        <w:t xml:space="preserve"> </w:t>
      </w:r>
      <w:r>
        <w:t>from,</w:t>
      </w:r>
      <w:r w:rsidRPr="00C92853">
        <w:t xml:space="preserve"> </w:t>
      </w:r>
      <w:r>
        <w:t>the</w:t>
      </w:r>
      <w:r w:rsidRPr="00C92853">
        <w:t xml:space="preserve"> </w:t>
      </w:r>
      <w:r>
        <w:t>risk</w:t>
      </w:r>
      <w:r w:rsidRPr="00C92853">
        <w:t xml:space="preserve"> </w:t>
      </w:r>
      <w:r>
        <w:t>management</w:t>
      </w:r>
      <w:r w:rsidRPr="00C92853">
        <w:t xml:space="preserve"> </w:t>
      </w:r>
      <w:r>
        <w:t>framework</w:t>
      </w:r>
      <w:r w:rsidRPr="00C92853">
        <w:t xml:space="preserve"> </w:t>
      </w:r>
      <w:r>
        <w:t>or</w:t>
      </w:r>
      <w:r w:rsidRPr="00C92853">
        <w:t xml:space="preserve"> </w:t>
      </w:r>
      <w:r>
        <w:t>the</w:t>
      </w:r>
      <w:r w:rsidRPr="00C92853">
        <w:t xml:space="preserve"> </w:t>
      </w:r>
      <w:r>
        <w:t>requirements</w:t>
      </w:r>
      <w:r w:rsidRPr="00C92853">
        <w:t xml:space="preserve"> </w:t>
      </w:r>
      <w:r>
        <w:t>set</w:t>
      </w:r>
      <w:r w:rsidRPr="00C92853">
        <w:t xml:space="preserve"> </w:t>
      </w:r>
      <w:r>
        <w:t>out</w:t>
      </w:r>
      <w:r w:rsidRPr="00C92853">
        <w:t xml:space="preserve"> </w:t>
      </w:r>
      <w:r>
        <w:t>in</w:t>
      </w:r>
      <w:r w:rsidRPr="00C92853">
        <w:t xml:space="preserve"> </w:t>
      </w:r>
      <w:r>
        <w:t>Attachment</w:t>
      </w:r>
      <w:r w:rsidRPr="00C92853">
        <w:t xml:space="preserve"> </w:t>
      </w:r>
      <w:r>
        <w:t>A</w:t>
      </w:r>
      <w:r w:rsidRPr="00C92853">
        <w:t xml:space="preserve"> </w:t>
      </w:r>
      <w:r>
        <w:t>to</w:t>
      </w:r>
      <w:r w:rsidRPr="00C92853">
        <w:t xml:space="preserve"> </w:t>
      </w:r>
      <w:r>
        <w:t>this</w:t>
      </w:r>
      <w:r w:rsidRPr="00C92853">
        <w:t xml:space="preserve"> </w:t>
      </w:r>
      <w:r>
        <w:t>Prudential</w:t>
      </w:r>
      <w:r w:rsidRPr="00C92853">
        <w:t xml:space="preserve"> </w:t>
      </w:r>
      <w:r>
        <w:t>Standard.</w:t>
      </w:r>
      <w:r w:rsidRPr="00C92853">
        <w:t xml:space="preserve"> Any </w:t>
      </w:r>
      <w:r>
        <w:t>qualification</w:t>
      </w:r>
      <w:r w:rsidRPr="00C92853">
        <w:t xml:space="preserve"> </w:t>
      </w:r>
      <w:r>
        <w:t>must</w:t>
      </w:r>
      <w:r w:rsidRPr="00C92853">
        <w:t xml:space="preserve"> </w:t>
      </w:r>
      <w:r>
        <w:t>include</w:t>
      </w:r>
      <w:r w:rsidRPr="00C92853">
        <w:t xml:space="preserve"> </w:t>
      </w:r>
      <w:r>
        <w:t>a</w:t>
      </w:r>
      <w:r w:rsidRPr="00C92853">
        <w:t xml:space="preserve"> </w:t>
      </w:r>
      <w:r>
        <w:t>description</w:t>
      </w:r>
      <w:r w:rsidRPr="00C92853">
        <w:t xml:space="preserve"> </w:t>
      </w:r>
      <w:r>
        <w:t>of</w:t>
      </w:r>
      <w:r w:rsidRPr="00C92853">
        <w:t xml:space="preserve"> </w:t>
      </w:r>
      <w:r>
        <w:t>the</w:t>
      </w:r>
      <w:r w:rsidRPr="00C92853">
        <w:t xml:space="preserve"> </w:t>
      </w:r>
      <w:r>
        <w:t>cause</w:t>
      </w:r>
      <w:r w:rsidRPr="00C92853">
        <w:t xml:space="preserve"> </w:t>
      </w:r>
      <w:r>
        <w:t>and</w:t>
      </w:r>
      <w:r w:rsidRPr="00C92853">
        <w:t xml:space="preserve"> </w:t>
      </w:r>
      <w:r>
        <w:t>circumstances</w:t>
      </w:r>
      <w:r w:rsidRPr="00C92853">
        <w:t xml:space="preserve"> </w:t>
      </w:r>
      <w:r>
        <w:t>of</w:t>
      </w:r>
      <w:r w:rsidRPr="00C92853">
        <w:t xml:space="preserve"> </w:t>
      </w:r>
      <w:r>
        <w:t>the</w:t>
      </w:r>
      <w:r w:rsidRPr="00C92853">
        <w:t xml:space="preserve"> </w:t>
      </w:r>
      <w:r>
        <w:t>qualification</w:t>
      </w:r>
      <w:r w:rsidRPr="00C92853">
        <w:t xml:space="preserve"> </w:t>
      </w:r>
      <w:r>
        <w:t>and</w:t>
      </w:r>
      <w:r w:rsidRPr="00C92853">
        <w:t xml:space="preserve"> </w:t>
      </w:r>
      <w:r>
        <w:t>steps</w:t>
      </w:r>
      <w:r w:rsidRPr="00C92853">
        <w:t xml:space="preserve"> </w:t>
      </w:r>
      <w:r>
        <w:t>taken,</w:t>
      </w:r>
      <w:r w:rsidRPr="00C92853">
        <w:t xml:space="preserve"> </w:t>
      </w:r>
      <w:r>
        <w:t>or</w:t>
      </w:r>
      <w:r w:rsidRPr="00C92853">
        <w:t xml:space="preserve"> </w:t>
      </w:r>
      <w:r>
        <w:t>proposed</w:t>
      </w:r>
      <w:r w:rsidRPr="00C92853">
        <w:t xml:space="preserve"> </w:t>
      </w:r>
      <w:r>
        <w:t>to</w:t>
      </w:r>
      <w:r w:rsidRPr="00C92853">
        <w:t xml:space="preserve"> </w:t>
      </w:r>
      <w:r>
        <w:t>be</w:t>
      </w:r>
      <w:r w:rsidRPr="00C92853">
        <w:t xml:space="preserve"> </w:t>
      </w:r>
      <w:r>
        <w:t>taken,</w:t>
      </w:r>
      <w:r w:rsidRPr="00C92853">
        <w:t xml:space="preserve"> </w:t>
      </w:r>
      <w:r>
        <w:t>to</w:t>
      </w:r>
      <w:r w:rsidRPr="00051B01">
        <w:t xml:space="preserve"> remedy the problem.</w:t>
      </w:r>
      <w:r>
        <w:rPr>
          <w:rStyle w:val="FootnoteReference"/>
        </w:rPr>
        <w:footnoteReference w:id="11"/>
      </w:r>
      <w:bookmarkEnd w:id="73"/>
      <w:r w:rsidRPr="00A65308">
        <w:t xml:space="preserve"> </w:t>
      </w:r>
    </w:p>
    <w:p w14:paraId="24D37DB6" w14:textId="77777777" w:rsidR="00DF2FBC" w:rsidRDefault="00DF2FBC" w:rsidP="00DF2FBC">
      <w:pPr>
        <w:pStyle w:val="BodyText1"/>
      </w:pPr>
      <w:bookmarkStart w:id="74" w:name="_Ref444183016"/>
      <w:bookmarkStart w:id="75" w:name="_Ref443042361"/>
      <w:r>
        <w:t>Unless otherwise approved by APRA, an</w:t>
      </w:r>
      <w:r w:rsidRPr="00C92853">
        <w:t xml:space="preserve"> </w:t>
      </w:r>
      <w:r>
        <w:t>APRA-regulated</w:t>
      </w:r>
      <w:r w:rsidRPr="00C92853">
        <w:t xml:space="preserve"> </w:t>
      </w:r>
      <w:r>
        <w:t>institution must</w:t>
      </w:r>
      <w:r w:rsidRPr="00C92853">
        <w:t xml:space="preserve"> </w:t>
      </w:r>
      <w:r>
        <w:t>submit</w:t>
      </w:r>
      <w:r w:rsidRPr="00C92853">
        <w:t xml:space="preserve"> </w:t>
      </w:r>
      <w:r>
        <w:t>the</w:t>
      </w:r>
      <w:r w:rsidRPr="00C92853">
        <w:t xml:space="preserve"> </w:t>
      </w:r>
      <w:r>
        <w:t>risk</w:t>
      </w:r>
      <w:r w:rsidRPr="00C92853">
        <w:t xml:space="preserve"> </w:t>
      </w:r>
      <w:r>
        <w:t>management</w:t>
      </w:r>
      <w:r w:rsidRPr="00C92853">
        <w:t xml:space="preserve"> </w:t>
      </w:r>
      <w:r>
        <w:t>declaration</w:t>
      </w:r>
      <w:r w:rsidRPr="00C92853">
        <w:t xml:space="preserve"> of the institution </w:t>
      </w:r>
      <w:r>
        <w:t>to</w:t>
      </w:r>
      <w:r w:rsidRPr="00C92853">
        <w:t xml:space="preserve"> </w:t>
      </w:r>
      <w:r>
        <w:t>APRA:</w:t>
      </w:r>
      <w:bookmarkEnd w:id="74"/>
      <w:r>
        <w:t xml:space="preserve"> </w:t>
      </w:r>
    </w:p>
    <w:p w14:paraId="608A62AB" w14:textId="77777777" w:rsidR="00DF2FBC" w:rsidRDefault="00DF2FBC" w:rsidP="00561C5D">
      <w:pPr>
        <w:pStyle w:val="BodyText2"/>
        <w:tabs>
          <w:tab w:val="clear" w:pos="1560"/>
          <w:tab w:val="num" w:pos="1134"/>
        </w:tabs>
        <w:ind w:left="1134"/>
      </w:pPr>
      <w:r>
        <w:t xml:space="preserve">within </w:t>
      </w:r>
      <w:r w:rsidRPr="002E7425">
        <w:t>four</w:t>
      </w:r>
      <w:r>
        <w:t xml:space="preserve"> months of its annual balance date if it is an ADI or authorised banking NOHC that is not a disclosing entity within the meaning of the </w:t>
      </w:r>
      <w:r>
        <w:rPr>
          <w:i/>
          <w:iCs/>
        </w:rPr>
        <w:t>Corporations Act 2001</w:t>
      </w:r>
      <w:r>
        <w:t xml:space="preserve">; </w:t>
      </w:r>
    </w:p>
    <w:p w14:paraId="37F812C3" w14:textId="77777777" w:rsidR="00DF2FBC" w:rsidRDefault="00DF2FBC" w:rsidP="00561C5D">
      <w:pPr>
        <w:pStyle w:val="BodyText2"/>
        <w:tabs>
          <w:tab w:val="clear" w:pos="1560"/>
          <w:tab w:val="num" w:pos="1134"/>
        </w:tabs>
        <w:ind w:left="1134"/>
      </w:pPr>
      <w:r>
        <w:t xml:space="preserve">within </w:t>
      </w:r>
      <w:r w:rsidRPr="002E7425">
        <w:t>four</w:t>
      </w:r>
      <w:r>
        <w:t xml:space="preserve"> months of its annual balance date if it is a Level 3 Head; or</w:t>
      </w:r>
    </w:p>
    <w:p w14:paraId="42F4981C" w14:textId="77777777" w:rsidR="00DF2FBC" w:rsidRPr="0047482A" w:rsidRDefault="00DF2FBC" w:rsidP="00561C5D">
      <w:pPr>
        <w:pStyle w:val="BodyText2"/>
        <w:tabs>
          <w:tab w:val="clear" w:pos="1560"/>
          <w:tab w:val="num" w:pos="1134"/>
        </w:tabs>
        <w:ind w:left="1134"/>
      </w:pPr>
      <w:r>
        <w:t xml:space="preserve">for all </w:t>
      </w:r>
      <w:r w:rsidRPr="002E7425">
        <w:t>other</w:t>
      </w:r>
      <w:r>
        <w:t xml:space="preserve"> APRA-regulated institutions, within three months of its annual balance date.</w:t>
      </w:r>
    </w:p>
    <w:p w14:paraId="3C7C38C6" w14:textId="77777777" w:rsidR="00DF2FBC" w:rsidRDefault="00DF2FBC" w:rsidP="00561C5D">
      <w:pPr>
        <w:pStyle w:val="Heading1"/>
      </w:pPr>
      <w:bookmarkStart w:id="76" w:name="_Toc454537705"/>
      <w:bookmarkEnd w:id="70"/>
      <w:bookmarkEnd w:id="75"/>
      <w:r>
        <w:t>Notification requirements</w:t>
      </w:r>
      <w:bookmarkEnd w:id="76"/>
    </w:p>
    <w:p w14:paraId="049ACC2A" w14:textId="77777777" w:rsidR="00DF2FBC" w:rsidRDefault="00DF2FBC" w:rsidP="00561C5D">
      <w:pPr>
        <w:pStyle w:val="BodyText1"/>
        <w:keepNext/>
      </w:pPr>
      <w:bookmarkStart w:id="77" w:name="_Ref443050308"/>
      <w:r>
        <w:t>An</w:t>
      </w:r>
      <w:r w:rsidRPr="00C92853">
        <w:t xml:space="preserve"> </w:t>
      </w:r>
      <w:r>
        <w:t>APRA-regulated</w:t>
      </w:r>
      <w:r w:rsidRPr="00C92853">
        <w:t xml:space="preserve"> </w:t>
      </w:r>
      <w:r>
        <w:t>institution</w:t>
      </w:r>
      <w:r w:rsidRPr="00C92853">
        <w:t xml:space="preserve"> </w:t>
      </w:r>
      <w:r>
        <w:t>must</w:t>
      </w:r>
      <w:r w:rsidRPr="00C92853">
        <w:t xml:space="preserve"> </w:t>
      </w:r>
      <w:r>
        <w:t>on</w:t>
      </w:r>
      <w:r w:rsidRPr="00C92853">
        <w:t xml:space="preserve"> </w:t>
      </w:r>
      <w:r>
        <w:t>adoption,</w:t>
      </w:r>
      <w:r w:rsidRPr="00C92853">
        <w:t xml:space="preserve"> </w:t>
      </w:r>
      <w:r>
        <w:t>and</w:t>
      </w:r>
      <w:r w:rsidRPr="00C92853">
        <w:t xml:space="preserve"> </w:t>
      </w:r>
      <w:r>
        <w:t>following</w:t>
      </w:r>
      <w:r w:rsidRPr="00C92853">
        <w:t xml:space="preserve"> any </w:t>
      </w:r>
      <w:r>
        <w:t>material</w:t>
      </w:r>
      <w:r w:rsidRPr="00C92853">
        <w:t xml:space="preserve"> </w:t>
      </w:r>
      <w:r>
        <w:t>revisions, submit to APRA a</w:t>
      </w:r>
      <w:r w:rsidRPr="00C92853">
        <w:t xml:space="preserve"> </w:t>
      </w:r>
      <w:r>
        <w:t>copy</w:t>
      </w:r>
      <w:r w:rsidRPr="00C92853">
        <w:t xml:space="preserve"> </w:t>
      </w:r>
      <w:r>
        <w:t>of the institution’s:</w:t>
      </w:r>
      <w:bookmarkEnd w:id="77"/>
    </w:p>
    <w:p w14:paraId="41971EA1" w14:textId="77777777" w:rsidR="00DF2FBC" w:rsidRPr="002E7425" w:rsidRDefault="00DF2FBC" w:rsidP="00561C5D">
      <w:pPr>
        <w:pStyle w:val="BodyText2"/>
        <w:tabs>
          <w:tab w:val="clear" w:pos="1560"/>
          <w:tab w:val="num" w:pos="1134"/>
        </w:tabs>
        <w:ind w:left="1134"/>
      </w:pPr>
      <w:r>
        <w:t xml:space="preserve">risk </w:t>
      </w:r>
      <w:r w:rsidRPr="002E7425">
        <w:t>appetite statement;</w:t>
      </w:r>
    </w:p>
    <w:p w14:paraId="5D7EE93E" w14:textId="77777777" w:rsidR="00DF2FBC" w:rsidRPr="002E7425" w:rsidRDefault="00DF2FBC" w:rsidP="00561C5D">
      <w:pPr>
        <w:pStyle w:val="BodyText2"/>
        <w:tabs>
          <w:tab w:val="clear" w:pos="1560"/>
          <w:tab w:val="num" w:pos="1134"/>
        </w:tabs>
        <w:ind w:left="1134"/>
      </w:pPr>
      <w:r w:rsidRPr="002E7425">
        <w:t>business plan; and</w:t>
      </w:r>
    </w:p>
    <w:p w14:paraId="68C6D8CC" w14:textId="77777777" w:rsidR="00DF2FBC" w:rsidRDefault="00DF2FBC" w:rsidP="00561C5D">
      <w:pPr>
        <w:pStyle w:val="BodyText2"/>
        <w:tabs>
          <w:tab w:val="clear" w:pos="1560"/>
          <w:tab w:val="num" w:pos="1134"/>
        </w:tabs>
        <w:ind w:left="1134"/>
      </w:pPr>
      <w:r w:rsidRPr="002E7425">
        <w:t>R</w:t>
      </w:r>
      <w:r>
        <w:t>MS</w:t>
      </w:r>
    </w:p>
    <w:p w14:paraId="2F77EBD1" w14:textId="77777777" w:rsidR="00DF2FBC" w:rsidRDefault="00DF2FBC" w:rsidP="00DF2FBC">
      <w:pPr>
        <w:pStyle w:val="BodyText1"/>
        <w:numPr>
          <w:ilvl w:val="0"/>
          <w:numId w:val="0"/>
        </w:numPr>
        <w:ind w:left="567"/>
      </w:pPr>
      <w:r>
        <w:t xml:space="preserve">as soon as practicable, and no more than 10 </w:t>
      </w:r>
      <w:r w:rsidRPr="00E15196">
        <w:t>business days</w:t>
      </w:r>
      <w:r>
        <w:t xml:space="preserve">, after </w:t>
      </w:r>
      <w:r w:rsidRPr="00B902F7">
        <w:t>Board</w:t>
      </w:r>
      <w:r w:rsidRPr="00C92853">
        <w:t xml:space="preserve"> </w:t>
      </w:r>
      <w:r>
        <w:t>approval.</w:t>
      </w:r>
    </w:p>
    <w:p w14:paraId="269E855F" w14:textId="77777777" w:rsidR="00DF2FBC" w:rsidRDefault="00DF2FBC" w:rsidP="00DF2FBC">
      <w:pPr>
        <w:pStyle w:val="BodyText1"/>
      </w:pPr>
      <w:r>
        <w:t>An</w:t>
      </w:r>
      <w:r w:rsidRPr="00C92853">
        <w:t xml:space="preserve"> </w:t>
      </w:r>
      <w:r>
        <w:t>APRA-regulated</w:t>
      </w:r>
      <w:r w:rsidRPr="00C92853">
        <w:t xml:space="preserve"> </w:t>
      </w:r>
      <w:r>
        <w:t>institution</w:t>
      </w:r>
      <w:r w:rsidRPr="00C92853">
        <w:t xml:space="preserve"> </w:t>
      </w:r>
      <w:r>
        <w:t>must</w:t>
      </w:r>
      <w:r w:rsidRPr="00C92853">
        <w:t xml:space="preserve"> </w:t>
      </w:r>
      <w:r>
        <w:t>notify</w:t>
      </w:r>
      <w:r w:rsidRPr="00C92853">
        <w:t xml:space="preserve"> </w:t>
      </w:r>
      <w:r>
        <w:t>APRA</w:t>
      </w:r>
      <w:r w:rsidRPr="00C92853">
        <w:t xml:space="preserve"> </w:t>
      </w:r>
      <w:r>
        <w:t>as</w:t>
      </w:r>
      <w:r w:rsidRPr="00C92853">
        <w:t xml:space="preserve"> </w:t>
      </w:r>
      <w:r>
        <w:t>soon</w:t>
      </w:r>
      <w:r w:rsidRPr="00C92853">
        <w:t xml:space="preserve"> </w:t>
      </w:r>
      <w:r>
        <w:t>as</w:t>
      </w:r>
      <w:r w:rsidRPr="00C92853">
        <w:t xml:space="preserve"> </w:t>
      </w:r>
      <w:r>
        <w:t>practicable,</w:t>
      </w:r>
      <w:r w:rsidRPr="00C92853">
        <w:t xml:space="preserve"> </w:t>
      </w:r>
      <w:r>
        <w:t>and</w:t>
      </w:r>
      <w:r w:rsidRPr="00C92853">
        <w:t xml:space="preserve"> </w:t>
      </w:r>
      <w:r>
        <w:t>no more</w:t>
      </w:r>
      <w:r w:rsidRPr="00C92853">
        <w:t xml:space="preserve"> </w:t>
      </w:r>
      <w:r>
        <w:t>than 10 business</w:t>
      </w:r>
      <w:r w:rsidRPr="00C92853">
        <w:t xml:space="preserve"> </w:t>
      </w:r>
      <w:r>
        <w:t>days,</w:t>
      </w:r>
      <w:r w:rsidRPr="00C92853">
        <w:t xml:space="preserve"> </w:t>
      </w:r>
      <w:r>
        <w:t>after it becomes aware:</w:t>
      </w:r>
    </w:p>
    <w:p w14:paraId="2A6F5C30" w14:textId="77777777" w:rsidR="00DF2FBC" w:rsidRPr="002E7425" w:rsidRDefault="00DF2FBC" w:rsidP="00561C5D">
      <w:pPr>
        <w:pStyle w:val="BodyText2"/>
        <w:tabs>
          <w:tab w:val="clear" w:pos="1560"/>
          <w:tab w:val="num" w:pos="1134"/>
        </w:tabs>
        <w:ind w:left="1134"/>
      </w:pPr>
      <w:r>
        <w:t>of</w:t>
      </w:r>
      <w:r w:rsidRPr="0047482A">
        <w:t xml:space="preserve"> </w:t>
      </w:r>
      <w:r>
        <w:t>a</w:t>
      </w:r>
      <w:r w:rsidRPr="0047482A">
        <w:t xml:space="preserve"> </w:t>
      </w:r>
      <w:r w:rsidRPr="002E7425">
        <w:t>significant breach of, or material deviation from, the risk management framework</w:t>
      </w:r>
      <w:r w:rsidRPr="0047482A">
        <w:t xml:space="preserve"> of the institution</w:t>
      </w:r>
      <w:r w:rsidRPr="002E7425">
        <w:t>; or</w:t>
      </w:r>
    </w:p>
    <w:p w14:paraId="0D306CA4" w14:textId="77777777" w:rsidR="00DF2FBC" w:rsidRDefault="00DF2FBC" w:rsidP="00561C5D">
      <w:pPr>
        <w:pStyle w:val="BodyText2"/>
        <w:tabs>
          <w:tab w:val="clear" w:pos="1560"/>
          <w:tab w:val="num" w:pos="1134"/>
        </w:tabs>
        <w:ind w:left="1134"/>
      </w:pPr>
      <w:r w:rsidRPr="002E7425">
        <w:t>that the</w:t>
      </w:r>
      <w:r w:rsidRPr="0047482A">
        <w:t xml:space="preserve"> </w:t>
      </w:r>
      <w:r>
        <w:t>risk</w:t>
      </w:r>
      <w:r w:rsidRPr="0047482A">
        <w:t xml:space="preserve"> </w:t>
      </w:r>
      <w:r>
        <w:t>management</w:t>
      </w:r>
      <w:r w:rsidRPr="0047482A">
        <w:t xml:space="preserve"> </w:t>
      </w:r>
      <w:r>
        <w:t>framework</w:t>
      </w:r>
      <w:r w:rsidRPr="0047482A">
        <w:t xml:space="preserve"> of the institution </w:t>
      </w:r>
      <w:r>
        <w:t>did</w:t>
      </w:r>
      <w:r w:rsidRPr="0047482A">
        <w:t xml:space="preserve"> </w:t>
      </w:r>
      <w:r>
        <w:t>not</w:t>
      </w:r>
      <w:r w:rsidRPr="0047482A">
        <w:t xml:space="preserve"> </w:t>
      </w:r>
      <w:r>
        <w:t>adequately address</w:t>
      </w:r>
      <w:r w:rsidRPr="0047482A">
        <w:t xml:space="preserve"> </w:t>
      </w:r>
      <w:r>
        <w:t>a</w:t>
      </w:r>
      <w:r w:rsidRPr="0047482A">
        <w:t xml:space="preserve"> </w:t>
      </w:r>
      <w:r>
        <w:t>material</w:t>
      </w:r>
      <w:r w:rsidRPr="0047482A">
        <w:t xml:space="preserve"> </w:t>
      </w:r>
      <w:r>
        <w:t>risk.</w:t>
      </w:r>
    </w:p>
    <w:p w14:paraId="15C482D5" w14:textId="77777777" w:rsidR="00DF2FBC" w:rsidRDefault="00DF2FBC" w:rsidP="00DF2FBC">
      <w:pPr>
        <w:pStyle w:val="BodyText1"/>
      </w:pPr>
      <w:r>
        <w:t>An</w:t>
      </w:r>
      <w:r w:rsidRPr="00C92853">
        <w:t xml:space="preserve"> </w:t>
      </w:r>
      <w:r>
        <w:t>APRA-regulated</w:t>
      </w:r>
      <w:r w:rsidRPr="00C92853">
        <w:t xml:space="preserve"> </w:t>
      </w:r>
      <w:r>
        <w:t>institution</w:t>
      </w:r>
      <w:r w:rsidRPr="00C92853">
        <w:t xml:space="preserve"> </w:t>
      </w:r>
      <w:r>
        <w:t>must</w:t>
      </w:r>
      <w:r w:rsidRPr="00C92853">
        <w:t xml:space="preserve"> </w:t>
      </w:r>
      <w:r>
        <w:t>notify</w:t>
      </w:r>
      <w:r w:rsidRPr="00C92853">
        <w:t xml:space="preserve"> </w:t>
      </w:r>
      <w:r>
        <w:t>APRA</w:t>
      </w:r>
      <w:r w:rsidRPr="00C92853">
        <w:t xml:space="preserve"> </w:t>
      </w:r>
      <w:r>
        <w:t>as</w:t>
      </w:r>
      <w:r w:rsidRPr="00C92853">
        <w:t xml:space="preserve"> </w:t>
      </w:r>
      <w:r>
        <w:t>soon</w:t>
      </w:r>
      <w:r w:rsidRPr="00C92853">
        <w:t xml:space="preserve"> </w:t>
      </w:r>
      <w:r>
        <w:t>as</w:t>
      </w:r>
      <w:r w:rsidRPr="00C92853">
        <w:t xml:space="preserve"> </w:t>
      </w:r>
      <w:r>
        <w:t>practicable,</w:t>
      </w:r>
      <w:r w:rsidRPr="00C92853">
        <w:t xml:space="preserve"> </w:t>
      </w:r>
      <w:r>
        <w:t>and</w:t>
      </w:r>
      <w:r w:rsidRPr="00C92853">
        <w:t xml:space="preserve"> </w:t>
      </w:r>
      <w:r>
        <w:t>no</w:t>
      </w:r>
      <w:r w:rsidRPr="00C92853">
        <w:t xml:space="preserve"> </w:t>
      </w:r>
      <w:r>
        <w:t>more</w:t>
      </w:r>
      <w:r w:rsidRPr="00C92853">
        <w:t xml:space="preserve"> </w:t>
      </w:r>
      <w:r>
        <w:t>than</w:t>
      </w:r>
      <w:r w:rsidRPr="00C92853">
        <w:t xml:space="preserve"> </w:t>
      </w:r>
      <w:r>
        <w:t>10</w:t>
      </w:r>
      <w:r w:rsidRPr="00C92853">
        <w:t xml:space="preserve"> </w:t>
      </w:r>
      <w:r>
        <w:t>business</w:t>
      </w:r>
      <w:r w:rsidRPr="00C92853">
        <w:t xml:space="preserve"> </w:t>
      </w:r>
      <w:r>
        <w:t>days,</w:t>
      </w:r>
      <w:r w:rsidRPr="00C92853">
        <w:t xml:space="preserve"> </w:t>
      </w:r>
      <w:r>
        <w:t>after</w:t>
      </w:r>
      <w:r w:rsidRPr="00C92853">
        <w:t xml:space="preserve"> </w:t>
      </w:r>
      <w:r>
        <w:t>it</w:t>
      </w:r>
      <w:r w:rsidRPr="00C92853">
        <w:t xml:space="preserve"> </w:t>
      </w:r>
      <w:r>
        <w:t>becomes</w:t>
      </w:r>
      <w:r w:rsidRPr="00C92853">
        <w:t xml:space="preserve"> </w:t>
      </w:r>
      <w:r>
        <w:t>aware</w:t>
      </w:r>
      <w:r w:rsidRPr="00C92853">
        <w:t xml:space="preserve"> </w:t>
      </w:r>
      <w:r>
        <w:t>of</w:t>
      </w:r>
      <w:r w:rsidRPr="00C92853">
        <w:t xml:space="preserve"> any </w:t>
      </w:r>
      <w:r>
        <w:t>material</w:t>
      </w:r>
      <w:r w:rsidRPr="00C92853">
        <w:t xml:space="preserve"> </w:t>
      </w:r>
      <w:r>
        <w:t>or</w:t>
      </w:r>
      <w:r w:rsidRPr="00C92853">
        <w:t xml:space="preserve"> </w:t>
      </w:r>
      <w:r>
        <w:t>prospective</w:t>
      </w:r>
      <w:r w:rsidRPr="00C92853">
        <w:t xml:space="preserve"> </w:t>
      </w:r>
      <w:r>
        <w:t>material</w:t>
      </w:r>
      <w:r w:rsidRPr="00C92853">
        <w:t xml:space="preserve"> </w:t>
      </w:r>
      <w:r>
        <w:t>changes</w:t>
      </w:r>
      <w:r w:rsidRPr="00C92853">
        <w:t xml:space="preserve"> </w:t>
      </w:r>
      <w:r>
        <w:t>to</w:t>
      </w:r>
      <w:r w:rsidRPr="00C92853">
        <w:t xml:space="preserve"> </w:t>
      </w:r>
      <w:r>
        <w:t>the</w:t>
      </w:r>
      <w:r w:rsidRPr="00C92853">
        <w:t xml:space="preserve"> </w:t>
      </w:r>
      <w:r>
        <w:t>size,</w:t>
      </w:r>
      <w:r w:rsidRPr="00C92853">
        <w:t xml:space="preserve"> </w:t>
      </w:r>
      <w:r>
        <w:t>business</w:t>
      </w:r>
      <w:r w:rsidRPr="00C92853">
        <w:t xml:space="preserve"> </w:t>
      </w:r>
      <w:r>
        <w:t>mix</w:t>
      </w:r>
      <w:r w:rsidRPr="00C92853">
        <w:t xml:space="preserve"> </w:t>
      </w:r>
      <w:r>
        <w:t>and</w:t>
      </w:r>
      <w:r w:rsidRPr="00C92853">
        <w:t xml:space="preserve"> </w:t>
      </w:r>
      <w:r>
        <w:t>complexity</w:t>
      </w:r>
      <w:r w:rsidRPr="00C92853">
        <w:t xml:space="preserve"> </w:t>
      </w:r>
      <w:r>
        <w:t>of</w:t>
      </w:r>
      <w:r w:rsidRPr="00C92853">
        <w:t xml:space="preserve"> </w:t>
      </w:r>
      <w:r>
        <w:t>the</w:t>
      </w:r>
      <w:r w:rsidRPr="00C92853">
        <w:t xml:space="preserve"> </w:t>
      </w:r>
      <w:r>
        <w:t>institution.</w:t>
      </w:r>
    </w:p>
    <w:p w14:paraId="2EDBE226" w14:textId="77777777" w:rsidR="00DF2FBC" w:rsidRDefault="00DF2FBC" w:rsidP="00DF2FBC">
      <w:pPr>
        <w:pStyle w:val="BodyText1"/>
      </w:pPr>
      <w:bookmarkStart w:id="78" w:name="_Ref443050322"/>
      <w:r>
        <w:t>Where</w:t>
      </w:r>
      <w:r w:rsidRPr="00C92853">
        <w:t xml:space="preserve"> </w:t>
      </w:r>
      <w:r>
        <w:t>an</w:t>
      </w:r>
      <w:r w:rsidRPr="00C92853">
        <w:t xml:space="preserve"> </w:t>
      </w:r>
      <w:r>
        <w:t>APRA-regulated institution conducts business</w:t>
      </w:r>
      <w:r w:rsidRPr="00C92853">
        <w:t xml:space="preserve"> </w:t>
      </w:r>
      <w:r>
        <w:t>in a jurisdiction</w:t>
      </w:r>
      <w:r w:rsidRPr="00C92853">
        <w:t xml:space="preserve"> </w:t>
      </w:r>
      <w:r>
        <w:t>outside</w:t>
      </w:r>
      <w:r w:rsidRPr="00C92853">
        <w:t xml:space="preserve"> </w:t>
      </w:r>
      <w:r>
        <w:t>Australia,</w:t>
      </w:r>
      <w:r w:rsidRPr="00C92853">
        <w:t xml:space="preserve"> </w:t>
      </w:r>
      <w:r>
        <w:t>it</w:t>
      </w:r>
      <w:r w:rsidRPr="00C92853">
        <w:t xml:space="preserve"> </w:t>
      </w:r>
      <w:r>
        <w:t>must</w:t>
      </w:r>
      <w:r w:rsidRPr="00C92853">
        <w:t xml:space="preserve"> </w:t>
      </w:r>
      <w:r>
        <w:t>notify</w:t>
      </w:r>
      <w:r w:rsidRPr="00C92853">
        <w:t xml:space="preserve"> </w:t>
      </w:r>
      <w:r>
        <w:t>APRA</w:t>
      </w:r>
      <w:r w:rsidRPr="00C92853">
        <w:t xml:space="preserve"> </w:t>
      </w:r>
      <w:r>
        <w:t>as</w:t>
      </w:r>
      <w:r w:rsidRPr="00C92853">
        <w:t xml:space="preserve"> </w:t>
      </w:r>
      <w:r>
        <w:t>soon</w:t>
      </w:r>
      <w:r w:rsidRPr="00C92853">
        <w:t xml:space="preserve"> </w:t>
      </w:r>
      <w:r>
        <w:t>as</w:t>
      </w:r>
      <w:r w:rsidRPr="00C92853">
        <w:t xml:space="preserve"> </w:t>
      </w:r>
      <w:r>
        <w:t>practicable,</w:t>
      </w:r>
      <w:r w:rsidRPr="00C92853">
        <w:t xml:space="preserve"> </w:t>
      </w:r>
      <w:r>
        <w:t>and</w:t>
      </w:r>
      <w:r w:rsidRPr="00C92853">
        <w:t xml:space="preserve"> </w:t>
      </w:r>
      <w:r>
        <w:t>no</w:t>
      </w:r>
      <w:r w:rsidRPr="00C92853">
        <w:t xml:space="preserve"> </w:t>
      </w:r>
      <w:r>
        <w:t>more</w:t>
      </w:r>
      <w:r w:rsidRPr="00C92853">
        <w:t xml:space="preserve"> </w:t>
      </w:r>
      <w:r>
        <w:t>than</w:t>
      </w:r>
      <w:r w:rsidRPr="00C92853">
        <w:t xml:space="preserve"> </w:t>
      </w:r>
      <w:r>
        <w:t>10</w:t>
      </w:r>
      <w:r w:rsidRPr="00C92853">
        <w:t xml:space="preserve"> </w:t>
      </w:r>
      <w:r>
        <w:t>business</w:t>
      </w:r>
      <w:r w:rsidRPr="00C92853">
        <w:t xml:space="preserve"> </w:t>
      </w:r>
      <w:r>
        <w:t>days,</w:t>
      </w:r>
      <w:r w:rsidRPr="00C92853">
        <w:t xml:space="preserve"> </w:t>
      </w:r>
      <w:r>
        <w:t>after</w:t>
      </w:r>
      <w:r w:rsidRPr="00C92853">
        <w:t xml:space="preserve"> </w:t>
      </w:r>
      <w:r>
        <w:t>it</w:t>
      </w:r>
      <w:r w:rsidRPr="00C92853">
        <w:t xml:space="preserve"> </w:t>
      </w:r>
      <w:r>
        <w:t>becomes</w:t>
      </w:r>
      <w:r w:rsidRPr="00C92853">
        <w:t xml:space="preserve"> </w:t>
      </w:r>
      <w:r>
        <w:t>aware</w:t>
      </w:r>
      <w:r w:rsidRPr="00C92853">
        <w:t xml:space="preserve"> </w:t>
      </w:r>
      <w:r>
        <w:t>that</w:t>
      </w:r>
      <w:r w:rsidRPr="00C92853">
        <w:t xml:space="preserve"> </w:t>
      </w:r>
      <w:r>
        <w:t>its</w:t>
      </w:r>
      <w:r w:rsidRPr="00C92853">
        <w:t xml:space="preserve"> </w:t>
      </w:r>
      <w:r>
        <w:t>right</w:t>
      </w:r>
      <w:r w:rsidRPr="00C92853">
        <w:t xml:space="preserve"> </w:t>
      </w:r>
      <w:r>
        <w:t>to</w:t>
      </w:r>
      <w:r w:rsidRPr="00C92853">
        <w:t xml:space="preserve"> </w:t>
      </w:r>
      <w:r>
        <w:t>conduct</w:t>
      </w:r>
      <w:r w:rsidRPr="00C92853">
        <w:t xml:space="preserve"> </w:t>
      </w:r>
      <w:r>
        <w:t>business</w:t>
      </w:r>
      <w:r w:rsidRPr="00C92853">
        <w:t xml:space="preserve"> in </w:t>
      </w:r>
      <w:r>
        <w:t>that</w:t>
      </w:r>
      <w:r w:rsidRPr="00C92853">
        <w:t xml:space="preserve"> </w:t>
      </w:r>
      <w:r>
        <w:t>jurisdiction</w:t>
      </w:r>
      <w:r w:rsidRPr="00C92853">
        <w:t xml:space="preserve"> </w:t>
      </w:r>
      <w:r>
        <w:t>has</w:t>
      </w:r>
      <w:r w:rsidRPr="00C92853">
        <w:t xml:space="preserve"> </w:t>
      </w:r>
      <w:r>
        <w:t>been</w:t>
      </w:r>
      <w:r w:rsidRPr="00C92853">
        <w:t xml:space="preserve"> </w:t>
      </w:r>
      <w:r>
        <w:t>materially</w:t>
      </w:r>
      <w:r w:rsidRPr="00C92853">
        <w:t xml:space="preserve"> </w:t>
      </w:r>
      <w:r>
        <w:t>affected</w:t>
      </w:r>
      <w:r w:rsidRPr="00C92853">
        <w:t xml:space="preserve"> by </w:t>
      </w:r>
      <w:r>
        <w:t>the</w:t>
      </w:r>
      <w:r w:rsidRPr="00C92853">
        <w:t xml:space="preserve"> </w:t>
      </w:r>
      <w:r>
        <w:t>law</w:t>
      </w:r>
      <w:r w:rsidRPr="00C92853">
        <w:t xml:space="preserve"> </w:t>
      </w:r>
      <w:r>
        <w:t>of</w:t>
      </w:r>
      <w:r w:rsidRPr="00C92853">
        <w:t xml:space="preserve"> </w:t>
      </w:r>
      <w:r>
        <w:t>that</w:t>
      </w:r>
      <w:r w:rsidRPr="00C92853">
        <w:t xml:space="preserve"> </w:t>
      </w:r>
      <w:r>
        <w:t>jurisdiction</w:t>
      </w:r>
      <w:r w:rsidRPr="00C92853">
        <w:t xml:space="preserve"> or </w:t>
      </w:r>
      <w:r>
        <w:t>its</w:t>
      </w:r>
      <w:r w:rsidRPr="00C92853">
        <w:t xml:space="preserve"> </w:t>
      </w:r>
      <w:r>
        <w:t>right to conduct business</w:t>
      </w:r>
      <w:r w:rsidRPr="00C92853">
        <w:t xml:space="preserve"> </w:t>
      </w:r>
      <w:r>
        <w:t>has ceased.</w:t>
      </w:r>
      <w:bookmarkStart w:id="79" w:name="_Ref444515917"/>
      <w:bookmarkStart w:id="80" w:name="_Toc295999265"/>
      <w:bookmarkEnd w:id="78"/>
    </w:p>
    <w:p w14:paraId="447F8B32" w14:textId="77777777" w:rsidR="00DF2FBC" w:rsidRDefault="00DF2FBC" w:rsidP="00DF2FBC">
      <w:pPr>
        <w:pStyle w:val="Heading1"/>
      </w:pPr>
      <w:bookmarkStart w:id="81" w:name="_Toc454537706"/>
      <w:bookmarkEnd w:id="79"/>
      <w:r>
        <w:t>Adjustments and exclusions</w:t>
      </w:r>
      <w:bookmarkEnd w:id="80"/>
      <w:bookmarkEnd w:id="81"/>
    </w:p>
    <w:p w14:paraId="6C0BCA43" w14:textId="77777777" w:rsidR="00DF2FBC" w:rsidRPr="00F35821" w:rsidRDefault="00DF2FBC" w:rsidP="000C16CB">
      <w:pPr>
        <w:pStyle w:val="BodyText1"/>
        <w:rPr>
          <w:szCs w:val="16"/>
        </w:rPr>
      </w:pPr>
      <w:bookmarkStart w:id="82" w:name="_Ref444261590"/>
      <w:r>
        <w:t>APRA</w:t>
      </w:r>
      <w:r w:rsidRPr="00C92853">
        <w:t xml:space="preserve"> </w:t>
      </w:r>
      <w:r>
        <w:t>may</w:t>
      </w:r>
      <w:r w:rsidRPr="00C92853">
        <w:t xml:space="preserve"> </w:t>
      </w:r>
      <w:r>
        <w:t>adjust</w:t>
      </w:r>
      <w:r w:rsidRPr="00C92853">
        <w:t xml:space="preserve"> </w:t>
      </w:r>
      <w:r>
        <w:t>or</w:t>
      </w:r>
      <w:r w:rsidRPr="00C92853">
        <w:t xml:space="preserve"> </w:t>
      </w:r>
      <w:r>
        <w:t>exclude</w:t>
      </w:r>
      <w:r w:rsidRPr="00C92853">
        <w:t xml:space="preserve"> </w:t>
      </w:r>
      <w:r>
        <w:t>a</w:t>
      </w:r>
      <w:r w:rsidRPr="00C92853">
        <w:t xml:space="preserve"> </w:t>
      </w:r>
      <w:r>
        <w:t>specific</w:t>
      </w:r>
      <w:r w:rsidRPr="00C92853">
        <w:t xml:space="preserve"> </w:t>
      </w:r>
      <w:r>
        <w:t>requirement</w:t>
      </w:r>
      <w:r w:rsidRPr="00C92853">
        <w:t xml:space="preserve"> </w:t>
      </w:r>
      <w:r>
        <w:t>in</w:t>
      </w:r>
      <w:r w:rsidRPr="00C92853">
        <w:t xml:space="preserve"> </w:t>
      </w:r>
      <w:r>
        <w:t>this</w:t>
      </w:r>
      <w:r w:rsidRPr="00C92853">
        <w:t xml:space="preserve"> </w:t>
      </w:r>
      <w:r>
        <w:t>Prudential</w:t>
      </w:r>
      <w:r w:rsidRPr="00C92853">
        <w:t xml:space="preserve"> </w:t>
      </w:r>
      <w:r>
        <w:t>Standard</w:t>
      </w:r>
      <w:r w:rsidRPr="00C92853">
        <w:t xml:space="preserve"> </w:t>
      </w:r>
      <w:r>
        <w:t>in relation to an APRA-regulated institution.</w:t>
      </w:r>
      <w:r w:rsidRPr="00AB34DC">
        <w:rPr>
          <w:rStyle w:val="FootnoteReference"/>
        </w:rPr>
        <w:footnoteReference w:id="12"/>
      </w:r>
      <w:bookmarkEnd w:id="82"/>
    </w:p>
    <w:p w14:paraId="1B5B6906" w14:textId="77777777" w:rsidR="00DF2FBC" w:rsidRDefault="00DF2FBC" w:rsidP="00DF2FBC">
      <w:pPr>
        <w:pStyle w:val="Heading1"/>
      </w:pPr>
      <w:bookmarkStart w:id="83" w:name="_Toc454537707"/>
      <w:r>
        <w:t>Determinations made</w:t>
      </w:r>
      <w:r>
        <w:rPr>
          <w:spacing w:val="-2"/>
        </w:rPr>
        <w:t xml:space="preserve"> </w:t>
      </w:r>
      <w:r>
        <w:t>under previous prudential standards</w:t>
      </w:r>
      <w:bookmarkEnd w:id="83"/>
    </w:p>
    <w:p w14:paraId="1CD8C840" w14:textId="77777777" w:rsidR="00DF2FBC" w:rsidRDefault="00DF2FBC" w:rsidP="00DF2FBC">
      <w:pPr>
        <w:pStyle w:val="BodyText1"/>
      </w:pPr>
      <w:r>
        <w:t>An</w:t>
      </w:r>
      <w:r w:rsidRPr="00C92853">
        <w:t xml:space="preserve"> </w:t>
      </w:r>
      <w:r>
        <w:t>exercise</w:t>
      </w:r>
      <w:r w:rsidRPr="00C92853">
        <w:t xml:space="preserve"> </w:t>
      </w:r>
      <w:r>
        <w:t>of</w:t>
      </w:r>
      <w:r w:rsidRPr="00C92853">
        <w:t xml:space="preserve"> </w:t>
      </w:r>
      <w:r>
        <w:t>APRA’s</w:t>
      </w:r>
      <w:r w:rsidRPr="00C92853">
        <w:t xml:space="preserve"> </w:t>
      </w:r>
      <w:r>
        <w:t>discretion</w:t>
      </w:r>
      <w:r w:rsidRPr="00C92853">
        <w:t xml:space="preserve"> </w:t>
      </w:r>
      <w:r>
        <w:t>under</w:t>
      </w:r>
      <w:r w:rsidRPr="00C92853">
        <w:t xml:space="preserve"> </w:t>
      </w:r>
      <w:r>
        <w:t>a</w:t>
      </w:r>
      <w:r w:rsidRPr="00C92853">
        <w:t xml:space="preserve"> </w:t>
      </w:r>
      <w:r>
        <w:t>previous</w:t>
      </w:r>
      <w:r w:rsidRPr="00C92853">
        <w:t xml:space="preserve"> </w:t>
      </w:r>
      <w:r>
        <w:t>version</w:t>
      </w:r>
      <w:r w:rsidRPr="00C92853">
        <w:t xml:space="preserve"> </w:t>
      </w:r>
      <w:r>
        <w:t>of</w:t>
      </w:r>
      <w:r w:rsidRPr="00C92853">
        <w:t xml:space="preserve"> </w:t>
      </w:r>
      <w:r>
        <w:t>a</w:t>
      </w:r>
      <w:r w:rsidRPr="00C92853">
        <w:t xml:space="preserve"> </w:t>
      </w:r>
      <w:r>
        <w:t>risk</w:t>
      </w:r>
      <w:r w:rsidRPr="00C92853">
        <w:t xml:space="preserve"> </w:t>
      </w:r>
      <w:r w:rsidRPr="00470F35">
        <w:t>management</w:t>
      </w:r>
      <w:r w:rsidRPr="00C92853">
        <w:t xml:space="preserve"> </w:t>
      </w:r>
      <w:r>
        <w:t>prudential</w:t>
      </w:r>
      <w:r w:rsidRPr="00C92853">
        <w:t xml:space="preserve"> </w:t>
      </w:r>
      <w:r>
        <w:t>standard</w:t>
      </w:r>
      <w:r w:rsidRPr="00C92853">
        <w:t xml:space="preserve"> </w:t>
      </w:r>
      <w:r>
        <w:t>continues</w:t>
      </w:r>
      <w:r w:rsidRPr="00C92853">
        <w:t xml:space="preserve"> </w:t>
      </w:r>
      <w:r>
        <w:t>to</w:t>
      </w:r>
      <w:r w:rsidRPr="00C92853">
        <w:t xml:space="preserve"> </w:t>
      </w:r>
      <w:r>
        <w:t>have</w:t>
      </w:r>
      <w:r w:rsidRPr="00C92853">
        <w:t xml:space="preserve"> </w:t>
      </w:r>
      <w:r>
        <w:t>effect</w:t>
      </w:r>
      <w:r w:rsidRPr="00C92853">
        <w:t xml:space="preserve"> </w:t>
      </w:r>
      <w:r>
        <w:t>under</w:t>
      </w:r>
      <w:r w:rsidRPr="00C92853">
        <w:t xml:space="preserve"> </w:t>
      </w:r>
      <w:r>
        <w:t>this</w:t>
      </w:r>
      <w:r w:rsidRPr="00C92853">
        <w:t xml:space="preserve"> </w:t>
      </w:r>
      <w:r>
        <w:t>Prudential</w:t>
      </w:r>
      <w:r w:rsidRPr="00C92853">
        <w:t xml:space="preserve"> </w:t>
      </w:r>
      <w:r>
        <w:t>Standard.</w:t>
      </w:r>
      <w:r w:rsidRPr="00C92853">
        <w:t xml:space="preserve"> </w:t>
      </w:r>
      <w:r>
        <w:t>For</w:t>
      </w:r>
      <w:r w:rsidRPr="00C92853">
        <w:t xml:space="preserve"> </w:t>
      </w:r>
      <w:r>
        <w:t>the</w:t>
      </w:r>
      <w:r w:rsidRPr="00C92853">
        <w:t xml:space="preserve"> </w:t>
      </w:r>
      <w:r>
        <w:t>purposes</w:t>
      </w:r>
      <w:r w:rsidRPr="00C92853">
        <w:t xml:space="preserve"> of </w:t>
      </w:r>
      <w:r>
        <w:t>this</w:t>
      </w:r>
      <w:r w:rsidRPr="00C92853">
        <w:t xml:space="preserve"> </w:t>
      </w:r>
      <w:r>
        <w:t>paragraph,</w:t>
      </w:r>
      <w:r w:rsidRPr="00C92853">
        <w:t xml:space="preserve"> </w:t>
      </w:r>
      <w:r>
        <w:t>‘a</w:t>
      </w:r>
      <w:r w:rsidRPr="00C92853">
        <w:t xml:space="preserve"> </w:t>
      </w:r>
      <w:r>
        <w:t>previous</w:t>
      </w:r>
      <w:r w:rsidRPr="00C92853">
        <w:t xml:space="preserve"> </w:t>
      </w:r>
      <w:r>
        <w:t>version</w:t>
      </w:r>
      <w:r w:rsidRPr="00C92853">
        <w:t xml:space="preserve"> </w:t>
      </w:r>
      <w:r>
        <w:t>of</w:t>
      </w:r>
      <w:r w:rsidRPr="00C92853">
        <w:t xml:space="preserve"> </w:t>
      </w:r>
      <w:r>
        <w:t>a</w:t>
      </w:r>
      <w:r w:rsidRPr="00C92853">
        <w:t xml:space="preserve"> </w:t>
      </w:r>
      <w:r>
        <w:t>risk</w:t>
      </w:r>
      <w:r w:rsidRPr="00C92853">
        <w:t xml:space="preserve"> </w:t>
      </w:r>
      <w:r>
        <w:t>management</w:t>
      </w:r>
      <w:r w:rsidRPr="00C92853">
        <w:t xml:space="preserve"> </w:t>
      </w:r>
      <w:r>
        <w:t>prudential</w:t>
      </w:r>
      <w:r w:rsidRPr="00C92853">
        <w:t xml:space="preserve"> </w:t>
      </w:r>
      <w:r>
        <w:t>standard’</w:t>
      </w:r>
      <w:r w:rsidRPr="00C92853">
        <w:t xml:space="preserve"> </w:t>
      </w:r>
      <w:r>
        <w:t>includes any versions of:</w:t>
      </w:r>
    </w:p>
    <w:p w14:paraId="4386F426" w14:textId="77777777" w:rsidR="00DF2FBC" w:rsidRDefault="00DF2FBC" w:rsidP="00561C5D">
      <w:pPr>
        <w:pStyle w:val="BodyText2"/>
        <w:tabs>
          <w:tab w:val="clear" w:pos="1560"/>
          <w:tab w:val="num" w:pos="1134"/>
        </w:tabs>
        <w:ind w:left="1134"/>
      </w:pPr>
      <w:r w:rsidRPr="00DF2FBC">
        <w:rPr>
          <w:i/>
        </w:rPr>
        <w:t xml:space="preserve">Prudential Standard </w:t>
      </w:r>
      <w:r w:rsidR="00CF490F">
        <w:rPr>
          <w:i/>
        </w:rPr>
        <w:t>C</w:t>
      </w:r>
      <w:r w:rsidRPr="00DF2FBC">
        <w:rPr>
          <w:i/>
        </w:rPr>
        <w:t>PS 220 Risk Management</w:t>
      </w:r>
      <w:r w:rsidRPr="002E7425">
        <w:t xml:space="preserve">; </w:t>
      </w:r>
    </w:p>
    <w:p w14:paraId="2B5138C9" w14:textId="77777777" w:rsidR="00CF490F" w:rsidRPr="002E7425" w:rsidRDefault="00CF490F" w:rsidP="001655F3">
      <w:pPr>
        <w:pStyle w:val="BodyText2"/>
        <w:tabs>
          <w:tab w:val="clear" w:pos="1560"/>
          <w:tab w:val="num" w:pos="1134"/>
        </w:tabs>
        <w:ind w:left="1134"/>
      </w:pPr>
      <w:r w:rsidRPr="00DF2FBC">
        <w:rPr>
          <w:i/>
        </w:rPr>
        <w:t>Prudential Standard GPS 220 Risk Management</w:t>
      </w:r>
      <w:r w:rsidRPr="002E7425">
        <w:t xml:space="preserve">; </w:t>
      </w:r>
    </w:p>
    <w:p w14:paraId="65FC4ED5" w14:textId="77777777" w:rsidR="00DF2FBC" w:rsidRDefault="00DF2FBC" w:rsidP="00561C5D">
      <w:pPr>
        <w:pStyle w:val="BodyText2"/>
        <w:tabs>
          <w:tab w:val="clear" w:pos="1560"/>
          <w:tab w:val="num" w:pos="1134"/>
        </w:tabs>
        <w:ind w:left="1134"/>
      </w:pPr>
      <w:r w:rsidRPr="00DF2FBC">
        <w:rPr>
          <w:i/>
        </w:rPr>
        <w:t>Prudential Standard GPS 221 Risk Management: Level 2 Insurance Groups</w:t>
      </w:r>
      <w:r w:rsidRPr="002E7425">
        <w:t xml:space="preserve">; and </w:t>
      </w:r>
    </w:p>
    <w:p w14:paraId="1B693D17" w14:textId="77777777" w:rsidR="0038413F" w:rsidRDefault="00DF2FBC" w:rsidP="00561C5D">
      <w:pPr>
        <w:pStyle w:val="BodyText2"/>
        <w:tabs>
          <w:tab w:val="clear" w:pos="1560"/>
          <w:tab w:val="num" w:pos="1134"/>
        </w:tabs>
        <w:ind w:left="1134"/>
        <w:rPr>
          <w:i/>
          <w:iCs/>
        </w:rPr>
      </w:pPr>
      <w:r w:rsidRPr="00C213CF">
        <w:rPr>
          <w:i/>
          <w:iCs/>
        </w:rPr>
        <w:t>Prudential Standard LPS 220 Risk Management.</w:t>
      </w:r>
    </w:p>
    <w:p w14:paraId="2F594A90" w14:textId="77777777" w:rsidR="004573B3" w:rsidRDefault="004573B3" w:rsidP="00992E43">
      <w:pPr>
        <w:pStyle w:val="BodyText2"/>
        <w:numPr>
          <w:ilvl w:val="0"/>
          <w:numId w:val="0"/>
        </w:numPr>
        <w:ind w:left="1277"/>
      </w:pPr>
    </w:p>
    <w:p w14:paraId="0F8E3A6D" w14:textId="77777777" w:rsidR="00636E06" w:rsidRPr="00C213CF" w:rsidRDefault="00636E06" w:rsidP="00636E06">
      <w:pPr>
        <w:pStyle w:val="BodyText1"/>
        <w:numPr>
          <w:ilvl w:val="0"/>
          <w:numId w:val="0"/>
        </w:numPr>
        <w:ind w:left="567" w:hanging="567"/>
        <w:sectPr w:rsidR="00636E06" w:rsidRPr="00C213CF" w:rsidSect="000D63A8">
          <w:pgSz w:w="11906" w:h="16838" w:code="9"/>
          <w:pgMar w:top="1440" w:right="1797" w:bottom="1440" w:left="1797" w:header="709" w:footer="709" w:gutter="0"/>
          <w:cols w:space="708"/>
          <w:docGrid w:linePitch="360"/>
        </w:sectPr>
      </w:pPr>
    </w:p>
    <w:p w14:paraId="5E641F58" w14:textId="77777777" w:rsidR="0038413F" w:rsidRDefault="00E16DD9" w:rsidP="00C61C56">
      <w:pPr>
        <w:pStyle w:val="Heading2"/>
      </w:pPr>
      <w:bookmarkStart w:id="84" w:name="_Toc454537708"/>
      <w:r w:rsidRPr="0038629D">
        <w:t xml:space="preserve">Attachment </w:t>
      </w:r>
      <w:r w:rsidR="00B766FA" w:rsidRPr="0038629D">
        <w:rPr>
          <w:rStyle w:val="Attachmentfieldtext"/>
        </w:rPr>
        <w:fldChar w:fldCharType="begin"/>
      </w:r>
      <w:r w:rsidR="00B766FA" w:rsidRPr="0038629D">
        <w:rPr>
          <w:rStyle w:val="Attachmentfieldtext"/>
        </w:rPr>
        <w:instrText xml:space="preserve"> SEQ Attach \* ALPHABETIC \* MERGEFORMAT </w:instrText>
      </w:r>
      <w:r w:rsidR="00B766FA" w:rsidRPr="0038629D">
        <w:rPr>
          <w:rStyle w:val="Attachmentfieldtext"/>
        </w:rPr>
        <w:fldChar w:fldCharType="separate"/>
      </w:r>
      <w:r w:rsidR="00AA5CFE">
        <w:rPr>
          <w:rStyle w:val="Attachmentfieldtext"/>
          <w:noProof/>
        </w:rPr>
        <w:t>A</w:t>
      </w:r>
      <w:r w:rsidR="00B766FA" w:rsidRPr="0038629D">
        <w:rPr>
          <w:rStyle w:val="Attachmentfieldtext"/>
        </w:rPr>
        <w:fldChar w:fldCharType="end"/>
      </w:r>
      <w:r w:rsidR="001F6B8D" w:rsidRPr="0038629D">
        <w:t xml:space="preserve"> </w:t>
      </w:r>
      <w:r w:rsidR="0038629D">
        <w:t xml:space="preserve">– Risk Management Declaration   </w:t>
      </w:r>
      <w:bookmarkEnd w:id="84"/>
    </w:p>
    <w:p w14:paraId="42135234" w14:textId="77777777" w:rsidR="00DF2FBC" w:rsidRDefault="00DF2FBC" w:rsidP="00017376">
      <w:pPr>
        <w:pStyle w:val="BodyText1"/>
        <w:numPr>
          <w:ilvl w:val="0"/>
          <w:numId w:val="32"/>
        </w:numPr>
      </w:pPr>
      <w:r>
        <w:t>For</w:t>
      </w:r>
      <w:r w:rsidRPr="00C92853">
        <w:t xml:space="preserve"> </w:t>
      </w:r>
      <w:r>
        <w:t>the</w:t>
      </w:r>
      <w:r w:rsidRPr="00C92853">
        <w:t xml:space="preserve"> </w:t>
      </w:r>
      <w:r>
        <w:t>purposes</w:t>
      </w:r>
      <w:r w:rsidRPr="00C92853">
        <w:t xml:space="preserve"> of </w:t>
      </w:r>
      <w:r>
        <w:t>paragraph</w:t>
      </w:r>
      <w:r w:rsidRPr="00C92853">
        <w:t xml:space="preserve"> </w:t>
      </w:r>
      <w:r w:rsidR="0067326D">
        <w:t>49</w:t>
      </w:r>
      <w:r w:rsidRPr="00C92853">
        <w:t xml:space="preserve"> of </w:t>
      </w:r>
      <w:r>
        <w:t>this</w:t>
      </w:r>
      <w:r w:rsidRPr="00C92853">
        <w:t xml:space="preserve"> </w:t>
      </w:r>
      <w:r>
        <w:t>Prudential</w:t>
      </w:r>
      <w:r w:rsidRPr="00C92853">
        <w:t xml:space="preserve"> </w:t>
      </w:r>
      <w:r>
        <w:t>Standard,</w:t>
      </w:r>
      <w:r w:rsidRPr="00C92853">
        <w:t xml:space="preserve"> </w:t>
      </w:r>
      <w:r>
        <w:t>the</w:t>
      </w:r>
      <w:r w:rsidRPr="00C92853">
        <w:t xml:space="preserve"> </w:t>
      </w:r>
      <w:r w:rsidRPr="00B902F7">
        <w:t>Board</w:t>
      </w:r>
      <w:r>
        <w:t xml:space="preserve"> </w:t>
      </w:r>
      <w:r w:rsidRPr="00C92853">
        <w:t xml:space="preserve">of an APRA-regulated institution </w:t>
      </w:r>
      <w:r>
        <w:t>must</w:t>
      </w:r>
      <w:r w:rsidRPr="00C92853">
        <w:t xml:space="preserve"> </w:t>
      </w:r>
      <w:r>
        <w:t>provide</w:t>
      </w:r>
      <w:r w:rsidRPr="00C92853">
        <w:t xml:space="preserve"> </w:t>
      </w:r>
      <w:r>
        <w:t>APRA</w:t>
      </w:r>
      <w:r w:rsidRPr="00C92853">
        <w:t xml:space="preserve"> </w:t>
      </w:r>
      <w:r>
        <w:t>with</w:t>
      </w:r>
      <w:r w:rsidRPr="00C92853">
        <w:t xml:space="preserve"> </w:t>
      </w:r>
      <w:r>
        <w:t>a</w:t>
      </w:r>
      <w:r w:rsidRPr="00C92853">
        <w:t xml:space="preserve"> </w:t>
      </w:r>
      <w:r>
        <w:t>risk</w:t>
      </w:r>
      <w:r w:rsidRPr="00C92853">
        <w:t xml:space="preserve"> </w:t>
      </w:r>
      <w:r>
        <w:t>management</w:t>
      </w:r>
      <w:r w:rsidRPr="00C92853">
        <w:t xml:space="preserve"> </w:t>
      </w:r>
      <w:r>
        <w:t>declaration</w:t>
      </w:r>
      <w:r w:rsidRPr="00C92853">
        <w:t xml:space="preserve"> of the institution </w:t>
      </w:r>
      <w:r>
        <w:t>stating</w:t>
      </w:r>
      <w:r w:rsidRPr="00C92853">
        <w:t xml:space="preserve"> </w:t>
      </w:r>
      <w:r>
        <w:t>that,</w:t>
      </w:r>
      <w:r w:rsidRPr="00C92853">
        <w:t xml:space="preserve"> </w:t>
      </w:r>
      <w:r>
        <w:t>to</w:t>
      </w:r>
      <w:r w:rsidRPr="00C92853">
        <w:t xml:space="preserve"> </w:t>
      </w:r>
      <w:r>
        <w:t>the</w:t>
      </w:r>
      <w:r w:rsidRPr="00C92853">
        <w:t xml:space="preserve"> </w:t>
      </w:r>
      <w:r>
        <w:t>best</w:t>
      </w:r>
      <w:r w:rsidRPr="00C92853">
        <w:t xml:space="preserve"> </w:t>
      </w:r>
      <w:r>
        <w:t>of</w:t>
      </w:r>
      <w:r w:rsidRPr="00C92853">
        <w:t xml:space="preserve"> </w:t>
      </w:r>
      <w:r>
        <w:t>its</w:t>
      </w:r>
      <w:r w:rsidRPr="00C92853">
        <w:t xml:space="preserve"> </w:t>
      </w:r>
      <w:r>
        <w:t>knowledge and having</w:t>
      </w:r>
      <w:r w:rsidRPr="00C92853">
        <w:t xml:space="preserve"> </w:t>
      </w:r>
      <w:r>
        <w:t>made appropriate</w:t>
      </w:r>
      <w:r w:rsidRPr="00C92853">
        <w:t xml:space="preserve"> </w:t>
      </w:r>
      <w:r>
        <w:t>enquiries, in all material respects:</w:t>
      </w:r>
    </w:p>
    <w:p w14:paraId="7A45698E" w14:textId="77777777" w:rsidR="00DF2FBC" w:rsidRPr="002E7425" w:rsidRDefault="00DF2FBC" w:rsidP="00561C5D">
      <w:pPr>
        <w:pStyle w:val="BodyText2"/>
        <w:numPr>
          <w:ilvl w:val="1"/>
          <w:numId w:val="31"/>
        </w:numPr>
        <w:tabs>
          <w:tab w:val="clear" w:pos="1560"/>
          <w:tab w:val="num" w:pos="1134"/>
        </w:tabs>
        <w:ind w:left="1134"/>
      </w:pPr>
      <w:r>
        <w:t>the</w:t>
      </w:r>
      <w:r w:rsidRPr="0047482A">
        <w:t xml:space="preserve"> </w:t>
      </w:r>
      <w:r w:rsidRPr="002E7425">
        <w:t>institution has in place systems for ensuring compliance with all prudential requirements;</w:t>
      </w:r>
    </w:p>
    <w:p w14:paraId="53EF7687" w14:textId="77777777" w:rsidR="00DF2FBC" w:rsidRPr="002E7425" w:rsidRDefault="00DF2FBC" w:rsidP="00561C5D">
      <w:pPr>
        <w:pStyle w:val="BodyText2"/>
        <w:tabs>
          <w:tab w:val="num" w:pos="1134"/>
        </w:tabs>
        <w:ind w:left="1134"/>
      </w:pPr>
      <w:r w:rsidRPr="002E7425">
        <w:t>the systems and resources that are in place for identifying, measuring, evaluating, monitoring, reporting, and controlling or mitigating material risks, and the risk management framework, are appropriate to the institution, having regard to the size, business mix and complexity of the institution;</w:t>
      </w:r>
    </w:p>
    <w:p w14:paraId="24A30252" w14:textId="77777777" w:rsidR="00DF2FBC" w:rsidRPr="002E7425" w:rsidRDefault="00DF2FBC" w:rsidP="00561C5D">
      <w:pPr>
        <w:pStyle w:val="BodyText2"/>
        <w:tabs>
          <w:tab w:val="num" w:pos="1134"/>
        </w:tabs>
        <w:ind w:left="1134"/>
      </w:pPr>
      <w:r w:rsidRPr="002E7425">
        <w:t xml:space="preserve">the risk management and internal control systems in place are operating effectively and are adequate having regard to the risks </w:t>
      </w:r>
      <w:r w:rsidRPr="0047482A">
        <w:t xml:space="preserve">of the institution </w:t>
      </w:r>
      <w:r w:rsidRPr="002E7425">
        <w:t>they are designed to control;</w:t>
      </w:r>
    </w:p>
    <w:p w14:paraId="1C9CBF22" w14:textId="77777777" w:rsidR="00DF2FBC" w:rsidRDefault="00DF2FBC" w:rsidP="00561C5D">
      <w:pPr>
        <w:pStyle w:val="BodyText2"/>
        <w:tabs>
          <w:tab w:val="num" w:pos="1134"/>
        </w:tabs>
        <w:ind w:left="1134"/>
      </w:pPr>
      <w:r w:rsidRPr="002E7425">
        <w:t>the institution has a RMS that complies with this Prudential Standard, and the institution has complied with each measure and control described in the RMS</w:t>
      </w:r>
      <w:r>
        <w:t>;</w:t>
      </w:r>
    </w:p>
    <w:p w14:paraId="445D4FCC" w14:textId="77777777" w:rsidR="00DF2FBC" w:rsidRDefault="00DF2FBC" w:rsidP="00561C5D">
      <w:pPr>
        <w:pStyle w:val="BodyText2"/>
        <w:tabs>
          <w:tab w:val="num" w:pos="1134"/>
        </w:tabs>
        <w:ind w:left="1134"/>
      </w:pPr>
      <w:r>
        <w:t>where</w:t>
      </w:r>
      <w:r w:rsidRPr="0047482A">
        <w:t xml:space="preserve"> </w:t>
      </w:r>
      <w:r w:rsidRPr="002E7425">
        <w:t>it</w:t>
      </w:r>
      <w:r w:rsidRPr="0047482A">
        <w:t xml:space="preserve"> </w:t>
      </w:r>
      <w:r>
        <w:t>is</w:t>
      </w:r>
      <w:r w:rsidRPr="0047482A">
        <w:t xml:space="preserve"> </w:t>
      </w:r>
      <w:r>
        <w:t>a</w:t>
      </w:r>
      <w:r w:rsidRPr="0047482A">
        <w:t xml:space="preserve"> </w:t>
      </w:r>
      <w:r>
        <w:t>general</w:t>
      </w:r>
      <w:r w:rsidRPr="0047482A">
        <w:t xml:space="preserve"> </w:t>
      </w:r>
      <w:r>
        <w:t>insurer,</w:t>
      </w:r>
      <w:r w:rsidRPr="0047482A">
        <w:t xml:space="preserve"> </w:t>
      </w:r>
      <w:r>
        <w:t>the</w:t>
      </w:r>
      <w:r w:rsidRPr="0047482A">
        <w:t xml:space="preserve"> </w:t>
      </w:r>
      <w:r>
        <w:t>institution’s</w:t>
      </w:r>
      <w:r w:rsidRPr="0047482A">
        <w:t xml:space="preserve"> </w:t>
      </w:r>
      <w:r>
        <w:rPr>
          <w:b/>
          <w:bCs/>
        </w:rPr>
        <w:t>Reinsurance</w:t>
      </w:r>
      <w:r w:rsidR="0047482A">
        <w:rPr>
          <w:b/>
          <w:bCs/>
        </w:rPr>
        <w:t xml:space="preserve"> </w:t>
      </w:r>
      <w:r>
        <w:rPr>
          <w:b/>
          <w:bCs/>
        </w:rPr>
        <w:t>Management</w:t>
      </w:r>
      <w:r w:rsidR="0047482A">
        <w:rPr>
          <w:b/>
          <w:bCs/>
        </w:rPr>
        <w:t xml:space="preserve"> </w:t>
      </w:r>
      <w:r>
        <w:rPr>
          <w:b/>
          <w:bCs/>
        </w:rPr>
        <w:t>Strategy</w:t>
      </w:r>
      <w:r w:rsidR="0047482A">
        <w:rPr>
          <w:b/>
          <w:bCs/>
        </w:rPr>
        <w:t xml:space="preserve"> </w:t>
      </w:r>
      <w:r>
        <w:t>complies</w:t>
      </w:r>
      <w:r w:rsidRPr="0047482A">
        <w:t xml:space="preserve"> </w:t>
      </w:r>
      <w:r>
        <w:t>with</w:t>
      </w:r>
      <w:r w:rsidRPr="0047482A">
        <w:t xml:space="preserve"> </w:t>
      </w:r>
      <w:r>
        <w:rPr>
          <w:i/>
        </w:rPr>
        <w:t>Prudential</w:t>
      </w:r>
      <w:r w:rsidR="0009406F">
        <w:rPr>
          <w:i/>
        </w:rPr>
        <w:t xml:space="preserve"> </w:t>
      </w:r>
      <w:r>
        <w:rPr>
          <w:i/>
        </w:rPr>
        <w:t>Standard</w:t>
      </w:r>
      <w:r w:rsidR="0009406F">
        <w:rPr>
          <w:i/>
        </w:rPr>
        <w:t xml:space="preserve"> </w:t>
      </w:r>
      <w:r>
        <w:rPr>
          <w:i/>
        </w:rPr>
        <w:t>GPS</w:t>
      </w:r>
      <w:r w:rsidR="0009406F">
        <w:rPr>
          <w:i/>
        </w:rPr>
        <w:t xml:space="preserve"> </w:t>
      </w:r>
      <w:r>
        <w:rPr>
          <w:i/>
        </w:rPr>
        <w:t>230</w:t>
      </w:r>
      <w:r w:rsidR="0009406F">
        <w:rPr>
          <w:i/>
        </w:rPr>
        <w:t xml:space="preserve"> </w:t>
      </w:r>
      <w:r>
        <w:rPr>
          <w:i/>
        </w:rPr>
        <w:t>Reinsurance</w:t>
      </w:r>
      <w:r w:rsidR="0009406F">
        <w:rPr>
          <w:i/>
        </w:rPr>
        <w:t xml:space="preserve"> </w:t>
      </w:r>
      <w:r>
        <w:rPr>
          <w:i/>
        </w:rPr>
        <w:t>Management</w:t>
      </w:r>
      <w:r>
        <w:t>, for selecting</w:t>
      </w:r>
      <w:r w:rsidRPr="0047482A">
        <w:t xml:space="preserve"> </w:t>
      </w:r>
      <w:r>
        <w:t>and monitoring</w:t>
      </w:r>
      <w:r w:rsidRPr="0047482A">
        <w:t xml:space="preserve"> </w:t>
      </w:r>
      <w:r>
        <w:t>reinsurance programs; and</w:t>
      </w:r>
    </w:p>
    <w:p w14:paraId="4ACB13C9" w14:textId="77777777" w:rsidR="007D2D7F" w:rsidRDefault="00DF2FBC" w:rsidP="00561C5D">
      <w:pPr>
        <w:pStyle w:val="BodyText2"/>
        <w:tabs>
          <w:tab w:val="num" w:pos="1134"/>
        </w:tabs>
        <w:ind w:left="1134"/>
      </w:pPr>
      <w:r>
        <w:t>the</w:t>
      </w:r>
      <w:r w:rsidRPr="0047482A">
        <w:t xml:space="preserve"> </w:t>
      </w:r>
      <w:r w:rsidRPr="002E7425">
        <w:t>APRA</w:t>
      </w:r>
      <w:r w:rsidRPr="001558BA">
        <w:t xml:space="preserve">-regulated </w:t>
      </w:r>
      <w:r>
        <w:t>institution</w:t>
      </w:r>
      <w:r w:rsidRPr="001558BA">
        <w:t xml:space="preserve"> </w:t>
      </w:r>
      <w:r>
        <w:t>is</w:t>
      </w:r>
      <w:r w:rsidRPr="0047482A">
        <w:t xml:space="preserve"> </w:t>
      </w:r>
      <w:r>
        <w:t>satisfied</w:t>
      </w:r>
      <w:r w:rsidRPr="0047482A">
        <w:t xml:space="preserve"> </w:t>
      </w:r>
      <w:r>
        <w:t>with</w:t>
      </w:r>
      <w:r w:rsidRPr="0047482A">
        <w:t xml:space="preserve"> </w:t>
      </w:r>
      <w:r>
        <w:t>the</w:t>
      </w:r>
      <w:r w:rsidRPr="0047482A">
        <w:t xml:space="preserve"> </w:t>
      </w:r>
      <w:r>
        <w:t>efficacy</w:t>
      </w:r>
      <w:r w:rsidRPr="0047482A">
        <w:t xml:space="preserve"> of </w:t>
      </w:r>
      <w:r>
        <w:t>the</w:t>
      </w:r>
      <w:r w:rsidRPr="0047482A">
        <w:t xml:space="preserve"> </w:t>
      </w:r>
      <w:r>
        <w:t>processes</w:t>
      </w:r>
      <w:r w:rsidRPr="0047482A">
        <w:t xml:space="preserve"> </w:t>
      </w:r>
      <w:r>
        <w:t>and</w:t>
      </w:r>
      <w:r w:rsidRPr="0047482A">
        <w:t xml:space="preserve"> </w:t>
      </w:r>
      <w:r>
        <w:t>systems</w:t>
      </w:r>
      <w:r w:rsidRPr="0047482A">
        <w:t xml:space="preserve"> </w:t>
      </w:r>
      <w:r>
        <w:t>surrounding</w:t>
      </w:r>
      <w:r w:rsidRPr="0047482A">
        <w:t xml:space="preserve"> </w:t>
      </w:r>
      <w:r>
        <w:t>the</w:t>
      </w:r>
      <w:r w:rsidRPr="0047482A">
        <w:t xml:space="preserve"> </w:t>
      </w:r>
      <w:r>
        <w:t>production</w:t>
      </w:r>
      <w:r w:rsidRPr="0047482A">
        <w:t xml:space="preserve"> </w:t>
      </w:r>
      <w:r>
        <w:t>of</w:t>
      </w:r>
      <w:r w:rsidRPr="0047482A">
        <w:t xml:space="preserve"> </w:t>
      </w:r>
      <w:r>
        <w:t>financial</w:t>
      </w:r>
      <w:r w:rsidRPr="0047482A">
        <w:t xml:space="preserve"> </w:t>
      </w:r>
      <w:r>
        <w:t>information</w:t>
      </w:r>
      <w:r w:rsidRPr="0047482A">
        <w:t xml:space="preserve"> </w:t>
      </w:r>
      <w:r>
        <w:t>at</w:t>
      </w:r>
      <w:r w:rsidRPr="0047482A">
        <w:t xml:space="preserve"> </w:t>
      </w:r>
      <w:r>
        <w:t>the</w:t>
      </w:r>
      <w:r w:rsidRPr="0047482A">
        <w:t xml:space="preserve"> </w:t>
      </w:r>
      <w:r>
        <w:t>institution.</w:t>
      </w:r>
    </w:p>
    <w:sectPr w:rsidR="007D2D7F" w:rsidSect="000D63A8">
      <w:footerReference w:type="default" r:id="rId1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05AE5" w14:textId="77777777" w:rsidR="00F44DB3" w:rsidRDefault="00F44DB3" w:rsidP="006A6A52">
      <w:pPr>
        <w:spacing w:after="0"/>
      </w:pPr>
      <w:r>
        <w:separator/>
      </w:r>
    </w:p>
    <w:p w14:paraId="13CBB70B" w14:textId="77777777" w:rsidR="00F44DB3" w:rsidRDefault="00F44DB3"/>
  </w:endnote>
  <w:endnote w:type="continuationSeparator" w:id="0">
    <w:p w14:paraId="0E984998" w14:textId="77777777" w:rsidR="00F44DB3" w:rsidRDefault="00F44DB3" w:rsidP="006A6A52">
      <w:pPr>
        <w:spacing w:after="0"/>
      </w:pPr>
      <w:r>
        <w:continuationSeparator/>
      </w:r>
    </w:p>
    <w:p w14:paraId="034BF5F5" w14:textId="77777777" w:rsidR="00F44DB3" w:rsidRDefault="00F44DB3"/>
  </w:endnote>
  <w:endnote w:type="continuationNotice" w:id="1">
    <w:p w14:paraId="4852F3D9" w14:textId="77777777" w:rsidR="00F44DB3" w:rsidRDefault="00F44DB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EBBA8" w14:textId="77777777" w:rsidR="00746059" w:rsidRPr="00842FBD" w:rsidRDefault="00746059" w:rsidP="00842FBD">
    <w:pPr>
      <w:pStyle w:val="Footer"/>
    </w:pPr>
    <w:r>
      <w:t xml:space="preserve">CPS 220 - </w:t>
    </w:r>
    <w:r w:rsidRPr="00842FBD">
      <w:fldChar w:fldCharType="begin"/>
    </w:r>
    <w:r w:rsidRPr="00842FBD">
      <w:instrText xml:space="preserve"> PAGE </w:instrText>
    </w:r>
    <w:r w:rsidRPr="00842FBD">
      <w:fldChar w:fldCharType="separate"/>
    </w:r>
    <w:r w:rsidR="00E94041">
      <w:rPr>
        <w:noProof/>
      </w:rPr>
      <w:t>1</w:t>
    </w:r>
    <w:r w:rsidRPr="00842FBD">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948F4" w14:textId="77777777" w:rsidR="00746059" w:rsidRPr="00842FBD" w:rsidRDefault="00746059" w:rsidP="00842FBD">
    <w:pPr>
      <w:pStyle w:val="Footer"/>
    </w:pPr>
    <w:r>
      <w:t xml:space="preserve">CPS 220 – Attachment </w:t>
    </w:r>
    <w:r>
      <w:rPr>
        <w:noProof/>
      </w:rPr>
      <w:fldChar w:fldCharType="begin"/>
    </w:r>
    <w:r>
      <w:rPr>
        <w:noProof/>
      </w:rPr>
      <w:instrText xml:space="preserve"> SEQ Attach\* ALPHABETIC\c  \* MERGEFORMAT </w:instrText>
    </w:r>
    <w:r>
      <w:rPr>
        <w:noProof/>
      </w:rPr>
      <w:fldChar w:fldCharType="separate"/>
    </w:r>
    <w:r w:rsidR="00E94041">
      <w:rPr>
        <w:noProof/>
      </w:rPr>
      <w:t>A</w:t>
    </w:r>
    <w:r>
      <w:rPr>
        <w:noProof/>
      </w:rPr>
      <w:fldChar w:fldCharType="end"/>
    </w:r>
    <w:r>
      <w:t xml:space="preserve"> - </w:t>
    </w:r>
    <w:r w:rsidRPr="00842FBD">
      <w:fldChar w:fldCharType="begin"/>
    </w:r>
    <w:r w:rsidRPr="00842FBD">
      <w:instrText xml:space="preserve"> PAGE </w:instrText>
    </w:r>
    <w:r w:rsidRPr="00842FBD">
      <w:fldChar w:fldCharType="separate"/>
    </w:r>
    <w:r w:rsidR="00E94041">
      <w:rPr>
        <w:noProof/>
      </w:rPr>
      <w:t>14</w:t>
    </w:r>
    <w:r w:rsidRPr="00842FBD">
      <w:fldChar w:fldCharType="end"/>
    </w:r>
  </w:p>
  <w:p w14:paraId="0E607F9A" w14:textId="77777777" w:rsidR="00746059" w:rsidRDefault="007460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1653B" w14:textId="77777777" w:rsidR="00F44DB3" w:rsidRDefault="00F44DB3" w:rsidP="006A6A52">
      <w:pPr>
        <w:spacing w:after="0"/>
      </w:pPr>
      <w:r>
        <w:separator/>
      </w:r>
    </w:p>
  </w:footnote>
  <w:footnote w:type="continuationSeparator" w:id="0">
    <w:p w14:paraId="705D1181" w14:textId="77777777" w:rsidR="00F44DB3" w:rsidRDefault="00F44DB3" w:rsidP="006A6A52">
      <w:pPr>
        <w:spacing w:after="0"/>
      </w:pPr>
      <w:r>
        <w:continuationSeparator/>
      </w:r>
    </w:p>
  </w:footnote>
  <w:footnote w:type="continuationNotice" w:id="1">
    <w:p w14:paraId="5FE079C9" w14:textId="77777777" w:rsidR="00F44DB3" w:rsidRDefault="00F44DB3">
      <w:pPr>
        <w:spacing w:after="0"/>
      </w:pPr>
    </w:p>
  </w:footnote>
  <w:footnote w:id="2">
    <w:p w14:paraId="50C23CE8" w14:textId="77777777" w:rsidR="00746059" w:rsidRPr="005B0266" w:rsidRDefault="00746059" w:rsidP="00A31072">
      <w:pPr>
        <w:pStyle w:val="FootnoteText"/>
      </w:pPr>
      <w:r w:rsidRPr="005B0266">
        <w:rPr>
          <w:rStyle w:val="FootnoteReference"/>
        </w:rPr>
        <w:footnoteRef/>
      </w:r>
      <w:r w:rsidRPr="005B0266">
        <w:t xml:space="preserve"> </w:t>
      </w:r>
      <w:r w:rsidRPr="005B0266">
        <w:tab/>
        <w:t>Note, for the purposes of this Prudential Standard, a</w:t>
      </w:r>
      <w:r>
        <w:t>n</w:t>
      </w:r>
      <w:r w:rsidRPr="005B0266">
        <w:t xml:space="preserve"> </w:t>
      </w:r>
      <w:r w:rsidRPr="005B0266">
        <w:rPr>
          <w:b/>
        </w:rPr>
        <w:t>RSE licensee</w:t>
      </w:r>
      <w:r w:rsidRPr="005B0266">
        <w:rPr>
          <w:i/>
        </w:rPr>
        <w:t xml:space="preserve"> </w:t>
      </w:r>
      <w:r w:rsidRPr="005B0266">
        <w:t xml:space="preserve">is not treated as an ‘APRA-regulated institution’. Refer to </w:t>
      </w:r>
      <w:r w:rsidRPr="005B0266">
        <w:rPr>
          <w:i/>
        </w:rPr>
        <w:t xml:space="preserve">Prudential Standard SPS 220 Risk Management </w:t>
      </w:r>
      <w:r w:rsidRPr="005B0266">
        <w:t>(SPS 220) for requirements relating to the risk management of an RSE licensee.</w:t>
      </w:r>
    </w:p>
  </w:footnote>
  <w:footnote w:id="3">
    <w:p w14:paraId="46A76121" w14:textId="77777777" w:rsidR="00746059" w:rsidRDefault="00746059" w:rsidP="00A31072">
      <w:pPr>
        <w:pStyle w:val="FootnoteText"/>
      </w:pPr>
      <w:r w:rsidRPr="00070308">
        <w:rPr>
          <w:rStyle w:val="FootnoteReference"/>
        </w:rPr>
        <w:footnoteRef/>
      </w:r>
      <w:r w:rsidRPr="00070308">
        <w:t xml:space="preserve">  </w:t>
      </w:r>
      <w:r w:rsidRPr="00070308">
        <w:tab/>
      </w:r>
      <w:r w:rsidRPr="002E7425">
        <w:rPr>
          <w:rStyle w:val="FootnoteTextChar"/>
        </w:rPr>
        <w:t>Where a Level 2 group operates within a Level 3 group, a requirement expressed as applying to a Head of a group is to be read as applying to the Level 3 Head.</w:t>
      </w:r>
      <w:r>
        <w:rPr>
          <w:rStyle w:val="FootnoteTextChar"/>
        </w:rPr>
        <w:t xml:space="preserve">  </w:t>
      </w:r>
    </w:p>
  </w:footnote>
  <w:footnote w:id="4">
    <w:p w14:paraId="1E460874" w14:textId="77777777" w:rsidR="00746059" w:rsidRDefault="00746059" w:rsidP="00A31072">
      <w:pPr>
        <w:pStyle w:val="FootnoteText"/>
      </w:pPr>
      <w:r>
        <w:rPr>
          <w:rStyle w:val="FootnoteReference"/>
        </w:rPr>
        <w:footnoteRef/>
      </w:r>
      <w:r>
        <w:tab/>
        <w:t>A</w:t>
      </w:r>
      <w:r>
        <w:rPr>
          <w:spacing w:val="10"/>
        </w:rPr>
        <w:t xml:space="preserve"> </w:t>
      </w:r>
      <w:r>
        <w:t>reference</w:t>
      </w:r>
      <w:r>
        <w:rPr>
          <w:spacing w:val="14"/>
        </w:rPr>
        <w:t xml:space="preserve"> </w:t>
      </w:r>
      <w:r>
        <w:t>to</w:t>
      </w:r>
      <w:r>
        <w:rPr>
          <w:spacing w:val="14"/>
        </w:rPr>
        <w:t xml:space="preserve"> </w:t>
      </w:r>
      <w:r>
        <w:t>the</w:t>
      </w:r>
      <w:r>
        <w:rPr>
          <w:spacing w:val="14"/>
        </w:rPr>
        <w:t xml:space="preserve"> </w:t>
      </w:r>
      <w:r>
        <w:t>Board</w:t>
      </w:r>
      <w:r>
        <w:rPr>
          <w:spacing w:val="14"/>
        </w:rPr>
        <w:t xml:space="preserve"> </w:t>
      </w:r>
      <w:r>
        <w:t>in</w:t>
      </w:r>
      <w:r>
        <w:rPr>
          <w:spacing w:val="12"/>
        </w:rPr>
        <w:t xml:space="preserve"> </w:t>
      </w:r>
      <w:r>
        <w:t>the</w:t>
      </w:r>
      <w:r>
        <w:rPr>
          <w:spacing w:val="13"/>
        </w:rPr>
        <w:t xml:space="preserve"> </w:t>
      </w:r>
      <w:r>
        <w:t>case</w:t>
      </w:r>
      <w:r>
        <w:rPr>
          <w:spacing w:val="14"/>
        </w:rPr>
        <w:t xml:space="preserve"> </w:t>
      </w:r>
      <w:r>
        <w:t>of</w:t>
      </w:r>
      <w:r>
        <w:rPr>
          <w:spacing w:val="12"/>
        </w:rPr>
        <w:t xml:space="preserve"> </w:t>
      </w:r>
      <w:r>
        <w:t>a</w:t>
      </w:r>
      <w:r>
        <w:rPr>
          <w:spacing w:val="14"/>
        </w:rPr>
        <w:t xml:space="preserve"> </w:t>
      </w:r>
      <w:r>
        <w:t>foreign</w:t>
      </w:r>
      <w:r>
        <w:rPr>
          <w:spacing w:val="15"/>
        </w:rPr>
        <w:t xml:space="preserve"> </w:t>
      </w:r>
      <w:r>
        <w:t xml:space="preserve">ADI, is a reference to the </w:t>
      </w:r>
      <w:r w:rsidRPr="00061A83">
        <w:rPr>
          <w:b/>
        </w:rPr>
        <w:t>senior officer outside Australia</w:t>
      </w:r>
      <w:r>
        <w:rPr>
          <w:b/>
        </w:rPr>
        <w:t>.</w:t>
      </w:r>
      <w:r>
        <w:t xml:space="preserve"> </w:t>
      </w:r>
    </w:p>
  </w:footnote>
  <w:footnote w:id="5">
    <w:p w14:paraId="7FBF1F55" w14:textId="77777777" w:rsidR="00746059" w:rsidRPr="00F06EA5" w:rsidRDefault="00746059" w:rsidP="00A31072">
      <w:pPr>
        <w:pStyle w:val="FootnoteText"/>
      </w:pPr>
      <w:r w:rsidRPr="00F06EA5">
        <w:rPr>
          <w:rStyle w:val="FootnoteReference"/>
        </w:rPr>
        <w:footnoteRef/>
      </w:r>
      <w:r w:rsidRPr="00F06EA5">
        <w:tab/>
        <w:t xml:space="preserve">This paragraph </w:t>
      </w:r>
      <w:r w:rsidRPr="002E7425">
        <w:t>does</w:t>
      </w:r>
      <w:r w:rsidRPr="00F06EA5">
        <w:t xml:space="preserve"> not override any requirements applying to an RSE licensee in SPS 220.</w:t>
      </w:r>
    </w:p>
  </w:footnote>
  <w:footnote w:id="6">
    <w:p w14:paraId="6221EDDF" w14:textId="77777777" w:rsidR="00746059" w:rsidRPr="009F637A" w:rsidRDefault="00746059" w:rsidP="00A31072">
      <w:pPr>
        <w:pStyle w:val="FootnoteText"/>
      </w:pPr>
      <w:r w:rsidRPr="009F637A">
        <w:rPr>
          <w:rStyle w:val="FootnoteReference"/>
        </w:rPr>
        <w:footnoteRef/>
      </w:r>
      <w:r>
        <w:tab/>
      </w:r>
      <w:r w:rsidRPr="002E7425">
        <w:t>For life companies</w:t>
      </w:r>
      <w:r>
        <w:t xml:space="preserve"> </w:t>
      </w:r>
      <w:r w:rsidRPr="004D5C40">
        <w:t>and private health insurers</w:t>
      </w:r>
      <w:r w:rsidRPr="002E7425">
        <w:t>, this includes a view of the material risks at the level of individual statutory</w:t>
      </w:r>
      <w:r>
        <w:t xml:space="preserve"> or health benefit</w:t>
      </w:r>
      <w:r w:rsidRPr="002E7425">
        <w:t xml:space="preserve"> funds</w:t>
      </w:r>
      <w:r>
        <w:t xml:space="preserve"> respectively</w:t>
      </w:r>
      <w:r w:rsidRPr="002E7425">
        <w:t>.</w:t>
      </w:r>
      <w:r w:rsidRPr="009F637A">
        <w:t xml:space="preserve"> </w:t>
      </w:r>
    </w:p>
  </w:footnote>
  <w:footnote w:id="7">
    <w:p w14:paraId="4AAF76BA" w14:textId="77777777" w:rsidR="00746059" w:rsidRPr="004014BB" w:rsidRDefault="00746059" w:rsidP="00A31072">
      <w:pPr>
        <w:pStyle w:val="FootnoteText"/>
      </w:pPr>
      <w:r>
        <w:rPr>
          <w:rStyle w:val="FootnoteReference"/>
        </w:rPr>
        <w:footnoteRef/>
      </w:r>
      <w:r>
        <w:tab/>
      </w:r>
      <w:r w:rsidRPr="009B4057">
        <w:rPr>
          <w:rStyle w:val="Style4Char"/>
          <w:rFonts w:eastAsia="Calibri"/>
        </w:rPr>
        <w:t xml:space="preserve">Refer to </w:t>
      </w:r>
      <w:r w:rsidRPr="007F78C0">
        <w:rPr>
          <w:rStyle w:val="Style4Char"/>
          <w:rFonts w:eastAsia="Calibri"/>
          <w:i/>
        </w:rPr>
        <w:t>Prudential Standard APS 110 Capital Adequacy</w:t>
      </w:r>
      <w:r w:rsidRPr="009B4057">
        <w:rPr>
          <w:rStyle w:val="Style4Char"/>
          <w:rFonts w:eastAsia="Calibri"/>
        </w:rPr>
        <w:t xml:space="preserve">, </w:t>
      </w:r>
      <w:r w:rsidRPr="007F78C0">
        <w:rPr>
          <w:rStyle w:val="Style4Char"/>
          <w:rFonts w:eastAsia="Calibri"/>
          <w:i/>
        </w:rPr>
        <w:t>Prudential Standard GPS 110 Capital Adequacy</w:t>
      </w:r>
      <w:r w:rsidRPr="009B4057">
        <w:rPr>
          <w:rStyle w:val="Style4Char"/>
          <w:rFonts w:eastAsia="Calibri"/>
        </w:rPr>
        <w:t xml:space="preserve"> and </w:t>
      </w:r>
      <w:r w:rsidRPr="007F78C0">
        <w:rPr>
          <w:rStyle w:val="Style4Char"/>
          <w:rFonts w:eastAsia="Calibri"/>
          <w:i/>
        </w:rPr>
        <w:t>Prudential Standard LPS 110 Capital Adequacy</w:t>
      </w:r>
      <w:r>
        <w:rPr>
          <w:rStyle w:val="Style4Char"/>
          <w:rFonts w:eastAsia="Calibri"/>
        </w:rPr>
        <w:t xml:space="preserve">. </w:t>
      </w:r>
      <w:r w:rsidRPr="00181224">
        <w:rPr>
          <w:rStyle w:val="Style4Char"/>
          <w:rFonts w:eastAsia="Calibri"/>
        </w:rPr>
        <w:t>A Level 3 Head is not required to have a group ICAAP.</w:t>
      </w:r>
      <w:r>
        <w:rPr>
          <w:rStyle w:val="Style4Char"/>
          <w:rFonts w:eastAsia="Calibri"/>
        </w:rPr>
        <w:t xml:space="preserve">  </w:t>
      </w:r>
      <w:r w:rsidRPr="004D5C40">
        <w:rPr>
          <w:rStyle w:val="Style4Char"/>
          <w:rFonts w:eastAsia="Calibri"/>
        </w:rPr>
        <w:t xml:space="preserve">For private health insurers, ICAAP refers to the Capital Management Policy requirements contained in </w:t>
      </w:r>
      <w:r w:rsidRPr="004D5C40">
        <w:rPr>
          <w:rStyle w:val="Style4Char"/>
          <w:rFonts w:eastAsia="Calibri"/>
          <w:i/>
        </w:rPr>
        <w:t>Prudential Standard HPS 110 Capital Adequacy.</w:t>
      </w:r>
    </w:p>
  </w:footnote>
  <w:footnote w:id="8">
    <w:p w14:paraId="486A9AEE" w14:textId="77777777" w:rsidR="00746059" w:rsidRPr="003D7957" w:rsidRDefault="00746059" w:rsidP="00DF2FBC">
      <w:pPr>
        <w:pStyle w:val="FootnoteText"/>
      </w:pPr>
      <w:r w:rsidRPr="003D7957">
        <w:rPr>
          <w:rStyle w:val="FootnoteReference"/>
        </w:rPr>
        <w:footnoteRef/>
      </w:r>
      <w:r w:rsidRPr="003D7957">
        <w:tab/>
        <w:t>‘Prudential requirements’ include requirements under the respective Banking Act, the Insurance Act, the Life Insurance Act</w:t>
      </w:r>
      <w:r w:rsidRPr="0035712A">
        <w:t xml:space="preserve">, the PHIPS Act, </w:t>
      </w:r>
      <w:r>
        <w:t xml:space="preserve">the </w:t>
      </w:r>
      <w:r>
        <w:rPr>
          <w:i/>
        </w:rPr>
        <w:t>Banking Regulations 1966</w:t>
      </w:r>
      <w:r w:rsidRPr="002E7425">
        <w:t xml:space="preserve">, </w:t>
      </w:r>
      <w:r>
        <w:t xml:space="preserve">the </w:t>
      </w:r>
      <w:r>
        <w:rPr>
          <w:i/>
        </w:rPr>
        <w:t xml:space="preserve">Life Insurance Regulations </w:t>
      </w:r>
      <w:r w:rsidRPr="003059FE">
        <w:rPr>
          <w:i/>
        </w:rPr>
        <w:t>1995</w:t>
      </w:r>
      <w:r>
        <w:rPr>
          <w:i/>
        </w:rPr>
        <w:t xml:space="preserve">, </w:t>
      </w:r>
      <w:r>
        <w:t xml:space="preserve">the </w:t>
      </w:r>
      <w:r w:rsidRPr="003059FE">
        <w:rPr>
          <w:i/>
        </w:rPr>
        <w:t>Insurance Regulations 2002</w:t>
      </w:r>
      <w:r>
        <w:t xml:space="preserve">, </w:t>
      </w:r>
      <w:r w:rsidRPr="0035712A">
        <w:rPr>
          <w:i/>
        </w:rPr>
        <w:t>APRA Private Health Insurance Rules,</w:t>
      </w:r>
      <w:r w:rsidRPr="0035712A">
        <w:t xml:space="preserve"> </w:t>
      </w:r>
      <w:r w:rsidRPr="003059FE">
        <w:t>prudential</w:t>
      </w:r>
      <w:r w:rsidRPr="003D7957">
        <w:t xml:space="preserve"> standards, reporting standards, the </w:t>
      </w:r>
      <w:r w:rsidRPr="003D7957">
        <w:rPr>
          <w:i/>
        </w:rPr>
        <w:t>Financial Sector (Collection of Data) Act 2001</w:t>
      </w:r>
      <w:r w:rsidRPr="003D7957">
        <w:t>, licence conditions, authorisations, directions and any other requirements imposed by APRA under legislation.</w:t>
      </w:r>
    </w:p>
  </w:footnote>
  <w:footnote w:id="9">
    <w:p w14:paraId="3CC682BD" w14:textId="77777777" w:rsidR="00746059" w:rsidRPr="003D7957" w:rsidRDefault="00746059" w:rsidP="00DF2FBC">
      <w:pPr>
        <w:pStyle w:val="FootnoteText"/>
      </w:pPr>
      <w:r w:rsidRPr="003D7957">
        <w:rPr>
          <w:rStyle w:val="FootnoteReference"/>
        </w:rPr>
        <w:footnoteRef/>
      </w:r>
      <w:r w:rsidRPr="003D7957">
        <w:tab/>
        <w:t xml:space="preserve">Outsourcing </w:t>
      </w:r>
      <w:r>
        <w:t xml:space="preserve">any part </w:t>
      </w:r>
      <w:r w:rsidRPr="003D7957">
        <w:t xml:space="preserve">of the risk management function by an APRA-regulated institution must also meet the requirements in </w:t>
      </w:r>
      <w:r w:rsidRPr="009A4D36">
        <w:rPr>
          <w:i/>
        </w:rPr>
        <w:t>Prudential Standard CPS 231 Outsourcing</w:t>
      </w:r>
      <w:r>
        <w:rPr>
          <w:i/>
        </w:rPr>
        <w:t xml:space="preserve"> </w:t>
      </w:r>
      <w:r>
        <w:t>or</w:t>
      </w:r>
      <w:r w:rsidRPr="00815948">
        <w:t xml:space="preserve"> </w:t>
      </w:r>
      <w:r w:rsidRPr="0038629D">
        <w:rPr>
          <w:i/>
        </w:rPr>
        <w:t>Prudential Standard</w:t>
      </w:r>
      <w:r w:rsidRPr="0038629D">
        <w:t xml:space="preserve"> </w:t>
      </w:r>
      <w:r w:rsidRPr="0038629D">
        <w:rPr>
          <w:i/>
        </w:rPr>
        <w:t>HPS 231 Outsourcing</w:t>
      </w:r>
      <w:r w:rsidRPr="003D7957">
        <w:t>.</w:t>
      </w:r>
    </w:p>
  </w:footnote>
  <w:footnote w:id="10">
    <w:p w14:paraId="2692642E" w14:textId="77777777" w:rsidR="00746059" w:rsidRPr="004014BB" w:rsidRDefault="00746059" w:rsidP="00DF2FBC">
      <w:pPr>
        <w:pStyle w:val="FootnoteText"/>
      </w:pPr>
      <w:r>
        <w:rPr>
          <w:rStyle w:val="FootnoteReference"/>
        </w:rPr>
        <w:footnoteRef/>
      </w:r>
      <w:r>
        <w:tab/>
        <w:t xml:space="preserve">For insurers, the review must take into account the Appointed Actuary’s annual </w:t>
      </w:r>
      <w:r w:rsidRPr="00D416FC">
        <w:rPr>
          <w:b/>
        </w:rPr>
        <w:t>Financial Condition Report</w:t>
      </w:r>
      <w:r>
        <w:t xml:space="preserve"> assessments required under </w:t>
      </w:r>
      <w:r w:rsidRPr="00B82DAC">
        <w:rPr>
          <w:i/>
        </w:rPr>
        <w:t xml:space="preserve">Prudential Standard </w:t>
      </w:r>
      <w:r>
        <w:rPr>
          <w:i/>
        </w:rPr>
        <w:t>C</w:t>
      </w:r>
      <w:r w:rsidRPr="00B82DAC">
        <w:rPr>
          <w:i/>
        </w:rPr>
        <w:t>PS 320 Actuarial and Related Matters</w:t>
      </w:r>
      <w:r w:rsidRPr="0038629D">
        <w:t>.</w:t>
      </w:r>
    </w:p>
  </w:footnote>
  <w:footnote w:id="11">
    <w:p w14:paraId="5919F22E" w14:textId="77777777" w:rsidR="00746059" w:rsidRDefault="00746059" w:rsidP="00DF2FBC">
      <w:pPr>
        <w:pStyle w:val="FootnoteText"/>
      </w:pPr>
      <w:r w:rsidRPr="00AC1CD0">
        <w:rPr>
          <w:rStyle w:val="FootnoteReference"/>
        </w:rPr>
        <w:footnoteRef/>
      </w:r>
      <w:r>
        <w:tab/>
      </w:r>
      <w:r w:rsidRPr="007762D7">
        <w:t xml:space="preserve">Where relevant, any qualification of </w:t>
      </w:r>
      <w:r>
        <w:t>a r</w:t>
      </w:r>
      <w:r w:rsidRPr="007762D7">
        <w:t xml:space="preserve">isk </w:t>
      </w:r>
      <w:r>
        <w:t>m</w:t>
      </w:r>
      <w:r w:rsidRPr="007762D7">
        <w:t xml:space="preserve">anagement </w:t>
      </w:r>
      <w:r>
        <w:t>d</w:t>
      </w:r>
      <w:r w:rsidRPr="007762D7">
        <w:t xml:space="preserve">eclaration must identify where the material deviation has occurred and whether it was on a </w:t>
      </w:r>
      <w:r w:rsidRPr="00022CD2">
        <w:rPr>
          <w:b/>
        </w:rPr>
        <w:t>Level 1</w:t>
      </w:r>
      <w:r>
        <w:rPr>
          <w:b/>
        </w:rPr>
        <w:t>/</w:t>
      </w:r>
      <w:r w:rsidRPr="00412DE4">
        <w:t xml:space="preserve">individual </w:t>
      </w:r>
      <w:r>
        <w:t>APRA-regulated institution basis</w:t>
      </w:r>
      <w:r w:rsidRPr="007762D7">
        <w:t xml:space="preserve"> </w:t>
      </w:r>
      <w:r>
        <w:t>and/</w:t>
      </w:r>
      <w:r w:rsidRPr="007762D7">
        <w:t>or group basis.</w:t>
      </w:r>
    </w:p>
  </w:footnote>
  <w:footnote w:id="12">
    <w:p w14:paraId="536CB4C3" w14:textId="77777777" w:rsidR="00746059" w:rsidRPr="003D7957" w:rsidRDefault="00746059" w:rsidP="00DF2FBC">
      <w:pPr>
        <w:pStyle w:val="FootnoteText"/>
      </w:pPr>
      <w:r w:rsidRPr="003D7957">
        <w:rPr>
          <w:rStyle w:val="FootnoteReference"/>
        </w:rPr>
        <w:footnoteRef/>
      </w:r>
      <w:r w:rsidRPr="003D7957">
        <w:tab/>
        <w:t>Refer to</w:t>
      </w:r>
      <w:r>
        <w:t xml:space="preserve"> </w:t>
      </w:r>
      <w:r w:rsidRPr="003D7957">
        <w:t xml:space="preserve">subsection 11AF(2) </w:t>
      </w:r>
      <w:r>
        <w:t xml:space="preserve">of the </w:t>
      </w:r>
      <w:r w:rsidRPr="003D7957">
        <w:t>Banking Act, subsection 32(3D) of the Insurance Act</w:t>
      </w:r>
      <w:r>
        <w:t>,</w:t>
      </w:r>
      <w:r w:rsidRPr="003D7957">
        <w:t xml:space="preserve"> subsection 230A(4) of the Life Insurance Act</w:t>
      </w:r>
      <w:r>
        <w:t xml:space="preserve"> </w:t>
      </w:r>
      <w:r w:rsidRPr="0038629D">
        <w:t>and subsection 92(4) of the PHIPS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56"/>
      <w:gridCol w:w="4156"/>
    </w:tblGrid>
    <w:tr w:rsidR="00746059" w:rsidRPr="007A3C51" w14:paraId="61743ACC" w14:textId="77777777" w:rsidTr="004D5C40">
      <w:tc>
        <w:tcPr>
          <w:tcW w:w="4264" w:type="dxa"/>
          <w:tcBorders>
            <w:top w:val="nil"/>
            <w:left w:val="nil"/>
            <w:bottom w:val="nil"/>
            <w:right w:val="nil"/>
          </w:tcBorders>
        </w:tcPr>
        <w:p w14:paraId="0A45C759" w14:textId="77777777" w:rsidR="00746059" w:rsidRPr="007747DC" w:rsidRDefault="00746059" w:rsidP="00FF513E">
          <w:pPr>
            <w:pStyle w:val="Header"/>
            <w:rPr>
              <w:b w:val="0"/>
            </w:rPr>
          </w:pPr>
        </w:p>
      </w:tc>
      <w:tc>
        <w:tcPr>
          <w:tcW w:w="4264" w:type="dxa"/>
          <w:tcBorders>
            <w:top w:val="nil"/>
            <w:left w:val="nil"/>
            <w:bottom w:val="nil"/>
            <w:right w:val="nil"/>
          </w:tcBorders>
          <w:shd w:val="clear" w:color="auto" w:fill="auto"/>
        </w:tcPr>
        <w:p w14:paraId="31FD6764" w14:textId="77777777" w:rsidR="00746059" w:rsidRPr="007747DC" w:rsidRDefault="00746059" w:rsidP="002E4689">
          <w:pPr>
            <w:pStyle w:val="Header"/>
            <w:jc w:val="center"/>
            <w:rPr>
              <w:b w:val="0"/>
            </w:rPr>
          </w:pPr>
        </w:p>
      </w:tc>
    </w:tr>
  </w:tbl>
  <w:p w14:paraId="43008B49" w14:textId="77777777" w:rsidR="00746059" w:rsidRPr="007747DC" w:rsidRDefault="00746059" w:rsidP="009136B1">
    <w:pPr>
      <w:pStyle w:val="Header"/>
      <w:jc w:val="both"/>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49"/>
      <w:gridCol w:w="4163"/>
    </w:tblGrid>
    <w:tr w:rsidR="00746059" w:rsidRPr="007A3C51" w14:paraId="221DA6C5" w14:textId="77777777" w:rsidTr="004D5C40">
      <w:tc>
        <w:tcPr>
          <w:tcW w:w="4264" w:type="dxa"/>
          <w:tcBorders>
            <w:top w:val="nil"/>
            <w:left w:val="nil"/>
            <w:bottom w:val="nil"/>
            <w:right w:val="nil"/>
          </w:tcBorders>
        </w:tcPr>
        <w:p w14:paraId="32767835" w14:textId="77777777" w:rsidR="00746059" w:rsidRPr="007747DC" w:rsidRDefault="00746059" w:rsidP="00FF513E">
          <w:pPr>
            <w:pStyle w:val="Header"/>
            <w:rPr>
              <w:b w:val="0"/>
            </w:rPr>
          </w:pPr>
        </w:p>
      </w:tc>
      <w:tc>
        <w:tcPr>
          <w:tcW w:w="4264" w:type="dxa"/>
          <w:tcBorders>
            <w:top w:val="nil"/>
            <w:left w:val="nil"/>
            <w:bottom w:val="nil"/>
            <w:right w:val="nil"/>
          </w:tcBorders>
          <w:shd w:val="clear" w:color="auto" w:fill="auto"/>
        </w:tcPr>
        <w:p w14:paraId="05EE4D71" w14:textId="77777777" w:rsidR="00746059" w:rsidRPr="007747DC" w:rsidRDefault="00746059" w:rsidP="00F4618A">
          <w:pPr>
            <w:pStyle w:val="Header"/>
            <w:rPr>
              <w:b w:val="0"/>
            </w:rPr>
          </w:pPr>
          <w:r>
            <w:rPr>
              <w:b w:val="0"/>
            </w:rPr>
            <w:t xml:space="preserve"> July 2019</w:t>
          </w:r>
        </w:p>
      </w:tc>
    </w:tr>
  </w:tbl>
  <w:p w14:paraId="66938850" w14:textId="77777777" w:rsidR="00746059" w:rsidRPr="007747DC" w:rsidRDefault="00746059" w:rsidP="009136B1">
    <w:pPr>
      <w:pStyle w:val="Header"/>
      <w:jc w:val="both"/>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8AB8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8A8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CEECB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8C97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D01D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69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084D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45B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F6CA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C7E94"/>
    <w:multiLevelType w:val="hybridMultilevel"/>
    <w:tmpl w:val="A0AC66C0"/>
    <w:lvl w:ilvl="0" w:tplc="AFA4AF10">
      <w:start w:val="1"/>
      <w:numFmt w:val="decimal"/>
      <w:pStyle w:val="Style5"/>
      <w:lvlText w:val="%1."/>
      <w:lvlJc w:val="left"/>
      <w:pPr>
        <w:ind w:left="567" w:hanging="567"/>
      </w:pPr>
      <w:rPr>
        <w:rFonts w:ascii="Times New Roman" w:eastAsia="Times New Roman" w:hAnsi="Times New Roman" w:hint="default"/>
        <w:sz w:val="24"/>
        <w:szCs w:val="24"/>
      </w:rPr>
    </w:lvl>
    <w:lvl w:ilvl="1" w:tplc="439E7902">
      <w:start w:val="1"/>
      <w:numFmt w:val="lowerLetter"/>
      <w:pStyle w:val="Style2"/>
      <w:lvlText w:val="(%2)"/>
      <w:lvlJc w:val="left"/>
      <w:pPr>
        <w:ind w:left="1136" w:hanging="567"/>
      </w:pPr>
      <w:rPr>
        <w:rFonts w:ascii="Times New Roman" w:eastAsia="Times New Roman" w:hAnsi="Times New Roman" w:hint="default"/>
        <w:sz w:val="24"/>
        <w:szCs w:val="24"/>
      </w:rPr>
    </w:lvl>
    <w:lvl w:ilvl="2" w:tplc="9F1C92D2">
      <w:start w:val="1"/>
      <w:numFmt w:val="bullet"/>
      <w:lvlText w:val="•"/>
      <w:lvlJc w:val="left"/>
      <w:pPr>
        <w:ind w:left="1136" w:hanging="567"/>
      </w:pPr>
      <w:rPr>
        <w:rFonts w:hint="default"/>
      </w:rPr>
    </w:lvl>
    <w:lvl w:ilvl="3" w:tplc="F0F0ED08">
      <w:start w:val="1"/>
      <w:numFmt w:val="bullet"/>
      <w:lvlText w:val="•"/>
      <w:lvlJc w:val="left"/>
      <w:pPr>
        <w:ind w:left="2052" w:hanging="567"/>
      </w:pPr>
      <w:rPr>
        <w:rFonts w:hint="default"/>
      </w:rPr>
    </w:lvl>
    <w:lvl w:ilvl="4" w:tplc="FEACD02A">
      <w:start w:val="1"/>
      <w:numFmt w:val="bullet"/>
      <w:lvlText w:val="•"/>
      <w:lvlJc w:val="left"/>
      <w:pPr>
        <w:ind w:left="2969" w:hanging="567"/>
      </w:pPr>
      <w:rPr>
        <w:rFonts w:hint="default"/>
      </w:rPr>
    </w:lvl>
    <w:lvl w:ilvl="5" w:tplc="82347B3E">
      <w:start w:val="1"/>
      <w:numFmt w:val="bullet"/>
      <w:lvlText w:val="•"/>
      <w:lvlJc w:val="left"/>
      <w:pPr>
        <w:ind w:left="3886" w:hanging="567"/>
      </w:pPr>
      <w:rPr>
        <w:rFonts w:hint="default"/>
      </w:rPr>
    </w:lvl>
    <w:lvl w:ilvl="6" w:tplc="60CE585C">
      <w:start w:val="1"/>
      <w:numFmt w:val="bullet"/>
      <w:lvlText w:val="•"/>
      <w:lvlJc w:val="left"/>
      <w:pPr>
        <w:ind w:left="4802" w:hanging="567"/>
      </w:pPr>
      <w:rPr>
        <w:rFonts w:hint="default"/>
      </w:rPr>
    </w:lvl>
    <w:lvl w:ilvl="7" w:tplc="2FF895D8">
      <w:start w:val="1"/>
      <w:numFmt w:val="bullet"/>
      <w:lvlText w:val="•"/>
      <w:lvlJc w:val="left"/>
      <w:pPr>
        <w:ind w:left="5719" w:hanging="567"/>
      </w:pPr>
      <w:rPr>
        <w:rFonts w:hint="default"/>
      </w:rPr>
    </w:lvl>
    <w:lvl w:ilvl="8" w:tplc="F06CFECA">
      <w:start w:val="1"/>
      <w:numFmt w:val="bullet"/>
      <w:lvlText w:val="•"/>
      <w:lvlJc w:val="left"/>
      <w:pPr>
        <w:ind w:left="6636" w:hanging="567"/>
      </w:pPr>
      <w:rPr>
        <w:rFonts w:hint="default"/>
      </w:rPr>
    </w:lvl>
  </w:abstractNum>
  <w:abstractNum w:abstractNumId="11"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463545"/>
    <w:multiLevelType w:val="multilevel"/>
    <w:tmpl w:val="F1E0D670"/>
    <w:lvl w:ilvl="0">
      <w:start w:val="1"/>
      <w:numFmt w:val="decimal"/>
      <w:pStyle w:val="BodyText1"/>
      <w:lvlText w:val="%1."/>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BodyText2"/>
      <w:lvlText w:val="(%2)"/>
      <w:lvlJc w:val="left"/>
      <w:pPr>
        <w:tabs>
          <w:tab w:val="num" w:pos="1560"/>
        </w:tabs>
        <w:ind w:left="1560"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odyText3"/>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7DC5503"/>
    <w:multiLevelType w:val="hybridMultilevel"/>
    <w:tmpl w:val="314696B4"/>
    <w:lvl w:ilvl="0" w:tplc="AEF0CB6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8"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9"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1"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4"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5"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7"/>
  </w:num>
  <w:num w:numId="2">
    <w:abstractNumId w:val="20"/>
  </w:num>
  <w:num w:numId="3">
    <w:abstractNumId w:val="11"/>
  </w:num>
  <w:num w:numId="4">
    <w:abstractNumId w:val="16"/>
  </w:num>
  <w:num w:numId="5">
    <w:abstractNumId w:val="26"/>
  </w:num>
  <w:num w:numId="6">
    <w:abstractNumId w:val="14"/>
  </w:num>
  <w:num w:numId="7">
    <w:abstractNumId w:val="25"/>
  </w:num>
  <w:num w:numId="8">
    <w:abstractNumId w:val="23"/>
  </w:num>
  <w:num w:numId="9">
    <w:abstractNumId w:val="24"/>
  </w:num>
  <w:num w:numId="10">
    <w:abstractNumId w:val="22"/>
  </w:num>
  <w:num w:numId="11">
    <w:abstractNumId w:val="9"/>
  </w:num>
  <w:num w:numId="12">
    <w:abstractNumId w:val="2"/>
  </w:num>
  <w:num w:numId="13">
    <w:abstractNumId w:val="8"/>
  </w:num>
  <w:num w:numId="14">
    <w:abstractNumId w:val="3"/>
  </w:num>
  <w:num w:numId="15">
    <w:abstractNumId w:val="21"/>
  </w:num>
  <w:num w:numId="16">
    <w:abstractNumId w:val="12"/>
  </w:num>
  <w:num w:numId="17">
    <w:abstractNumId w:val="19"/>
  </w:num>
  <w:num w:numId="18">
    <w:abstractNumId w:val="18"/>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6"/>
  </w:num>
  <w:num w:numId="26">
    <w:abstractNumId w:val="5"/>
  </w:num>
  <w:num w:numId="27">
    <w:abstractNumId w:val="4"/>
  </w:num>
  <w:num w:numId="28">
    <w:abstractNumId w:val="1"/>
  </w:num>
  <w:num w:numId="29">
    <w:abstractNumId w:val="0"/>
  </w:num>
  <w:num w:numId="30">
    <w:abstractNumId w:val="10"/>
    <w:lvlOverride w:ilvl="0">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C"/>
    <w:rsid w:val="00000B6A"/>
    <w:rsid w:val="0000183A"/>
    <w:rsid w:val="00001D43"/>
    <w:rsid w:val="0000503E"/>
    <w:rsid w:val="00017376"/>
    <w:rsid w:val="000226DE"/>
    <w:rsid w:val="00031400"/>
    <w:rsid w:val="00043201"/>
    <w:rsid w:val="000518B9"/>
    <w:rsid w:val="00056B42"/>
    <w:rsid w:val="00057117"/>
    <w:rsid w:val="0006337F"/>
    <w:rsid w:val="00072D51"/>
    <w:rsid w:val="00076093"/>
    <w:rsid w:val="00084774"/>
    <w:rsid w:val="0008536B"/>
    <w:rsid w:val="00085735"/>
    <w:rsid w:val="00087D3E"/>
    <w:rsid w:val="00092187"/>
    <w:rsid w:val="0009406F"/>
    <w:rsid w:val="000A0D59"/>
    <w:rsid w:val="000A5C36"/>
    <w:rsid w:val="000B1797"/>
    <w:rsid w:val="000B6FC5"/>
    <w:rsid w:val="000C16CB"/>
    <w:rsid w:val="000C52E7"/>
    <w:rsid w:val="000D3FCE"/>
    <w:rsid w:val="000D63A8"/>
    <w:rsid w:val="000D741A"/>
    <w:rsid w:val="000D7A9C"/>
    <w:rsid w:val="000F6D99"/>
    <w:rsid w:val="001026F5"/>
    <w:rsid w:val="00107034"/>
    <w:rsid w:val="00110917"/>
    <w:rsid w:val="00110A0F"/>
    <w:rsid w:val="0011333C"/>
    <w:rsid w:val="00124477"/>
    <w:rsid w:val="0013237B"/>
    <w:rsid w:val="0013343F"/>
    <w:rsid w:val="00135524"/>
    <w:rsid w:val="00141CA6"/>
    <w:rsid w:val="0016339E"/>
    <w:rsid w:val="00164E1B"/>
    <w:rsid w:val="001653BE"/>
    <w:rsid w:val="001655F3"/>
    <w:rsid w:val="00173A04"/>
    <w:rsid w:val="001751E4"/>
    <w:rsid w:val="00182FA1"/>
    <w:rsid w:val="0018481B"/>
    <w:rsid w:val="001A179C"/>
    <w:rsid w:val="001A4FE3"/>
    <w:rsid w:val="001B3692"/>
    <w:rsid w:val="001C297B"/>
    <w:rsid w:val="001E3E3F"/>
    <w:rsid w:val="001E5EF1"/>
    <w:rsid w:val="001E7EA9"/>
    <w:rsid w:val="001F4310"/>
    <w:rsid w:val="001F6B8D"/>
    <w:rsid w:val="001F7F09"/>
    <w:rsid w:val="00210426"/>
    <w:rsid w:val="00216172"/>
    <w:rsid w:val="00234DD6"/>
    <w:rsid w:val="002369C1"/>
    <w:rsid w:val="002500F9"/>
    <w:rsid w:val="002507E7"/>
    <w:rsid w:val="00250F88"/>
    <w:rsid w:val="0025727E"/>
    <w:rsid w:val="00280209"/>
    <w:rsid w:val="002865D8"/>
    <w:rsid w:val="00291617"/>
    <w:rsid w:val="00291F20"/>
    <w:rsid w:val="0029455F"/>
    <w:rsid w:val="002A07F8"/>
    <w:rsid w:val="002A26EE"/>
    <w:rsid w:val="002A3632"/>
    <w:rsid w:val="002A5A0B"/>
    <w:rsid w:val="002D2086"/>
    <w:rsid w:val="002E2CC5"/>
    <w:rsid w:val="002E4689"/>
    <w:rsid w:val="002F3217"/>
    <w:rsid w:val="00305E38"/>
    <w:rsid w:val="00306DB4"/>
    <w:rsid w:val="003111CA"/>
    <w:rsid w:val="00323C2D"/>
    <w:rsid w:val="0033095E"/>
    <w:rsid w:val="00340001"/>
    <w:rsid w:val="0035712A"/>
    <w:rsid w:val="003603AE"/>
    <w:rsid w:val="0036206A"/>
    <w:rsid w:val="0037343B"/>
    <w:rsid w:val="003752D0"/>
    <w:rsid w:val="0038413F"/>
    <w:rsid w:val="0038629D"/>
    <w:rsid w:val="00391AD7"/>
    <w:rsid w:val="003936EA"/>
    <w:rsid w:val="003B17F3"/>
    <w:rsid w:val="003B52EB"/>
    <w:rsid w:val="003C46D7"/>
    <w:rsid w:val="003D5032"/>
    <w:rsid w:val="003F6DEC"/>
    <w:rsid w:val="004064AD"/>
    <w:rsid w:val="004066DD"/>
    <w:rsid w:val="00411250"/>
    <w:rsid w:val="00412DE4"/>
    <w:rsid w:val="00426220"/>
    <w:rsid w:val="004323FD"/>
    <w:rsid w:val="0044107A"/>
    <w:rsid w:val="00453E3A"/>
    <w:rsid w:val="004560E3"/>
    <w:rsid w:val="004573B3"/>
    <w:rsid w:val="0047482A"/>
    <w:rsid w:val="00476311"/>
    <w:rsid w:val="0048511B"/>
    <w:rsid w:val="00486A6A"/>
    <w:rsid w:val="00493B86"/>
    <w:rsid w:val="004A593E"/>
    <w:rsid w:val="004B4D38"/>
    <w:rsid w:val="004C22BC"/>
    <w:rsid w:val="004C3D07"/>
    <w:rsid w:val="004D5C40"/>
    <w:rsid w:val="004E403B"/>
    <w:rsid w:val="004F2AC1"/>
    <w:rsid w:val="004F53AA"/>
    <w:rsid w:val="00504B6D"/>
    <w:rsid w:val="005050E8"/>
    <w:rsid w:val="00506079"/>
    <w:rsid w:val="00521673"/>
    <w:rsid w:val="00522B40"/>
    <w:rsid w:val="0052610C"/>
    <w:rsid w:val="0053342F"/>
    <w:rsid w:val="00534FFE"/>
    <w:rsid w:val="00537A7F"/>
    <w:rsid w:val="00541F6D"/>
    <w:rsid w:val="00544072"/>
    <w:rsid w:val="00547C3B"/>
    <w:rsid w:val="00547E0E"/>
    <w:rsid w:val="00551270"/>
    <w:rsid w:val="00551C22"/>
    <w:rsid w:val="00553278"/>
    <w:rsid w:val="00561C5D"/>
    <w:rsid w:val="00576882"/>
    <w:rsid w:val="005A0B95"/>
    <w:rsid w:val="005A4AF3"/>
    <w:rsid w:val="005A75C6"/>
    <w:rsid w:val="005B6DC2"/>
    <w:rsid w:val="005C387B"/>
    <w:rsid w:val="005C5664"/>
    <w:rsid w:val="005D4C28"/>
    <w:rsid w:val="005E2653"/>
    <w:rsid w:val="005E5663"/>
    <w:rsid w:val="005E5910"/>
    <w:rsid w:val="005F6F74"/>
    <w:rsid w:val="00600040"/>
    <w:rsid w:val="006008C9"/>
    <w:rsid w:val="006125F1"/>
    <w:rsid w:val="00622480"/>
    <w:rsid w:val="00626C31"/>
    <w:rsid w:val="006338A7"/>
    <w:rsid w:val="00635EBB"/>
    <w:rsid w:val="00636E06"/>
    <w:rsid w:val="00646619"/>
    <w:rsid w:val="00647D58"/>
    <w:rsid w:val="00647D7C"/>
    <w:rsid w:val="00650A1D"/>
    <w:rsid w:val="00655D23"/>
    <w:rsid w:val="00656D42"/>
    <w:rsid w:val="0066109A"/>
    <w:rsid w:val="0067326D"/>
    <w:rsid w:val="00684F73"/>
    <w:rsid w:val="00696C3A"/>
    <w:rsid w:val="00696E43"/>
    <w:rsid w:val="006A302A"/>
    <w:rsid w:val="006A55FF"/>
    <w:rsid w:val="006A6A52"/>
    <w:rsid w:val="006B4C94"/>
    <w:rsid w:val="006C06E6"/>
    <w:rsid w:val="006D7928"/>
    <w:rsid w:val="006E5DD8"/>
    <w:rsid w:val="007031F4"/>
    <w:rsid w:val="00710CB2"/>
    <w:rsid w:val="007171DF"/>
    <w:rsid w:val="007217E7"/>
    <w:rsid w:val="00725AA6"/>
    <w:rsid w:val="007273EC"/>
    <w:rsid w:val="00742B37"/>
    <w:rsid w:val="00745B81"/>
    <w:rsid w:val="00746059"/>
    <w:rsid w:val="00754332"/>
    <w:rsid w:val="00760919"/>
    <w:rsid w:val="007747DC"/>
    <w:rsid w:val="00776D66"/>
    <w:rsid w:val="00777ACD"/>
    <w:rsid w:val="00784764"/>
    <w:rsid w:val="007853C6"/>
    <w:rsid w:val="007861AB"/>
    <w:rsid w:val="00787FA9"/>
    <w:rsid w:val="007A2B5C"/>
    <w:rsid w:val="007A33E6"/>
    <w:rsid w:val="007A3C51"/>
    <w:rsid w:val="007A53AC"/>
    <w:rsid w:val="007C1DA2"/>
    <w:rsid w:val="007D0021"/>
    <w:rsid w:val="007D2D7F"/>
    <w:rsid w:val="007E24B0"/>
    <w:rsid w:val="007E7932"/>
    <w:rsid w:val="007F28DB"/>
    <w:rsid w:val="00812100"/>
    <w:rsid w:val="008124AC"/>
    <w:rsid w:val="00820172"/>
    <w:rsid w:val="008417D0"/>
    <w:rsid w:val="00842FBD"/>
    <w:rsid w:val="00860D01"/>
    <w:rsid w:val="0086194F"/>
    <w:rsid w:val="00867092"/>
    <w:rsid w:val="00872064"/>
    <w:rsid w:val="00873E94"/>
    <w:rsid w:val="00881826"/>
    <w:rsid w:val="00887222"/>
    <w:rsid w:val="0088787D"/>
    <w:rsid w:val="008915A3"/>
    <w:rsid w:val="008B5AFB"/>
    <w:rsid w:val="008C14AD"/>
    <w:rsid w:val="008C17BA"/>
    <w:rsid w:val="008C3D9F"/>
    <w:rsid w:val="008D116B"/>
    <w:rsid w:val="008D76C5"/>
    <w:rsid w:val="008E4B96"/>
    <w:rsid w:val="009009D8"/>
    <w:rsid w:val="00905185"/>
    <w:rsid w:val="009101E1"/>
    <w:rsid w:val="00912B1B"/>
    <w:rsid w:val="009136B1"/>
    <w:rsid w:val="009146AB"/>
    <w:rsid w:val="00963547"/>
    <w:rsid w:val="00971180"/>
    <w:rsid w:val="00972C13"/>
    <w:rsid w:val="009871FB"/>
    <w:rsid w:val="009911AC"/>
    <w:rsid w:val="00992E43"/>
    <w:rsid w:val="00993C87"/>
    <w:rsid w:val="009B0A33"/>
    <w:rsid w:val="009B28A5"/>
    <w:rsid w:val="009B6212"/>
    <w:rsid w:val="009C5368"/>
    <w:rsid w:val="009C64FF"/>
    <w:rsid w:val="009C77A0"/>
    <w:rsid w:val="009D3E20"/>
    <w:rsid w:val="009D467A"/>
    <w:rsid w:val="009F7699"/>
    <w:rsid w:val="00A023C2"/>
    <w:rsid w:val="00A12996"/>
    <w:rsid w:val="00A13048"/>
    <w:rsid w:val="00A246C3"/>
    <w:rsid w:val="00A26C0A"/>
    <w:rsid w:val="00A31072"/>
    <w:rsid w:val="00A32497"/>
    <w:rsid w:val="00A4781F"/>
    <w:rsid w:val="00A50372"/>
    <w:rsid w:val="00A518B4"/>
    <w:rsid w:val="00A54F73"/>
    <w:rsid w:val="00A63A2B"/>
    <w:rsid w:val="00A642AE"/>
    <w:rsid w:val="00A82872"/>
    <w:rsid w:val="00A97802"/>
    <w:rsid w:val="00AA5CFE"/>
    <w:rsid w:val="00AB15AD"/>
    <w:rsid w:val="00AC2517"/>
    <w:rsid w:val="00AC3B8E"/>
    <w:rsid w:val="00AC5B0A"/>
    <w:rsid w:val="00AC730E"/>
    <w:rsid w:val="00AD4993"/>
    <w:rsid w:val="00AE0547"/>
    <w:rsid w:val="00AE1650"/>
    <w:rsid w:val="00AF4539"/>
    <w:rsid w:val="00B00A5F"/>
    <w:rsid w:val="00B0488D"/>
    <w:rsid w:val="00B04B20"/>
    <w:rsid w:val="00B07797"/>
    <w:rsid w:val="00B162E5"/>
    <w:rsid w:val="00B17250"/>
    <w:rsid w:val="00B32D58"/>
    <w:rsid w:val="00B4257C"/>
    <w:rsid w:val="00B47071"/>
    <w:rsid w:val="00B47BD7"/>
    <w:rsid w:val="00B511E8"/>
    <w:rsid w:val="00B6068B"/>
    <w:rsid w:val="00B74CFD"/>
    <w:rsid w:val="00B766FA"/>
    <w:rsid w:val="00B76E93"/>
    <w:rsid w:val="00B872F5"/>
    <w:rsid w:val="00B933D3"/>
    <w:rsid w:val="00B948DF"/>
    <w:rsid w:val="00B960BA"/>
    <w:rsid w:val="00B9640F"/>
    <w:rsid w:val="00BA4C45"/>
    <w:rsid w:val="00BC2D08"/>
    <w:rsid w:val="00BD06B2"/>
    <w:rsid w:val="00BD3C8D"/>
    <w:rsid w:val="00BE59F9"/>
    <w:rsid w:val="00BE69D6"/>
    <w:rsid w:val="00BF7639"/>
    <w:rsid w:val="00C0120F"/>
    <w:rsid w:val="00C0378B"/>
    <w:rsid w:val="00C14367"/>
    <w:rsid w:val="00C213CF"/>
    <w:rsid w:val="00C21A2A"/>
    <w:rsid w:val="00C27B43"/>
    <w:rsid w:val="00C302FA"/>
    <w:rsid w:val="00C30CF4"/>
    <w:rsid w:val="00C33B62"/>
    <w:rsid w:val="00C42F1B"/>
    <w:rsid w:val="00C542DD"/>
    <w:rsid w:val="00C55C63"/>
    <w:rsid w:val="00C5686C"/>
    <w:rsid w:val="00C60D0B"/>
    <w:rsid w:val="00C618DD"/>
    <w:rsid w:val="00C61C56"/>
    <w:rsid w:val="00C635BD"/>
    <w:rsid w:val="00C670D7"/>
    <w:rsid w:val="00C67295"/>
    <w:rsid w:val="00C6788C"/>
    <w:rsid w:val="00C67A76"/>
    <w:rsid w:val="00C67CA7"/>
    <w:rsid w:val="00C74819"/>
    <w:rsid w:val="00C86748"/>
    <w:rsid w:val="00C913D5"/>
    <w:rsid w:val="00C91AAB"/>
    <w:rsid w:val="00C92853"/>
    <w:rsid w:val="00CA3014"/>
    <w:rsid w:val="00CA4B98"/>
    <w:rsid w:val="00CA6032"/>
    <w:rsid w:val="00CA6CB3"/>
    <w:rsid w:val="00CB7762"/>
    <w:rsid w:val="00CC65A6"/>
    <w:rsid w:val="00CD4277"/>
    <w:rsid w:val="00CF3CD9"/>
    <w:rsid w:val="00CF4266"/>
    <w:rsid w:val="00CF490F"/>
    <w:rsid w:val="00CF49B6"/>
    <w:rsid w:val="00CF79AE"/>
    <w:rsid w:val="00D01427"/>
    <w:rsid w:val="00D124EA"/>
    <w:rsid w:val="00D140BF"/>
    <w:rsid w:val="00D143E2"/>
    <w:rsid w:val="00D21C34"/>
    <w:rsid w:val="00D22147"/>
    <w:rsid w:val="00D30335"/>
    <w:rsid w:val="00D3278A"/>
    <w:rsid w:val="00D415D3"/>
    <w:rsid w:val="00D47051"/>
    <w:rsid w:val="00D62EFA"/>
    <w:rsid w:val="00D64906"/>
    <w:rsid w:val="00D71E31"/>
    <w:rsid w:val="00D72D81"/>
    <w:rsid w:val="00D857C7"/>
    <w:rsid w:val="00D90351"/>
    <w:rsid w:val="00D91186"/>
    <w:rsid w:val="00D911AE"/>
    <w:rsid w:val="00DA2DEF"/>
    <w:rsid w:val="00DA3651"/>
    <w:rsid w:val="00DA5E0B"/>
    <w:rsid w:val="00DA7328"/>
    <w:rsid w:val="00DB0892"/>
    <w:rsid w:val="00DC0AEC"/>
    <w:rsid w:val="00DC52E3"/>
    <w:rsid w:val="00DD1BB1"/>
    <w:rsid w:val="00DD7F78"/>
    <w:rsid w:val="00DE3174"/>
    <w:rsid w:val="00DF2FBC"/>
    <w:rsid w:val="00DF6563"/>
    <w:rsid w:val="00E03E66"/>
    <w:rsid w:val="00E05BC3"/>
    <w:rsid w:val="00E06079"/>
    <w:rsid w:val="00E07F40"/>
    <w:rsid w:val="00E15196"/>
    <w:rsid w:val="00E15497"/>
    <w:rsid w:val="00E16DD9"/>
    <w:rsid w:val="00E201A8"/>
    <w:rsid w:val="00E27E9B"/>
    <w:rsid w:val="00E3411B"/>
    <w:rsid w:val="00E423A1"/>
    <w:rsid w:val="00E4388F"/>
    <w:rsid w:val="00E44B07"/>
    <w:rsid w:val="00E5040F"/>
    <w:rsid w:val="00E71988"/>
    <w:rsid w:val="00E72671"/>
    <w:rsid w:val="00E755E3"/>
    <w:rsid w:val="00E80BBE"/>
    <w:rsid w:val="00E85F20"/>
    <w:rsid w:val="00E862F9"/>
    <w:rsid w:val="00E90C89"/>
    <w:rsid w:val="00E94041"/>
    <w:rsid w:val="00E96B6D"/>
    <w:rsid w:val="00EA102C"/>
    <w:rsid w:val="00EB2DA0"/>
    <w:rsid w:val="00EC5653"/>
    <w:rsid w:val="00ED2753"/>
    <w:rsid w:val="00EE10AA"/>
    <w:rsid w:val="00EF4BC7"/>
    <w:rsid w:val="00F0011F"/>
    <w:rsid w:val="00F14F48"/>
    <w:rsid w:val="00F167E4"/>
    <w:rsid w:val="00F16D46"/>
    <w:rsid w:val="00F25E87"/>
    <w:rsid w:val="00F35821"/>
    <w:rsid w:val="00F44DB3"/>
    <w:rsid w:val="00F4618A"/>
    <w:rsid w:val="00F5522B"/>
    <w:rsid w:val="00F6148D"/>
    <w:rsid w:val="00F6431E"/>
    <w:rsid w:val="00F65E94"/>
    <w:rsid w:val="00F664AC"/>
    <w:rsid w:val="00F76E66"/>
    <w:rsid w:val="00F7706D"/>
    <w:rsid w:val="00F81DDA"/>
    <w:rsid w:val="00F86281"/>
    <w:rsid w:val="00F9040F"/>
    <w:rsid w:val="00FA5345"/>
    <w:rsid w:val="00FA7BA5"/>
    <w:rsid w:val="00FC44C3"/>
    <w:rsid w:val="00FC5AFF"/>
    <w:rsid w:val="00FD3F15"/>
    <w:rsid w:val="00FD63BB"/>
    <w:rsid w:val="00FE132D"/>
    <w:rsid w:val="00FE69EF"/>
    <w:rsid w:val="00F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C8BF67"/>
  <w15:docId w15:val="{91B5F1B4-6532-41EB-8431-FE3CB34C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 w:unhideWhenUsed="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40" w:unhideWhenUsed="1"/>
    <w:lsdException w:name="footer" w:semiHidden="1" w:uiPriority="40"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072"/>
    <w:pPr>
      <w:jc w:val="both"/>
    </w:pPr>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uiPriority w:val="3"/>
    <w:semiHidden/>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uiPriority w:val="3"/>
    <w:semiHidden/>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008C9"/>
    <w:pPr>
      <w:numPr>
        <w:ilvl w:val="1"/>
        <w:numId w:val="19"/>
      </w:numPr>
    </w:pPr>
  </w:style>
  <w:style w:type="character" w:customStyle="1" w:styleId="BodyText2Char">
    <w:name w:val="Body Text 2 Char"/>
    <w:basedOn w:val="DefaultParagraphFont"/>
    <w:link w:val="BodyText2"/>
    <w:rsid w:val="006008C9"/>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40"/>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40"/>
    <w:rsid w:val="0000183A"/>
    <w:rPr>
      <w:b/>
    </w:rPr>
  </w:style>
  <w:style w:type="paragraph" w:styleId="Footer">
    <w:name w:val="footer"/>
    <w:basedOn w:val="Normal"/>
    <w:link w:val="FooterChar"/>
    <w:uiPriority w:val="40"/>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40"/>
    <w:rsid w:val="0000183A"/>
    <w:rPr>
      <w:b/>
    </w:rPr>
  </w:style>
  <w:style w:type="paragraph" w:styleId="FootnoteText">
    <w:name w:val="footnote text"/>
    <w:basedOn w:val="Normal"/>
    <w:link w:val="FootnoteTextChar"/>
    <w:uiPriority w:val="99"/>
    <w:qFormat/>
    <w:rsid w:val="00C67A76"/>
    <w:pPr>
      <w:spacing w:after="0"/>
      <w:ind w:left="567" w:hanging="567"/>
    </w:pPr>
    <w:rPr>
      <w:sz w:val="20"/>
    </w:rPr>
  </w:style>
  <w:style w:type="character" w:customStyle="1" w:styleId="FootnoteTextChar">
    <w:name w:val="Footnote Text Char"/>
    <w:basedOn w:val="DefaultParagraphFont"/>
    <w:link w:val="FootnoteText"/>
    <w:uiPriority w:val="99"/>
    <w:rsid w:val="0029455F"/>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19"/>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29455F"/>
    <w:pPr>
      <w:tabs>
        <w:tab w:val="right" w:leader="dot" w:pos="8302"/>
      </w:tabs>
      <w:spacing w:after="120"/>
      <w:ind w:right="567"/>
    </w:pPr>
    <w:rPr>
      <w:rFonts w:asciiTheme="majorHAnsi" w:hAnsiTheme="majorHAnsi" w:cstheme="majorHAnsi"/>
      <w:noProof/>
    </w:rPr>
  </w:style>
  <w:style w:type="paragraph" w:customStyle="1" w:styleId="Style1">
    <w:name w:val="Style1"/>
    <w:basedOn w:val="Style5"/>
    <w:link w:val="Style1Char"/>
    <w:uiPriority w:val="1"/>
    <w:qFormat/>
    <w:rsid w:val="00DA5E0B"/>
  </w:style>
  <w:style w:type="paragraph" w:customStyle="1" w:styleId="Style2">
    <w:name w:val="Style2"/>
    <w:basedOn w:val="BodyText"/>
    <w:link w:val="Style2Char"/>
    <w:uiPriority w:val="1"/>
    <w:qFormat/>
    <w:rsid w:val="00DA5E0B"/>
    <w:pPr>
      <w:widowControl w:val="0"/>
      <w:numPr>
        <w:ilvl w:val="1"/>
        <w:numId w:val="22"/>
      </w:numPr>
      <w:tabs>
        <w:tab w:val="num" w:pos="1156"/>
      </w:tabs>
      <w:spacing w:after="240"/>
      <w:ind w:left="1156" w:right="164" w:hanging="360"/>
    </w:pPr>
    <w:rPr>
      <w:rFonts w:eastAsia="Times New Roman" w:cstheme="minorBidi"/>
      <w:lang w:val="en-US" w:eastAsia="en-US"/>
    </w:rPr>
  </w:style>
  <w:style w:type="character" w:customStyle="1" w:styleId="Style1Char">
    <w:name w:val="Style1 Char"/>
    <w:basedOn w:val="BodyTextChar"/>
    <w:link w:val="Style1"/>
    <w:uiPriority w:val="1"/>
    <w:rsid w:val="00DA5E0B"/>
    <w:rPr>
      <w:rFonts w:eastAsia="Times New Roman" w:cstheme="minorBidi"/>
      <w:spacing w:val="-1"/>
      <w:lang w:val="en-US" w:eastAsia="en-US"/>
    </w:rPr>
  </w:style>
  <w:style w:type="paragraph" w:customStyle="1" w:styleId="Style5">
    <w:name w:val="Style5"/>
    <w:basedOn w:val="BodyText"/>
    <w:link w:val="Style5Char"/>
    <w:uiPriority w:val="1"/>
    <w:qFormat/>
    <w:rsid w:val="00DA5E0B"/>
    <w:pPr>
      <w:widowControl w:val="0"/>
      <w:numPr>
        <w:numId w:val="22"/>
      </w:numPr>
      <w:tabs>
        <w:tab w:val="left" w:pos="685"/>
      </w:tabs>
      <w:spacing w:after="240"/>
      <w:ind w:right="153"/>
    </w:pPr>
    <w:rPr>
      <w:rFonts w:eastAsia="Times New Roman" w:cstheme="minorBidi"/>
      <w:spacing w:val="-1"/>
      <w:lang w:val="en-US" w:eastAsia="en-US"/>
    </w:rPr>
  </w:style>
  <w:style w:type="paragraph" w:styleId="BodyText">
    <w:name w:val="Body Text"/>
    <w:basedOn w:val="Normal"/>
    <w:link w:val="BodyTextChar"/>
    <w:uiPriority w:val="49"/>
    <w:semiHidden/>
    <w:unhideWhenUsed/>
    <w:rsid w:val="00DA5E0B"/>
    <w:pPr>
      <w:spacing w:after="120"/>
    </w:pPr>
  </w:style>
  <w:style w:type="character" w:customStyle="1" w:styleId="BodyTextChar">
    <w:name w:val="Body Text Char"/>
    <w:basedOn w:val="DefaultParagraphFont"/>
    <w:link w:val="BodyText"/>
    <w:uiPriority w:val="49"/>
    <w:semiHidden/>
    <w:rsid w:val="00DA5E0B"/>
  </w:style>
  <w:style w:type="character" w:customStyle="1" w:styleId="Style2Char">
    <w:name w:val="Style2 Char"/>
    <w:basedOn w:val="BodyTextChar"/>
    <w:link w:val="Style2"/>
    <w:uiPriority w:val="1"/>
    <w:rsid w:val="00DA5E0B"/>
    <w:rPr>
      <w:rFonts w:eastAsia="Times New Roman" w:cstheme="minorBidi"/>
      <w:lang w:val="en-US" w:eastAsia="en-US"/>
    </w:rPr>
  </w:style>
  <w:style w:type="paragraph" w:customStyle="1" w:styleId="Style3">
    <w:name w:val="Style3"/>
    <w:basedOn w:val="Style5"/>
    <w:link w:val="Style3Char"/>
    <w:uiPriority w:val="1"/>
    <w:qFormat/>
    <w:rsid w:val="00DA5E0B"/>
    <w:pPr>
      <w:keepNext/>
      <w:numPr>
        <w:numId w:val="0"/>
      </w:numPr>
      <w:tabs>
        <w:tab w:val="clear" w:pos="685"/>
        <w:tab w:val="left" w:pos="567"/>
      </w:tabs>
      <w:ind w:left="567"/>
    </w:pPr>
    <w:rPr>
      <w:rFonts w:cs="Times New Roman"/>
      <w:iCs/>
    </w:rPr>
  </w:style>
  <w:style w:type="character" w:customStyle="1" w:styleId="Style3Char">
    <w:name w:val="Style3 Char"/>
    <w:basedOn w:val="BodyTextChar"/>
    <w:link w:val="Style3"/>
    <w:uiPriority w:val="1"/>
    <w:rsid w:val="00DA5E0B"/>
    <w:rPr>
      <w:rFonts w:eastAsia="Times New Roman"/>
      <w:iCs/>
      <w:spacing w:val="-1"/>
      <w:lang w:val="en-US" w:eastAsia="en-US"/>
    </w:rPr>
  </w:style>
  <w:style w:type="character" w:styleId="CommentReference">
    <w:name w:val="annotation reference"/>
    <w:basedOn w:val="DefaultParagraphFont"/>
    <w:uiPriority w:val="99"/>
    <w:semiHidden/>
    <w:unhideWhenUsed/>
    <w:rsid w:val="00DA5E0B"/>
    <w:rPr>
      <w:sz w:val="16"/>
      <w:szCs w:val="16"/>
    </w:rPr>
  </w:style>
  <w:style w:type="paragraph" w:customStyle="1" w:styleId="Style6">
    <w:name w:val="Style6"/>
    <w:basedOn w:val="Heading1"/>
    <w:link w:val="Style6Char"/>
    <w:uiPriority w:val="1"/>
    <w:qFormat/>
    <w:rsid w:val="00A31072"/>
    <w:pPr>
      <w:widowControl w:val="0"/>
      <w:ind w:left="119"/>
      <w:jc w:val="left"/>
    </w:pPr>
    <w:rPr>
      <w:rFonts w:ascii="Arial" w:eastAsia="Arial" w:hAnsi="Arial" w:cstheme="minorBidi"/>
      <w:bCs/>
      <w:spacing w:val="-1"/>
      <w:lang w:val="en-US" w:eastAsia="en-US"/>
    </w:rPr>
  </w:style>
  <w:style w:type="character" w:customStyle="1" w:styleId="Style5Char">
    <w:name w:val="Style5 Char"/>
    <w:basedOn w:val="BodyTextChar"/>
    <w:link w:val="Style5"/>
    <w:uiPriority w:val="1"/>
    <w:rsid w:val="00A31072"/>
    <w:rPr>
      <w:rFonts w:eastAsia="Times New Roman" w:cstheme="minorBidi"/>
      <w:spacing w:val="-1"/>
      <w:lang w:val="en-US" w:eastAsia="en-US"/>
    </w:rPr>
  </w:style>
  <w:style w:type="character" w:customStyle="1" w:styleId="Style6Char">
    <w:name w:val="Style6 Char"/>
    <w:basedOn w:val="Heading1Char"/>
    <w:link w:val="Style6"/>
    <w:uiPriority w:val="1"/>
    <w:rsid w:val="00A31072"/>
    <w:rPr>
      <w:rFonts w:ascii="Arial" w:eastAsia="Arial" w:hAnsi="Arial" w:cstheme="minorBidi"/>
      <w:b/>
      <w:bCs/>
      <w:spacing w:val="-1"/>
      <w:lang w:val="en-US" w:eastAsia="en-US"/>
    </w:rPr>
  </w:style>
  <w:style w:type="paragraph" w:customStyle="1" w:styleId="Style4">
    <w:name w:val="Style4"/>
    <w:basedOn w:val="FootnoteText"/>
    <w:link w:val="Style4Char"/>
    <w:uiPriority w:val="1"/>
    <w:qFormat/>
    <w:rsid w:val="00A31072"/>
    <w:pPr>
      <w:keepNext/>
      <w:widowControl w:val="0"/>
      <w:spacing w:after="240"/>
      <w:ind w:right="153"/>
    </w:pPr>
    <w:rPr>
      <w:rFonts w:eastAsia="Times New Roman"/>
      <w:iCs/>
      <w:spacing w:val="-1"/>
      <w:lang w:val="en-US" w:eastAsia="en-US"/>
    </w:rPr>
  </w:style>
  <w:style w:type="character" w:customStyle="1" w:styleId="Style4Char">
    <w:name w:val="Style4 Char"/>
    <w:basedOn w:val="FootnoteTextChar"/>
    <w:link w:val="Style4"/>
    <w:uiPriority w:val="1"/>
    <w:rsid w:val="00A31072"/>
    <w:rPr>
      <w:rFonts w:eastAsia="Times New Roman"/>
      <w:iCs/>
      <w:spacing w:val="-1"/>
      <w:sz w:val="20"/>
      <w:lang w:val="en-US" w:eastAsia="en-US"/>
    </w:rPr>
  </w:style>
  <w:style w:type="paragraph" w:styleId="CommentText">
    <w:name w:val="annotation text"/>
    <w:basedOn w:val="Normal"/>
    <w:link w:val="CommentTextChar"/>
    <w:uiPriority w:val="99"/>
    <w:unhideWhenUsed/>
    <w:rsid w:val="00084774"/>
    <w:rPr>
      <w:sz w:val="20"/>
      <w:szCs w:val="20"/>
    </w:rPr>
  </w:style>
  <w:style w:type="character" w:customStyle="1" w:styleId="CommentTextChar">
    <w:name w:val="Comment Text Char"/>
    <w:basedOn w:val="DefaultParagraphFont"/>
    <w:link w:val="CommentText"/>
    <w:uiPriority w:val="99"/>
    <w:rsid w:val="00084774"/>
    <w:rPr>
      <w:sz w:val="20"/>
      <w:szCs w:val="20"/>
    </w:rPr>
  </w:style>
  <w:style w:type="paragraph" w:styleId="CommentSubject">
    <w:name w:val="annotation subject"/>
    <w:basedOn w:val="CommentText"/>
    <w:next w:val="CommentText"/>
    <w:link w:val="CommentSubjectChar"/>
    <w:uiPriority w:val="49"/>
    <w:semiHidden/>
    <w:unhideWhenUsed/>
    <w:rsid w:val="00084774"/>
    <w:rPr>
      <w:b/>
      <w:bCs/>
    </w:rPr>
  </w:style>
  <w:style w:type="character" w:customStyle="1" w:styleId="CommentSubjectChar">
    <w:name w:val="Comment Subject Char"/>
    <w:basedOn w:val="CommentTextChar"/>
    <w:link w:val="CommentSubject"/>
    <w:uiPriority w:val="49"/>
    <w:semiHidden/>
    <w:rsid w:val="00084774"/>
    <w:rPr>
      <w:b/>
      <w:bCs/>
      <w:sz w:val="20"/>
      <w:szCs w:val="20"/>
    </w:rPr>
  </w:style>
  <w:style w:type="paragraph" w:styleId="Revision">
    <w:name w:val="Revision"/>
    <w:hidden/>
    <w:uiPriority w:val="99"/>
    <w:semiHidden/>
    <w:rsid w:val="00B47071"/>
    <w:pPr>
      <w:spacing w:after="0"/>
    </w:pPr>
  </w:style>
  <w:style w:type="paragraph" w:styleId="ListParagraph">
    <w:name w:val="List Paragraph"/>
    <w:basedOn w:val="Normal"/>
    <w:uiPriority w:val="99"/>
    <w:rsid w:val="00E7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9" ma:contentTypeDescription="Create a new document." ma:contentTypeScope="" ma:versionID="294f2abc41bb7dd035804e5b1d716973">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557</AccountId>
        <AccountType/>
      </UserInfo>
    </APRAApprovedBy>
    <APRADate xmlns="814d62cb-2db6-4c25-ab62-b9075facbc11">2017-07-25T14:00:00+00:00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0e1556d2-3fe8-443a-ada7-3620563b46b3</TermId>
        </TermInfo>
      </Terms>
    </j163382b748246d3b6e7caae71dbeeb0>
    <TaxCatchAll xmlns="814d62cb-2db6-4c25-ab62-b9075facbc11">
      <Value>109</Value>
      <Value>142</Value>
      <Value>26</Value>
      <Value>24</Value>
      <Value>134</Value>
      <Value>58</Value>
      <Value>93</Value>
      <Value>10</Value>
      <Value>158</Value>
      <Value>83</Value>
      <Value>228</Value>
      <Value>4</Value>
      <Value>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CPS 220 Risk Management</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2019</TermName>
          <TermId xmlns="http://schemas.microsoft.com/office/infopath/2007/PartnerControls">7f488d12-1aa7-4fe3-8821-bfe8262e80d0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5JENXJJSCC7A-445999044-10790</_dlc_DocId>
    <_dlc_DocIdUrl xmlns="814d62cb-2db6-4c25-ab62-b9075facbc11">
      <Url>https://im/teams/LEGAL/_layouts/15/DocIdRedir.aspx?ID=5JENXJJSCC7A-445999044-10790</Url>
      <Description>5JENXJJSCC7A-445999044-10790</Description>
    </_dlc_DocIdUrl>
    <APRAMeetingDate xmlns="814d62cb-2db6-4c25-ab62-b9075facbc11" xsi:nil="true"/>
    <APRAMeetingNumber xmlns="814d62cb-2db6-4c25-ab62-b9075facbc11"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6A155-A062-4448-AE48-0F76E102F2B9}">
  <ds:schemaRefs>
    <ds:schemaRef ds:uri="Microsoft.SharePoint.Taxonomy.ContentTypeSync"/>
  </ds:schemaRefs>
</ds:datastoreItem>
</file>

<file path=customXml/itemProps2.xml><?xml version="1.0" encoding="utf-8"?>
<ds:datastoreItem xmlns:ds="http://schemas.openxmlformats.org/officeDocument/2006/customXml" ds:itemID="{63AAFD0B-B212-4FB4-8F1D-D67D9F73FA1D}">
  <ds:schemaRefs>
    <ds:schemaRef ds:uri="http://schemas.microsoft.com/sharepoint/events"/>
  </ds:schemaRefs>
</ds:datastoreItem>
</file>

<file path=customXml/itemProps3.xml><?xml version="1.0" encoding="utf-8"?>
<ds:datastoreItem xmlns:ds="http://schemas.openxmlformats.org/officeDocument/2006/customXml" ds:itemID="{B693743D-D2E5-41D2-96C1-739C26B17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92E0AE-FA26-4161-9A78-4F614CE9D346}">
  <ds:schemaRefs>
    <ds:schemaRef ds:uri="http://schemas.microsoft.com/sharepoint/v3/contenttype/forms"/>
  </ds:schemaRefs>
</ds:datastoreItem>
</file>

<file path=customXml/itemProps5.xml><?xml version="1.0" encoding="utf-8"?>
<ds:datastoreItem xmlns:ds="http://schemas.openxmlformats.org/officeDocument/2006/customXml" ds:itemID="{63405106-58FA-47AB-8C9A-B86FE19B2A2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14d62cb-2db6-4c25-ab62-b9075facbc11"/>
    <ds:schemaRef ds:uri="http://www.w3.org/XML/1998/namespace"/>
    <ds:schemaRef ds:uri="http://purl.org/dc/dcmitype/"/>
  </ds:schemaRefs>
</ds:datastoreItem>
</file>

<file path=customXml/itemProps6.xml><?xml version="1.0" encoding="utf-8"?>
<ds:datastoreItem xmlns:ds="http://schemas.openxmlformats.org/officeDocument/2006/customXml" ds:itemID="{02ECA92C-80E4-481C-8C23-2B63CFB7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4886</Words>
  <Characters>27271</Characters>
  <Application>Microsoft Office Word</Application>
  <DocSecurity>4</DocSecurity>
  <Lines>554</Lines>
  <Paragraphs>222</Paragraphs>
  <ScaleCrop>false</ScaleCrop>
  <HeadingPairs>
    <vt:vector size="2" baseType="variant">
      <vt:variant>
        <vt:lpstr>Title</vt:lpstr>
      </vt:variant>
      <vt:variant>
        <vt:i4>1</vt:i4>
      </vt:variant>
    </vt:vector>
  </HeadingPairs>
  <TitlesOfParts>
    <vt:vector size="1" baseType="lpstr">
      <vt:lpstr>CPS 220</vt:lpstr>
    </vt:vector>
  </TitlesOfParts>
  <Company>APRA</Company>
  <LinksUpToDate>false</LinksUpToDate>
  <CharactersWithSpaces>31977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220</dc:title>
  <dc:subject/>
  <dc:creator>Chen, Alice</dc:creator>
  <cp:keywords>[SEC=UNCLASSIFIED]</cp:keywords>
  <dc:description/>
  <cp:lastModifiedBy>Chen, Alice</cp:lastModifiedBy>
  <cp:revision>2</cp:revision>
  <cp:lastPrinted>2019-04-30T06:44:00Z</cp:lastPrinted>
  <dcterms:created xsi:type="dcterms:W3CDTF">2019-05-06T06:27:00Z</dcterms:created>
  <dcterms:modified xsi:type="dcterms:W3CDTF">2019-05-06T06:27:00Z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C3AD57350F36D8E1BD75F8F67CB06D435C9C43CA</vt:lpwstr>
  </property>
  <property fmtid="{D5CDD505-2E9C-101B-9397-08002B2CF9AE}" pid="8" name="PM_Hash_Version">
    <vt:lpwstr>2016.1</vt:lpwstr>
  </property>
  <property fmtid="{D5CDD505-2E9C-101B-9397-08002B2CF9AE}" pid="9" name="PM_Hash_Salt">
    <vt:lpwstr>FA7519E76854FE8CABDC9E7A1DDE7037</vt:lpwstr>
  </property>
  <property fmtid="{D5CDD505-2E9C-101B-9397-08002B2CF9AE}" pid="10" name="PM_Hash_SHA1">
    <vt:lpwstr>F7EF69AF980A7E3524D7B6559A2AD943DFB9D75E</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Hash_Salt_Prev">
    <vt:lpwstr>D66F0C19576CA4E7F805EADE837E01DA</vt:lpwstr>
  </property>
  <property fmtid="{D5CDD505-2E9C-101B-9397-08002B2CF9AE}" pid="14" name="PM_Caveats_Count">
    <vt:lpwstr>0</vt:lpwstr>
  </property>
  <property fmtid="{D5CDD505-2E9C-101B-9397-08002B2CF9AE}" pid="15" name="ContentTypeId">
    <vt:lpwstr>0x0101008CA7A4F8331B45C7B0D3158B4994D0CA0200577EC0F5A1FBFC498F9A8436B963F8A6</vt:lpwstr>
  </property>
  <property fmtid="{D5CDD505-2E9C-101B-9397-08002B2CF9AE}" pid="16" name="_dlc_DocIdItemGuid">
    <vt:lpwstr>aa739c6f-6c12-47a5-9e3d-9e4adbe27390</vt:lpwstr>
  </property>
  <property fmtid="{D5CDD505-2E9C-101B-9397-08002B2CF9AE}" pid="17" name="IsLocked">
    <vt:lpwstr>Yes</vt:lpwstr>
  </property>
  <property fmtid="{D5CDD505-2E9C-101B-9397-08002B2CF9AE}" pid="18" name="APRACostCentre">
    <vt:lpwstr>158;#PAD300|98bbdbe4-d019-48eb-87c4-aa31a7f2f98f;#24;#Legal - ADI|652d8d2a-ab45-47b4-ac6e-fe6ac9299b39;#26;#Legal - Insurance: General|8229dc1a-d7f2-47b2-844a-b026fed0c13d;#93;#Legal - Insurance: Health|21611e62-d688-4f0d-8807-02701cc43699;#83;#Legal - Insurance: Life|56f18b50-6605-4f3f-97e3-cad1cb5394e0;#4;#Legal - Resolution ＆ Corporate|696624b1-19f4-47b2-a07b-57868a922a96;#134;#Legal - Superannuation|cce3181d-fd23-4eee-94d3-c66abc2350cf</vt:lpwstr>
  </property>
  <property fmtid="{D5CDD505-2E9C-101B-9397-08002B2CF9AE}" pid="19" name="IT system type">
    <vt:lpwstr/>
  </property>
  <property fmtid="{D5CDD505-2E9C-101B-9397-08002B2CF9AE}" pid="20" name="APRACategory">
    <vt:lpwstr/>
  </property>
  <property fmtid="{D5CDD505-2E9C-101B-9397-08002B2CF9AE}" pid="21" name="APRADocumentType">
    <vt:lpwstr>142;#Prudential standard|6ce5a155-9ab2-41e3-9b2a-5baab4b7f1d1;#58;#Legal instrument|71fd6ed3-d6d6-4975-ba99-bfe45802e734</vt:lpwstr>
  </property>
  <property fmtid="{D5CDD505-2E9C-101B-9397-08002B2CF9AE}" pid="22" name="APRAStatus">
    <vt:lpwstr>1;#Draft|0e1556d2-3fe8-443a-ada7-3620563b46b3</vt:lpwstr>
  </property>
  <property fmtid="{D5CDD505-2E9C-101B-9397-08002B2CF9AE}" pid="23" name="APRAPRSG">
    <vt:lpwstr/>
  </property>
  <property fmtid="{D5CDD505-2E9C-101B-9397-08002B2CF9AE}" pid="24" name="APRAActivity">
    <vt:lpwstr>109;#Statutory instrument|fe68928c-5a9c-4caf-bc8c-6c18cedcb17f;#10;#Registration|390476ce-d76d-4e8d-905f-28e32d2df127</vt:lpwstr>
  </property>
  <property fmtid="{D5CDD505-2E9C-101B-9397-08002B2CF9AE}" pid="25" name="APRAEntityAdviceSupport">
    <vt:lpwstr/>
  </property>
  <property fmtid="{D5CDD505-2E9C-101B-9397-08002B2CF9AE}" pid="26" name="APRAIndustry">
    <vt:lpwstr/>
  </property>
  <property fmtid="{D5CDD505-2E9C-101B-9397-08002B2CF9AE}" pid="27" name="APRALegislation">
    <vt:lpwstr/>
  </property>
  <property fmtid="{D5CDD505-2E9C-101B-9397-08002B2CF9AE}" pid="28" name="APRAYear">
    <vt:lpwstr>228;#2019|7f488d12-1aa7-4fe3-8821-bfe8262e80d0</vt:lpwstr>
  </property>
  <property fmtid="{D5CDD505-2E9C-101B-9397-08002B2CF9AE}" pid="29" name="APRAExternalOrganisation">
    <vt:lpwstr/>
  </property>
  <property fmtid="{D5CDD505-2E9C-101B-9397-08002B2CF9AE}" pid="30" name="APRAIRTR">
    <vt:lpwstr/>
  </property>
  <property fmtid="{D5CDD505-2E9C-101B-9397-08002B2CF9AE}" pid="31" name="APRAPeriod">
    <vt:lpwstr/>
  </property>
  <property fmtid="{D5CDD505-2E9C-101B-9397-08002B2CF9AE}" pid="32" name="RecordPoint_WorkflowType">
    <vt:lpwstr>ActiveSubmitStub</vt:lpwstr>
  </property>
  <property fmtid="{D5CDD505-2E9C-101B-9397-08002B2CF9AE}" pid="33" name="RecordPoint_ActiveItemWebId">
    <vt:lpwstr>{75a71c27-8d66-4282-ae60-1bfc22a83be1}</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ActiveItemUniqueId">
    <vt:lpwstr>{aa739c6f-6c12-47a5-9e3d-9e4adbe27390}</vt:lpwstr>
  </property>
  <property fmtid="{D5CDD505-2E9C-101B-9397-08002B2CF9AE}" pid="37" name="RecordPoint_RecordNumberSubmitted">
    <vt:lpwstr/>
  </property>
  <property fmtid="{D5CDD505-2E9C-101B-9397-08002B2CF9AE}" pid="38" name="PM_ProtectiveMarkingImage_Header">
    <vt:lpwstr>C:\Program Files (x86)\Common Files\janusNET Shared\janusSEAL\Images\DocumentSlashBlue.png</vt:lpwstr>
  </property>
  <property fmtid="{D5CDD505-2E9C-101B-9397-08002B2CF9AE}" pid="39" name="PM_ProtectiveMarkingValue_Header">
    <vt:lpwstr>UNCLASSIFIED</vt:lpwstr>
  </property>
  <property fmtid="{D5CDD505-2E9C-101B-9397-08002B2CF9AE}" pid="40" name="PM_ProtectiveMarkingValue_Footer">
    <vt:lpwstr>UNCLASSIFIED</vt:lpwstr>
  </property>
  <property fmtid="{D5CDD505-2E9C-101B-9397-08002B2CF9AE}" pid="41" name="PM_ProtectiveMarkingImage_Footer">
    <vt:lpwstr>C:\Program Files (x86)\Common Files\janusNET Shared\janusSEAL\Images\DocumentSlashBlue.png</vt:lpwstr>
  </property>
  <property fmtid="{D5CDD505-2E9C-101B-9397-08002B2CF9AE}" pid="42" name="PM_Namespace">
    <vt:lpwstr>gov.au</vt:lpwstr>
  </property>
  <property fmtid="{D5CDD505-2E9C-101B-9397-08002B2CF9AE}" pid="43" name="PM_Version">
    <vt:lpwstr>2012.3</vt:lpwstr>
  </property>
  <property fmtid="{D5CDD505-2E9C-101B-9397-08002B2CF9AE}" pid="44" name="PM_Originating_FileId">
    <vt:lpwstr>90CE96A59736464C82BDD3B704E095F9</vt:lpwstr>
  </property>
  <property fmtid="{D5CDD505-2E9C-101B-9397-08002B2CF9AE}" pid="45" name="PM_OriginationTimeStamp">
    <vt:lpwstr>2017-07-27T21:37:58Z</vt:lpwstr>
  </property>
  <property fmtid="{D5CDD505-2E9C-101B-9397-08002B2CF9AE}" pid="46" name="PM_MinimumSecurityClassification">
    <vt:lpwstr/>
  </property>
  <property fmtid="{D5CDD505-2E9C-101B-9397-08002B2CF9AE}" pid="47" name="RecordPoint_SubmissionDate">
    <vt:lpwstr/>
  </property>
  <property fmtid="{D5CDD505-2E9C-101B-9397-08002B2CF9AE}" pid="48" name="RecordPoint_ActiveItemMoved">
    <vt:lpwstr/>
  </property>
  <property fmtid="{D5CDD505-2E9C-101B-9397-08002B2CF9AE}" pid="49" name="RecordPoint_RecordFormat">
    <vt:lpwstr/>
  </property>
  <property fmtid="{D5CDD505-2E9C-101B-9397-08002B2CF9AE}" pid="50" name="RecordPoint_SubmissionCompleted">
    <vt:lpwstr/>
  </property>
</Properties>
</file>